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9"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32"/>
        <w:gridCol w:w="137"/>
        <w:gridCol w:w="4848"/>
        <w:gridCol w:w="149"/>
        <w:gridCol w:w="1609"/>
        <w:gridCol w:w="73"/>
        <w:gridCol w:w="97"/>
        <w:gridCol w:w="3295"/>
        <w:gridCol w:w="30"/>
        <w:gridCol w:w="278"/>
      </w:tblGrid>
      <w:tr w:rsidR="00B50BC9" w:rsidRPr="00B50BC9" w:rsidTr="005F3D15">
        <w:trPr>
          <w:gridAfter w:val="2"/>
          <w:wAfter w:w="77" w:type="pct"/>
          <w:trHeight w:val="518"/>
          <w:tblCellSpacing w:w="15" w:type="dxa"/>
        </w:trPr>
        <w:tc>
          <w:tcPr>
            <w:tcW w:w="4894" w:type="pct"/>
            <w:gridSpan w:val="8"/>
            <w:tcBorders>
              <w:top w:val="nil"/>
              <w:left w:val="nil"/>
              <w:bottom w:val="nil"/>
            </w:tcBorders>
            <w:shd w:val="clear" w:color="auto" w:fill="CCCCCC"/>
            <w:tcMar>
              <w:top w:w="30" w:type="dxa"/>
              <w:left w:w="30" w:type="dxa"/>
              <w:bottom w:w="30" w:type="dxa"/>
              <w:right w:w="30" w:type="dxa"/>
            </w:tcMar>
            <w:vAlign w:val="center"/>
            <w:hideMark/>
          </w:tcPr>
          <w:p w:rsidR="00D42FF7" w:rsidRPr="00B50BC9" w:rsidRDefault="00D42FF7" w:rsidP="00D42FF7">
            <w:pPr>
              <w:spacing w:before="100" w:beforeAutospacing="1" w:after="100" w:afterAutospacing="1" w:line="240" w:lineRule="auto"/>
              <w:jc w:val="center"/>
              <w:rPr>
                <w:rFonts w:ascii="Arial" w:eastAsia="Times New Roman" w:hAnsi="Arial" w:cs="Arial"/>
                <w:b/>
                <w:bCs/>
                <w:sz w:val="20"/>
                <w:szCs w:val="20"/>
                <w:lang w:eastAsia="en-AU"/>
              </w:rPr>
            </w:pPr>
            <w:r w:rsidRPr="00B50BC9">
              <w:rPr>
                <w:rFonts w:ascii="Arial" w:eastAsia="Times New Roman" w:hAnsi="Arial" w:cs="Arial"/>
                <w:b/>
                <w:bCs/>
                <w:sz w:val="20"/>
                <w:szCs w:val="20"/>
                <w:lang w:eastAsia="en-AU"/>
              </w:rPr>
              <w:t>Table 7.2.3.7.4.</w:t>
            </w:r>
            <w:r w:rsidR="004048A9">
              <w:rPr>
                <w:rFonts w:ascii="Arial" w:eastAsia="Times New Roman" w:hAnsi="Arial" w:cs="Arial"/>
                <w:b/>
                <w:bCs/>
                <w:sz w:val="20"/>
                <w:szCs w:val="20"/>
                <w:lang w:eastAsia="en-AU"/>
              </w:rPr>
              <w:t>1</w:t>
            </w:r>
            <w:r w:rsidRPr="00B50BC9">
              <w:rPr>
                <w:rFonts w:ascii="Arial" w:eastAsia="Times New Roman" w:hAnsi="Arial" w:cs="Arial"/>
                <w:b/>
                <w:bCs/>
                <w:sz w:val="20"/>
                <w:szCs w:val="20"/>
                <w:lang w:eastAsia="en-AU"/>
              </w:rPr>
              <w:t xml:space="preserve"> Assessable development - Reconfiguring a lot code - Green network precinct</w:t>
            </w:r>
          </w:p>
        </w:tc>
      </w:tr>
      <w:tr w:rsidR="005F3D15" w:rsidRPr="00B50BC9" w:rsidTr="005F3D15">
        <w:tblPrEx>
          <w:tblBorders>
            <w:insideH w:val="outset" w:sz="6" w:space="0" w:color="auto"/>
            <w:insideV w:val="outset" w:sz="6" w:space="0" w:color="auto"/>
          </w:tblBorders>
        </w:tblPrEx>
        <w:trPr>
          <w:gridAfter w:val="1"/>
          <w:wAfter w:w="68" w:type="pct"/>
          <w:trHeight w:val="330"/>
          <w:tblCellSpacing w:w="15" w:type="dxa"/>
        </w:trPr>
        <w:tc>
          <w:tcPr>
            <w:tcW w:w="1642" w:type="pct"/>
            <w:gridSpan w:val="2"/>
            <w:shd w:val="clear" w:color="auto" w:fill="CCCCCC"/>
            <w:tcMar>
              <w:top w:w="30" w:type="dxa"/>
              <w:left w:w="30" w:type="dxa"/>
              <w:bottom w:w="30" w:type="dxa"/>
              <w:right w:w="30" w:type="dxa"/>
            </w:tcMar>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Performance outcomes</w:t>
            </w:r>
          </w:p>
        </w:tc>
        <w:tc>
          <w:tcPr>
            <w:tcW w:w="1575" w:type="pct"/>
            <w:shd w:val="clear" w:color="auto" w:fill="CCCCCC"/>
            <w:tcMar>
              <w:top w:w="30" w:type="dxa"/>
              <w:left w:w="30" w:type="dxa"/>
              <w:bottom w:w="30" w:type="dxa"/>
              <w:right w:w="30" w:type="dxa"/>
            </w:tcMar>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Examples that achieve aspects of the Performance Outcome</w:t>
            </w:r>
          </w:p>
        </w:tc>
        <w:tc>
          <w:tcPr>
            <w:tcW w:w="594" w:type="pct"/>
            <w:gridSpan w:val="4"/>
            <w:shd w:val="clear" w:color="auto" w:fill="CCCCCC"/>
          </w:tcPr>
          <w:p w:rsidR="00D42FF7" w:rsidRPr="00B50BC9" w:rsidRDefault="00D42FF7" w:rsidP="00D42FF7">
            <w:pPr>
              <w:spacing w:after="0" w:line="240" w:lineRule="auto"/>
              <w:rPr>
                <w:rFonts w:ascii="Arial" w:eastAsia="Times New Roman" w:hAnsi="Arial" w:cs="Arial"/>
                <w:b/>
                <w:bCs/>
                <w:sz w:val="20"/>
                <w:szCs w:val="20"/>
                <w:lang w:eastAsia="en-AU"/>
              </w:rPr>
            </w:pPr>
            <w:r w:rsidRPr="00B50BC9">
              <w:rPr>
                <w:rFonts w:ascii="Arial" w:eastAsia="Times New Roman" w:hAnsi="Arial" w:cs="Arial"/>
                <w:b/>
                <w:bCs/>
                <w:sz w:val="20"/>
                <w:szCs w:val="20"/>
                <w:lang w:eastAsia="en-AU"/>
              </w:rPr>
              <w:t>E Compliance</w:t>
            </w:r>
          </w:p>
          <w:p w:rsidR="00D42FF7" w:rsidRPr="00B50BC9" w:rsidRDefault="00D42FF7" w:rsidP="00D42FF7">
            <w:pPr>
              <w:pStyle w:val="ListParagraph"/>
              <w:numPr>
                <w:ilvl w:val="0"/>
                <w:numId w:val="22"/>
              </w:numPr>
              <w:spacing w:after="0" w:line="240" w:lineRule="auto"/>
              <w:ind w:left="373" w:hanging="284"/>
              <w:rPr>
                <w:rFonts w:eastAsia="Times New Roman" w:cs="Arial"/>
                <w:b/>
                <w:bCs/>
                <w:sz w:val="20"/>
                <w:szCs w:val="20"/>
                <w:lang w:eastAsia="en-AU"/>
              </w:rPr>
            </w:pPr>
            <w:r w:rsidRPr="00B50BC9">
              <w:rPr>
                <w:rFonts w:eastAsia="Times New Roman" w:cs="Arial"/>
                <w:b/>
                <w:bCs/>
                <w:sz w:val="20"/>
                <w:szCs w:val="20"/>
                <w:lang w:eastAsia="en-AU"/>
              </w:rPr>
              <w:t>Yes</w:t>
            </w:r>
          </w:p>
          <w:p w:rsidR="00D42FF7" w:rsidRPr="00B50BC9" w:rsidRDefault="00D42FF7" w:rsidP="00D42FF7">
            <w:pPr>
              <w:pStyle w:val="ListParagraph"/>
              <w:numPr>
                <w:ilvl w:val="0"/>
                <w:numId w:val="22"/>
              </w:numPr>
              <w:spacing w:after="0" w:line="240" w:lineRule="auto"/>
              <w:ind w:left="373" w:hanging="284"/>
              <w:rPr>
                <w:rFonts w:eastAsia="Times New Roman" w:cs="Arial"/>
                <w:b/>
                <w:bCs/>
                <w:sz w:val="20"/>
                <w:szCs w:val="20"/>
                <w:lang w:eastAsia="en-AU"/>
              </w:rPr>
            </w:pPr>
            <w:r w:rsidRPr="00B50BC9">
              <w:rPr>
                <w:rFonts w:eastAsia="Times New Roman" w:cs="Arial"/>
                <w:b/>
                <w:bCs/>
                <w:sz w:val="20"/>
                <w:szCs w:val="20"/>
                <w:lang w:eastAsia="en-AU"/>
              </w:rPr>
              <w:t>No See PO or</w:t>
            </w:r>
          </w:p>
          <w:p w:rsidR="00D42FF7" w:rsidRPr="00B50BC9" w:rsidRDefault="00D42FF7" w:rsidP="00D42FF7">
            <w:pPr>
              <w:pStyle w:val="ListParagraph"/>
              <w:numPr>
                <w:ilvl w:val="0"/>
                <w:numId w:val="22"/>
              </w:numPr>
              <w:spacing w:after="0" w:line="240" w:lineRule="auto"/>
              <w:ind w:left="373" w:hanging="284"/>
              <w:rPr>
                <w:rFonts w:eastAsia="Times New Roman" w:cs="Arial"/>
                <w:b/>
                <w:bCs/>
                <w:sz w:val="20"/>
                <w:szCs w:val="20"/>
                <w:lang w:eastAsia="en-AU"/>
              </w:rPr>
            </w:pPr>
            <w:r w:rsidRPr="00B50BC9">
              <w:rPr>
                <w:rFonts w:eastAsia="Times New Roman" w:cs="Arial"/>
                <w:b/>
                <w:bCs/>
                <w:sz w:val="20"/>
                <w:szCs w:val="20"/>
                <w:lang w:eastAsia="en-AU"/>
              </w:rPr>
              <w:t>NA</w:t>
            </w:r>
          </w:p>
        </w:tc>
        <w:tc>
          <w:tcPr>
            <w:tcW w:w="1064" w:type="pct"/>
            <w:gridSpan w:val="2"/>
            <w:shd w:val="clear" w:color="auto" w:fill="CCCCCC"/>
          </w:tcPr>
          <w:p w:rsidR="00D42FF7" w:rsidRPr="00B50BC9" w:rsidRDefault="00D42FF7" w:rsidP="00D42FF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B50BC9">
              <w:rPr>
                <w:rFonts w:ascii="Arial" w:eastAsia="Times New Roman" w:hAnsi="Arial" w:cs="Arial"/>
                <w:b/>
                <w:bCs/>
                <w:sz w:val="20"/>
                <w:szCs w:val="20"/>
                <w:lang w:eastAsia="en-AU"/>
              </w:rPr>
              <w:t>Justification for compliance</w:t>
            </w:r>
          </w:p>
        </w:tc>
      </w:tr>
      <w:tr w:rsidR="00B50BC9" w:rsidRPr="00B50BC9" w:rsidTr="005F3D15">
        <w:tblPrEx>
          <w:tblBorders>
            <w:insideH w:val="outset" w:sz="6" w:space="0" w:color="auto"/>
            <w:insideV w:val="outset" w:sz="6" w:space="0" w:color="auto"/>
          </w:tblBorders>
        </w:tblPrEx>
        <w:trPr>
          <w:gridAfter w:val="1"/>
          <w:wAfter w:w="68" w:type="pct"/>
          <w:tblCellSpacing w:w="15" w:type="dxa"/>
        </w:trPr>
        <w:tc>
          <w:tcPr>
            <w:tcW w:w="3226" w:type="pct"/>
            <w:gridSpan w:val="3"/>
            <w:shd w:val="clear" w:color="auto" w:fill="CCCCCC"/>
            <w:tcMar>
              <w:top w:w="30" w:type="dxa"/>
              <w:left w:w="30" w:type="dxa"/>
              <w:bottom w:w="30" w:type="dxa"/>
              <w:right w:w="30" w:type="dxa"/>
            </w:tcMar>
            <w:hideMark/>
          </w:tcPr>
          <w:p w:rsidR="00D42FF7" w:rsidRPr="000A3D33" w:rsidRDefault="000A3D33" w:rsidP="00D42FF7">
            <w:pPr>
              <w:spacing w:before="100" w:beforeAutospacing="1" w:after="100" w:afterAutospacing="1" w:line="240" w:lineRule="auto"/>
              <w:ind w:left="150" w:right="150"/>
              <w:rPr>
                <w:rFonts w:ascii="Arial" w:eastAsia="Times New Roman" w:hAnsi="Arial" w:cs="Arial"/>
                <w:b/>
                <w:bCs/>
                <w:sz w:val="20"/>
                <w:szCs w:val="20"/>
                <w:lang w:eastAsia="en-AU"/>
              </w:rPr>
            </w:pPr>
            <w:r w:rsidRPr="000A3D33">
              <w:rPr>
                <w:rFonts w:ascii="Arial" w:eastAsia="Times New Roman" w:hAnsi="Arial" w:cs="Arial"/>
                <w:b/>
                <w:bCs/>
                <w:sz w:val="20"/>
                <w:szCs w:val="20"/>
                <w:lang w:eastAsia="en-AU"/>
              </w:rPr>
              <w:t xml:space="preserve">General </w:t>
            </w:r>
          </w:p>
        </w:tc>
        <w:tc>
          <w:tcPr>
            <w:tcW w:w="594" w:type="pct"/>
            <w:gridSpan w:val="4"/>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4" w:type="pct"/>
            <w:gridSpan w:val="2"/>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gridAfter w:val="1"/>
          <w:wAfter w:w="68" w:type="pct"/>
          <w:tblCellSpacing w:w="15" w:type="dxa"/>
        </w:trPr>
        <w:tc>
          <w:tcPr>
            <w:tcW w:w="1642" w:type="pct"/>
            <w:gridSpan w:val="2"/>
            <w:shd w:val="clear" w:color="auto" w:fill="FFFFFF"/>
            <w:tcMar>
              <w:top w:w="30" w:type="dxa"/>
              <w:left w:w="30" w:type="dxa"/>
              <w:bottom w:w="30" w:type="dxa"/>
              <w:right w:w="30" w:type="dxa"/>
            </w:tcMar>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PO1</w:t>
            </w:r>
          </w:p>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 xml:space="preserve">Development is in accordance with </w:t>
            </w:r>
            <w:r w:rsidR="000A3D33">
              <w:rPr>
                <w:rFonts w:ascii="Arial" w:eastAsia="Times New Roman" w:hAnsi="Arial" w:cs="Arial"/>
                <w:sz w:val="20"/>
                <w:szCs w:val="20"/>
                <w:lang w:eastAsia="en-AU"/>
              </w:rPr>
              <w:t>an approved</w:t>
            </w:r>
            <w:r w:rsidRPr="00B50BC9">
              <w:rPr>
                <w:rFonts w:ascii="Arial" w:eastAsia="Times New Roman" w:hAnsi="Arial" w:cs="Arial"/>
                <w:sz w:val="20"/>
                <w:szCs w:val="20"/>
                <w:lang w:eastAsia="en-AU"/>
              </w:rPr>
              <w:t xml:space="preserve"> Neighbourhood development plan with regards to: </w:t>
            </w:r>
          </w:p>
          <w:p w:rsidR="00D42FF7" w:rsidRPr="00B50BC9" w:rsidRDefault="00D42FF7" w:rsidP="00D42FF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the provision of infrastructure and services associated with reconfiguring a lot and land development;</w:t>
            </w:r>
          </w:p>
          <w:p w:rsidR="00D42FF7" w:rsidRPr="00B50BC9" w:rsidRDefault="00D42FF7" w:rsidP="00D42FF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utilities;</w:t>
            </w:r>
          </w:p>
          <w:p w:rsidR="00D42FF7" w:rsidRPr="00B50BC9" w:rsidRDefault="00D42FF7" w:rsidP="00D42FF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parks and open space;</w:t>
            </w:r>
          </w:p>
          <w:p w:rsidR="00D42FF7" w:rsidRPr="00B50BC9" w:rsidRDefault="00D42FF7" w:rsidP="00D42FF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environmental and recreational facilities.</w:t>
            </w:r>
          </w:p>
        </w:tc>
        <w:tc>
          <w:tcPr>
            <w:tcW w:w="1575" w:type="pct"/>
            <w:shd w:val="clear" w:color="auto" w:fill="FFFFFF"/>
            <w:tcMar>
              <w:top w:w="30" w:type="dxa"/>
              <w:left w:w="30" w:type="dxa"/>
              <w:bottom w:w="30" w:type="dxa"/>
              <w:right w:w="30" w:type="dxa"/>
            </w:tcMar>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No example provided.</w:t>
            </w:r>
          </w:p>
        </w:tc>
        <w:tc>
          <w:tcPr>
            <w:tcW w:w="594" w:type="pct"/>
            <w:gridSpan w:val="4"/>
            <w:shd w:val="clear" w:color="auto" w:fill="FFFFFF"/>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064" w:type="pct"/>
            <w:gridSpan w:val="2"/>
            <w:shd w:val="clear" w:color="auto" w:fill="FFFFFF"/>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5F3D15">
        <w:tblPrEx>
          <w:tblBorders>
            <w:insideH w:val="outset" w:sz="6" w:space="0" w:color="auto"/>
            <w:insideV w:val="outset" w:sz="6" w:space="0" w:color="auto"/>
          </w:tblBorders>
        </w:tblPrEx>
        <w:trPr>
          <w:gridAfter w:val="1"/>
          <w:wAfter w:w="68" w:type="pct"/>
          <w:trHeight w:val="392"/>
          <w:tblCellSpacing w:w="15" w:type="dxa"/>
        </w:trPr>
        <w:tc>
          <w:tcPr>
            <w:tcW w:w="3226" w:type="pct"/>
            <w:gridSpan w:val="3"/>
            <w:shd w:val="clear" w:color="auto" w:fill="CCCCCC"/>
            <w:tcMar>
              <w:top w:w="30" w:type="dxa"/>
              <w:left w:w="30" w:type="dxa"/>
              <w:bottom w:w="30" w:type="dxa"/>
              <w:right w:w="30" w:type="dxa"/>
            </w:tcMar>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Lot size and design</w:t>
            </w:r>
          </w:p>
        </w:tc>
        <w:tc>
          <w:tcPr>
            <w:tcW w:w="594" w:type="pct"/>
            <w:gridSpan w:val="4"/>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4" w:type="pct"/>
            <w:gridSpan w:val="2"/>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gridAfter w:val="1"/>
          <w:wAfter w:w="68" w:type="pct"/>
          <w:tblCellSpacing w:w="15" w:type="dxa"/>
        </w:trPr>
        <w:tc>
          <w:tcPr>
            <w:tcW w:w="1642" w:type="pct"/>
            <w:gridSpan w:val="2"/>
            <w:tcMar>
              <w:top w:w="30" w:type="dxa"/>
              <w:left w:w="30" w:type="dxa"/>
              <w:bottom w:w="30" w:type="dxa"/>
              <w:right w:w="30" w:type="dxa"/>
            </w:tcMar>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PO2</w:t>
            </w:r>
          </w:p>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 xml:space="preserve">Reconfiguring a lot provides a lot size and design which accounts for protecting, maintaining and enhancing the ecological, natural and biodiversity values inherent in the precinct. </w:t>
            </w:r>
          </w:p>
          <w:p w:rsidR="00D42FF7" w:rsidRPr="00B50BC9"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1575" w:type="pct"/>
            <w:tcMar>
              <w:top w:w="30" w:type="dxa"/>
              <w:left w:w="30" w:type="dxa"/>
              <w:bottom w:w="30" w:type="dxa"/>
              <w:right w:w="30" w:type="dxa"/>
            </w:tcMar>
            <w:hideMark/>
          </w:tcPr>
          <w:p w:rsidR="00D42FF7" w:rsidRPr="000A3D33" w:rsidRDefault="000A3D33" w:rsidP="00D42FF7">
            <w:pPr>
              <w:spacing w:before="100" w:beforeAutospacing="1" w:after="100" w:afterAutospacing="1" w:line="240" w:lineRule="auto"/>
              <w:ind w:left="150" w:right="150"/>
              <w:rPr>
                <w:rFonts w:ascii="Arial" w:eastAsia="Times New Roman" w:hAnsi="Arial" w:cs="Arial"/>
                <w:sz w:val="20"/>
                <w:szCs w:val="20"/>
                <w:lang w:eastAsia="en-AU"/>
              </w:rPr>
            </w:pPr>
            <w:r w:rsidRPr="000A3D33">
              <w:rPr>
                <w:rFonts w:ascii="Arial" w:eastAsia="Times New Roman" w:hAnsi="Arial" w:cs="Arial"/>
                <w:sz w:val="20"/>
                <w:szCs w:val="20"/>
                <w:lang w:eastAsia="en-AU"/>
              </w:rPr>
              <w:t>No example provided.</w:t>
            </w:r>
          </w:p>
        </w:tc>
        <w:tc>
          <w:tcPr>
            <w:tcW w:w="594" w:type="pct"/>
            <w:gridSpan w:val="4"/>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4" w:type="pct"/>
            <w:gridSpan w:val="2"/>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gridAfter w:val="1"/>
          <w:wAfter w:w="68" w:type="pct"/>
          <w:tblCellSpacing w:w="15" w:type="dxa"/>
        </w:trPr>
        <w:tc>
          <w:tcPr>
            <w:tcW w:w="1642" w:type="pct"/>
            <w:gridSpan w:val="2"/>
            <w:tcMar>
              <w:top w:w="30" w:type="dxa"/>
              <w:left w:w="30" w:type="dxa"/>
              <w:bottom w:w="30" w:type="dxa"/>
              <w:right w:w="30" w:type="dxa"/>
            </w:tcMar>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PO3</w:t>
            </w:r>
          </w:p>
          <w:p w:rsidR="00D42FF7"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 xml:space="preserve">Areas for recreation and open space purposes are provided in locations, and of a size and design standard to meet the recreational needs of the community in accordance with </w:t>
            </w:r>
            <w:r w:rsidR="000A3D33" w:rsidRPr="000A3D33">
              <w:rPr>
                <w:rFonts w:ascii="Arial" w:eastAsia="Times New Roman" w:hAnsi="Arial" w:cs="Arial"/>
                <w:sz w:val="20"/>
                <w:szCs w:val="20"/>
                <w:lang w:eastAsia="en-AU"/>
              </w:rPr>
              <w:t>the relevant approved Neighbourhood development plan</w:t>
            </w:r>
            <w:r w:rsidR="000A3D33">
              <w:rPr>
                <w:rFonts w:ascii="Arial" w:eastAsia="Times New Roman" w:hAnsi="Arial" w:cs="Arial"/>
                <w:sz w:val="20"/>
                <w:szCs w:val="20"/>
                <w:lang w:eastAsia="en-AU"/>
              </w:rPr>
              <w:t>.</w:t>
            </w:r>
          </w:p>
          <w:p w:rsidR="005F3D15" w:rsidRPr="00B50BC9" w:rsidRDefault="005F3D15" w:rsidP="00F56487">
            <w:pPr>
              <w:spacing w:before="100" w:beforeAutospacing="1" w:after="100" w:afterAutospacing="1" w:line="240" w:lineRule="auto"/>
              <w:ind w:left="150" w:right="150"/>
              <w:jc w:val="center"/>
              <w:rPr>
                <w:rFonts w:ascii="Arial" w:eastAsia="Times New Roman" w:hAnsi="Arial" w:cs="Arial"/>
                <w:sz w:val="20"/>
                <w:szCs w:val="20"/>
                <w:lang w:eastAsia="en-AU"/>
              </w:rPr>
            </w:pPr>
          </w:p>
        </w:tc>
        <w:tc>
          <w:tcPr>
            <w:tcW w:w="1575" w:type="pct"/>
            <w:tcMar>
              <w:top w:w="30" w:type="dxa"/>
              <w:left w:w="30" w:type="dxa"/>
              <w:bottom w:w="30" w:type="dxa"/>
              <w:right w:w="30" w:type="dxa"/>
            </w:tcMar>
            <w:hideMark/>
          </w:tcPr>
          <w:p w:rsidR="00D42FF7" w:rsidRPr="00B50BC9" w:rsidRDefault="000A3D33"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No example provided.</w:t>
            </w:r>
          </w:p>
        </w:tc>
        <w:tc>
          <w:tcPr>
            <w:tcW w:w="594" w:type="pct"/>
            <w:gridSpan w:val="4"/>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4" w:type="pct"/>
            <w:gridSpan w:val="2"/>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gridAfter w:val="1"/>
          <w:wAfter w:w="68" w:type="pct"/>
          <w:tblCellSpacing w:w="15" w:type="dxa"/>
        </w:trPr>
        <w:tc>
          <w:tcPr>
            <w:tcW w:w="1642" w:type="pct"/>
            <w:gridSpan w:val="2"/>
            <w:tcMar>
              <w:top w:w="30" w:type="dxa"/>
              <w:left w:w="30" w:type="dxa"/>
              <w:bottom w:w="30" w:type="dxa"/>
              <w:right w:w="30" w:type="dxa"/>
            </w:tcMar>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lastRenderedPageBreak/>
              <w:t>PO4</w:t>
            </w:r>
          </w:p>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Areas of recreation and open space are of a size and design standard to meet the needs of the expected users.  Parks</w:t>
            </w:r>
            <w:r w:rsidRPr="00B50BC9">
              <w:rPr>
                <w:rFonts w:ascii="Arial" w:eastAsia="Times New Roman" w:hAnsi="Arial" w:cs="Arial"/>
                <w:sz w:val="20"/>
                <w:szCs w:val="20"/>
                <w:vertAlign w:val="superscript"/>
                <w:lang w:eastAsia="en-AU"/>
              </w:rPr>
              <w:t>(</w:t>
            </w:r>
            <w:hyperlink r:id="rId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50BC9">
                <w:rPr>
                  <w:rFonts w:ascii="Arial" w:eastAsia="Times New Roman" w:hAnsi="Arial" w:cs="Arial"/>
                  <w:sz w:val="20"/>
                  <w:szCs w:val="20"/>
                  <w:vertAlign w:val="superscript"/>
                  <w:lang w:eastAsia="en-AU"/>
                </w:rPr>
                <w:t>57</w:t>
              </w:r>
            </w:hyperlink>
            <w:r w:rsidRPr="00B50BC9">
              <w:rPr>
                <w:rFonts w:ascii="Arial" w:eastAsia="Times New Roman" w:hAnsi="Arial" w:cs="Arial"/>
                <w:sz w:val="20"/>
                <w:szCs w:val="20"/>
                <w:vertAlign w:val="superscript"/>
                <w:lang w:eastAsia="en-AU"/>
              </w:rPr>
              <w:t>)</w:t>
            </w:r>
            <w:r w:rsidRPr="00B50BC9">
              <w:rPr>
                <w:rFonts w:ascii="Arial" w:eastAsia="Times New Roman" w:hAnsi="Arial" w:cs="Arial"/>
                <w:sz w:val="20"/>
                <w:szCs w:val="20"/>
                <w:lang w:eastAsia="en-AU"/>
              </w:rPr>
              <w:t xml:space="preserve"> are provided as follows: </w:t>
            </w:r>
          </w:p>
          <w:tbl>
            <w:tblPr>
              <w:tblW w:w="4915" w:type="dxa"/>
              <w:tblCellSpacing w:w="15" w:type="dxa"/>
              <w:tblInd w:w="51"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466"/>
              <w:gridCol w:w="1061"/>
              <w:gridCol w:w="1194"/>
              <w:gridCol w:w="1194"/>
            </w:tblGrid>
            <w:tr w:rsidR="00B50BC9" w:rsidRPr="00B442F6" w:rsidTr="00B442F6">
              <w:trPr>
                <w:trHeight w:val="672"/>
                <w:tblCellSpacing w:w="15" w:type="dxa"/>
              </w:trPr>
              <w:tc>
                <w:tcPr>
                  <w:tcW w:w="142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Open space type</w:t>
                  </w:r>
                </w:p>
              </w:tc>
              <w:tc>
                <w:tcPr>
                  <w:tcW w:w="103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Minimum area</w:t>
                  </w:r>
                </w:p>
              </w:tc>
              <w:tc>
                <w:tcPr>
                  <w:tcW w:w="1164"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Walking catchment</w:t>
                  </w:r>
                </w:p>
              </w:tc>
              <w:tc>
                <w:tcPr>
                  <w:tcW w:w="1149"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Rate</w:t>
                  </w:r>
                </w:p>
              </w:tc>
            </w:tr>
            <w:tr w:rsidR="00B50BC9" w:rsidRPr="00B442F6" w:rsidTr="00B442F6">
              <w:trPr>
                <w:trHeight w:val="672"/>
                <w:tblCellSpacing w:w="15" w:type="dxa"/>
              </w:trPr>
              <w:tc>
                <w:tcPr>
                  <w:tcW w:w="142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Small local park</w:t>
                  </w:r>
                  <w:r w:rsidRPr="00B442F6">
                    <w:rPr>
                      <w:rFonts w:ascii="Arial" w:eastAsia="Times New Roman" w:hAnsi="Arial" w:cs="Arial"/>
                      <w:sz w:val="18"/>
                      <w:szCs w:val="18"/>
                      <w:vertAlign w:val="superscript"/>
                      <w:lang w:eastAsia="en-AU"/>
                    </w:rPr>
                    <w:t>(</w:t>
                  </w:r>
                  <w:hyperlink r:id="rId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442F6">
                      <w:rPr>
                        <w:rFonts w:ascii="Arial" w:eastAsia="Times New Roman" w:hAnsi="Arial" w:cs="Arial"/>
                        <w:sz w:val="18"/>
                        <w:szCs w:val="18"/>
                        <w:vertAlign w:val="superscript"/>
                        <w:lang w:eastAsia="en-AU"/>
                      </w:rPr>
                      <w:t>57</w:t>
                    </w:r>
                  </w:hyperlink>
                  <w:r w:rsidRPr="00B442F6">
                    <w:rPr>
                      <w:rFonts w:ascii="Arial" w:eastAsia="Times New Roman" w:hAnsi="Arial" w:cs="Arial"/>
                      <w:sz w:val="18"/>
                      <w:szCs w:val="18"/>
                      <w:vertAlign w:val="superscript"/>
                      <w:lang w:eastAsia="en-AU"/>
                    </w:rPr>
                    <w:t>)</w:t>
                  </w:r>
                  <w:r w:rsidRPr="00B442F6">
                    <w:rPr>
                      <w:rFonts w:ascii="Arial" w:eastAsia="Times New Roman" w:hAnsi="Arial" w:cs="Arial"/>
                      <w:sz w:val="18"/>
                      <w:szCs w:val="18"/>
                      <w:lang w:eastAsia="en-AU"/>
                    </w:rPr>
                    <w:t xml:space="preserve"> recreation </w:t>
                  </w:r>
                </w:p>
              </w:tc>
              <w:tc>
                <w:tcPr>
                  <w:tcW w:w="103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0.3 ha - 0.5 ha</w:t>
                  </w:r>
                </w:p>
              </w:tc>
              <w:tc>
                <w:tcPr>
                  <w:tcW w:w="1164"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150-300m</w:t>
                  </w:r>
                </w:p>
              </w:tc>
              <w:tc>
                <w:tcPr>
                  <w:tcW w:w="1149" w:type="dxa"/>
                  <w:vMerge w:val="restart"/>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0.5ha/1000 persons</w:t>
                  </w:r>
                </w:p>
              </w:tc>
            </w:tr>
            <w:tr w:rsidR="00B50BC9" w:rsidRPr="00B442F6" w:rsidTr="00B442F6">
              <w:trPr>
                <w:trHeight w:val="681"/>
                <w:tblCellSpacing w:w="15" w:type="dxa"/>
              </w:trPr>
              <w:tc>
                <w:tcPr>
                  <w:tcW w:w="142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Local park</w:t>
                  </w:r>
                  <w:r w:rsidRPr="00B442F6">
                    <w:rPr>
                      <w:rFonts w:ascii="Arial" w:eastAsia="Times New Roman" w:hAnsi="Arial" w:cs="Arial"/>
                      <w:sz w:val="18"/>
                      <w:szCs w:val="18"/>
                      <w:vertAlign w:val="superscript"/>
                      <w:lang w:eastAsia="en-AU"/>
                    </w:rPr>
                    <w:t>(</w:t>
                  </w:r>
                  <w:hyperlink r:id="rId9"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442F6">
                      <w:rPr>
                        <w:rFonts w:ascii="Arial" w:eastAsia="Times New Roman" w:hAnsi="Arial" w:cs="Arial"/>
                        <w:sz w:val="18"/>
                        <w:szCs w:val="18"/>
                        <w:vertAlign w:val="superscript"/>
                        <w:lang w:eastAsia="en-AU"/>
                      </w:rPr>
                      <w:t>57</w:t>
                    </w:r>
                  </w:hyperlink>
                  <w:r w:rsidRPr="00B442F6">
                    <w:rPr>
                      <w:rFonts w:ascii="Arial" w:eastAsia="Times New Roman" w:hAnsi="Arial" w:cs="Arial"/>
                      <w:sz w:val="18"/>
                      <w:szCs w:val="18"/>
                      <w:vertAlign w:val="superscript"/>
                      <w:lang w:eastAsia="en-AU"/>
                    </w:rPr>
                    <w:t>)</w:t>
                  </w:r>
                  <w:r w:rsidRPr="00B442F6">
                    <w:rPr>
                      <w:rFonts w:ascii="Arial" w:eastAsia="Times New Roman" w:hAnsi="Arial" w:cs="Arial"/>
                      <w:sz w:val="18"/>
                      <w:szCs w:val="18"/>
                      <w:lang w:eastAsia="en-AU"/>
                    </w:rPr>
                    <w:t xml:space="preserve"> recreation </w:t>
                  </w:r>
                </w:p>
              </w:tc>
              <w:tc>
                <w:tcPr>
                  <w:tcW w:w="103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0.5 ha - 1ha</w:t>
                  </w:r>
                </w:p>
              </w:tc>
              <w:tc>
                <w:tcPr>
                  <w:tcW w:w="1164"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400m</w:t>
                  </w:r>
                </w:p>
              </w:tc>
              <w:tc>
                <w:tcPr>
                  <w:tcW w:w="1149" w:type="dxa"/>
                  <w:vMerge/>
                  <w:tcBorders>
                    <w:top w:val="outset" w:sz="6" w:space="0" w:color="auto"/>
                    <w:left w:val="outset" w:sz="6" w:space="0" w:color="auto"/>
                    <w:bottom w:val="outset" w:sz="6" w:space="0" w:color="auto"/>
                    <w:right w:val="outset" w:sz="6" w:space="0" w:color="auto"/>
                  </w:tcBorders>
                  <w:vAlign w:val="center"/>
                  <w:hideMark/>
                </w:tcPr>
                <w:p w:rsidR="00D42FF7" w:rsidRPr="00B442F6" w:rsidRDefault="00D42FF7" w:rsidP="00D42FF7">
                  <w:pPr>
                    <w:spacing w:before="100" w:beforeAutospacing="1" w:after="100" w:afterAutospacing="1" w:line="240" w:lineRule="auto"/>
                    <w:rPr>
                      <w:rFonts w:ascii="Arial" w:eastAsia="Times New Roman" w:hAnsi="Arial" w:cs="Arial"/>
                      <w:sz w:val="18"/>
                      <w:szCs w:val="18"/>
                      <w:lang w:eastAsia="en-AU"/>
                    </w:rPr>
                  </w:pPr>
                </w:p>
              </w:tc>
            </w:tr>
            <w:tr w:rsidR="00B50BC9" w:rsidRPr="00B442F6" w:rsidTr="00B442F6">
              <w:trPr>
                <w:trHeight w:val="681"/>
                <w:tblCellSpacing w:w="15" w:type="dxa"/>
              </w:trPr>
              <w:tc>
                <w:tcPr>
                  <w:tcW w:w="142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District park</w:t>
                  </w:r>
                  <w:r w:rsidRPr="00B442F6">
                    <w:rPr>
                      <w:rFonts w:ascii="Arial" w:eastAsia="Times New Roman" w:hAnsi="Arial" w:cs="Arial"/>
                      <w:sz w:val="18"/>
                      <w:szCs w:val="18"/>
                      <w:vertAlign w:val="superscript"/>
                      <w:lang w:eastAsia="en-AU"/>
                    </w:rPr>
                    <w:t>(</w:t>
                  </w:r>
                  <w:hyperlink r:id="rId10"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442F6">
                      <w:rPr>
                        <w:rFonts w:ascii="Arial" w:eastAsia="Times New Roman" w:hAnsi="Arial" w:cs="Arial"/>
                        <w:sz w:val="18"/>
                        <w:szCs w:val="18"/>
                        <w:vertAlign w:val="superscript"/>
                        <w:lang w:eastAsia="en-AU"/>
                      </w:rPr>
                      <w:t>57</w:t>
                    </w:r>
                  </w:hyperlink>
                  <w:r w:rsidRPr="00B442F6">
                    <w:rPr>
                      <w:rFonts w:ascii="Arial" w:eastAsia="Times New Roman" w:hAnsi="Arial" w:cs="Arial"/>
                      <w:sz w:val="18"/>
                      <w:szCs w:val="18"/>
                      <w:vertAlign w:val="superscript"/>
                      <w:lang w:eastAsia="en-AU"/>
                    </w:rPr>
                    <w:t>)</w:t>
                  </w:r>
                  <w:r w:rsidRPr="00B442F6">
                    <w:rPr>
                      <w:rFonts w:ascii="Arial" w:eastAsia="Times New Roman" w:hAnsi="Arial" w:cs="Arial"/>
                      <w:sz w:val="18"/>
                      <w:szCs w:val="18"/>
                      <w:lang w:eastAsia="en-AU"/>
                    </w:rPr>
                    <w:t xml:space="preserve"> recreation </w:t>
                  </w:r>
                </w:p>
              </w:tc>
              <w:tc>
                <w:tcPr>
                  <w:tcW w:w="103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4 ha</w:t>
                  </w:r>
                </w:p>
              </w:tc>
              <w:tc>
                <w:tcPr>
                  <w:tcW w:w="1164"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1.2km</w:t>
                  </w:r>
                </w:p>
              </w:tc>
              <w:tc>
                <w:tcPr>
                  <w:tcW w:w="1149"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0.5 ha/1000 persons</w:t>
                  </w:r>
                </w:p>
              </w:tc>
            </w:tr>
            <w:tr w:rsidR="00B50BC9" w:rsidRPr="00B442F6" w:rsidTr="00B442F6">
              <w:trPr>
                <w:trHeight w:val="1344"/>
                <w:tblCellSpacing w:w="15" w:type="dxa"/>
              </w:trPr>
              <w:tc>
                <w:tcPr>
                  <w:tcW w:w="142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District civic park</w:t>
                  </w:r>
                  <w:r w:rsidRPr="00B442F6">
                    <w:rPr>
                      <w:rFonts w:ascii="Arial" w:eastAsia="Times New Roman" w:hAnsi="Arial" w:cs="Arial"/>
                      <w:sz w:val="18"/>
                      <w:szCs w:val="18"/>
                      <w:vertAlign w:val="superscript"/>
                      <w:lang w:eastAsia="en-AU"/>
                    </w:rPr>
                    <w:t>(</w:t>
                  </w:r>
                  <w:hyperlink r:id="rId11"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442F6">
                      <w:rPr>
                        <w:rFonts w:ascii="Arial" w:eastAsia="Times New Roman" w:hAnsi="Arial" w:cs="Arial"/>
                        <w:sz w:val="18"/>
                        <w:szCs w:val="18"/>
                        <w:vertAlign w:val="superscript"/>
                        <w:lang w:eastAsia="en-AU"/>
                      </w:rPr>
                      <w:t>57</w:t>
                    </w:r>
                  </w:hyperlink>
                  <w:r w:rsidRPr="00B442F6">
                    <w:rPr>
                      <w:rFonts w:ascii="Arial" w:eastAsia="Times New Roman" w:hAnsi="Arial" w:cs="Arial"/>
                      <w:sz w:val="18"/>
                      <w:szCs w:val="18"/>
                      <w:vertAlign w:val="superscript"/>
                      <w:lang w:eastAsia="en-AU"/>
                    </w:rPr>
                    <w:t>)</w:t>
                  </w:r>
                  <w:r w:rsidRPr="00B442F6">
                    <w:rPr>
                      <w:rFonts w:ascii="Arial" w:eastAsia="Times New Roman" w:hAnsi="Arial" w:cs="Arial"/>
                      <w:sz w:val="18"/>
                      <w:szCs w:val="18"/>
                      <w:lang w:eastAsia="en-AU"/>
                    </w:rPr>
                    <w:t xml:space="preserve"> (Town centre  only) </w:t>
                  </w:r>
                </w:p>
              </w:tc>
              <w:tc>
                <w:tcPr>
                  <w:tcW w:w="103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3000m2</w:t>
                  </w:r>
                </w:p>
              </w:tc>
              <w:tc>
                <w:tcPr>
                  <w:tcW w:w="1164"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n/a</w:t>
                  </w:r>
                </w:p>
              </w:tc>
              <w:tc>
                <w:tcPr>
                  <w:tcW w:w="1149"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n/a – only 1 needed in the Town centre</w:t>
                  </w:r>
                </w:p>
              </w:tc>
            </w:tr>
            <w:tr w:rsidR="00B50BC9" w:rsidRPr="00B442F6" w:rsidTr="00B442F6">
              <w:trPr>
                <w:trHeight w:val="672"/>
                <w:tblCellSpacing w:w="15" w:type="dxa"/>
              </w:trPr>
              <w:tc>
                <w:tcPr>
                  <w:tcW w:w="142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Regional/District sports*</w:t>
                  </w:r>
                </w:p>
              </w:tc>
              <w:tc>
                <w:tcPr>
                  <w:tcW w:w="1031"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4 parks add up to 80ha</w:t>
                  </w:r>
                </w:p>
              </w:tc>
              <w:tc>
                <w:tcPr>
                  <w:tcW w:w="1164"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n/a</w:t>
                  </w:r>
                </w:p>
              </w:tc>
              <w:tc>
                <w:tcPr>
                  <w:tcW w:w="1149" w:type="dxa"/>
                  <w:tcBorders>
                    <w:top w:val="outset" w:sz="6" w:space="0" w:color="auto"/>
                    <w:left w:val="outset" w:sz="6" w:space="0" w:color="auto"/>
                    <w:bottom w:val="outset" w:sz="6" w:space="0" w:color="auto"/>
                    <w:right w:val="outset" w:sz="6" w:space="0" w:color="auto"/>
                  </w:tcBorders>
                  <w:hideMark/>
                </w:tcPr>
                <w:p w:rsidR="00D42FF7" w:rsidRPr="00B442F6" w:rsidRDefault="00D42FF7" w:rsidP="00D42FF7">
                  <w:pPr>
                    <w:spacing w:before="100" w:beforeAutospacing="1" w:after="100" w:afterAutospacing="1" w:line="240" w:lineRule="auto"/>
                    <w:ind w:left="150" w:right="150"/>
                    <w:rPr>
                      <w:rFonts w:ascii="Arial" w:eastAsia="Times New Roman" w:hAnsi="Arial" w:cs="Arial"/>
                      <w:sz w:val="18"/>
                      <w:szCs w:val="18"/>
                      <w:lang w:eastAsia="en-AU"/>
                    </w:rPr>
                  </w:pPr>
                  <w:r w:rsidRPr="00B442F6">
                    <w:rPr>
                      <w:rFonts w:ascii="Arial" w:eastAsia="Times New Roman" w:hAnsi="Arial" w:cs="Arial"/>
                      <w:sz w:val="18"/>
                      <w:szCs w:val="18"/>
                      <w:lang w:eastAsia="en-AU"/>
                    </w:rPr>
                    <w:t>4 parks @ 80ha each</w:t>
                  </w:r>
                </w:p>
              </w:tc>
            </w:tr>
          </w:tbl>
          <w:p w:rsidR="00D42FF7" w:rsidRPr="00B50BC9" w:rsidRDefault="00D42FF7">
            <w:pPr>
              <w:rPr>
                <w:rFonts w:ascii="Arial" w:hAnsi="Arial" w:cs="Arial"/>
                <w:sz w:val="20"/>
                <w:szCs w:val="20"/>
              </w:rPr>
            </w:pPr>
          </w:p>
          <w:tbl>
            <w:tblPr>
              <w:tblW w:w="5370" w:type="dxa"/>
              <w:tblCellSpacing w:w="15" w:type="dxa"/>
              <w:tblInd w:w="8" w:type="dxa"/>
              <w:tblLayout w:type="fixed"/>
              <w:tblCellMar>
                <w:top w:w="30" w:type="dxa"/>
                <w:left w:w="30" w:type="dxa"/>
                <w:bottom w:w="30" w:type="dxa"/>
                <w:right w:w="30" w:type="dxa"/>
              </w:tblCellMar>
              <w:tblLook w:val="04A0" w:firstRow="1" w:lastRow="0" w:firstColumn="1" w:lastColumn="0" w:noHBand="0" w:noVBand="1"/>
              <w:tblDescription w:val=""/>
            </w:tblPr>
            <w:tblGrid>
              <w:gridCol w:w="5370"/>
            </w:tblGrid>
            <w:tr w:rsidR="00B50BC9" w:rsidRPr="00B50BC9" w:rsidTr="00D42FF7">
              <w:trPr>
                <w:tblCellSpacing w:w="15" w:type="dxa"/>
              </w:trPr>
              <w:tc>
                <w:tcPr>
                  <w:tcW w:w="5310" w:type="dxa"/>
                  <w:vAlign w:val="center"/>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 xml:space="preserve">* </w:t>
                  </w:r>
                  <w:r w:rsidRPr="00031EC8">
                    <w:rPr>
                      <w:rFonts w:ascii="Arial" w:eastAsia="Times New Roman" w:hAnsi="Arial" w:cs="Arial"/>
                      <w:sz w:val="18"/>
                      <w:szCs w:val="20"/>
                      <w:lang w:eastAsia="en-AU"/>
                    </w:rPr>
                    <w:t>Regional and district parks have been identified on the Figure 7.2.3.4 - Green network and open space.</w:t>
                  </w:r>
                </w:p>
              </w:tc>
            </w:tr>
          </w:tbl>
          <w:p w:rsidR="00D42FF7" w:rsidRPr="00B50BC9"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1575" w:type="pct"/>
            <w:tcMar>
              <w:top w:w="30" w:type="dxa"/>
              <w:left w:w="30" w:type="dxa"/>
              <w:bottom w:w="30" w:type="dxa"/>
              <w:right w:w="30" w:type="dxa"/>
            </w:tcMar>
            <w:hideMark/>
          </w:tcPr>
          <w:p w:rsidR="00D42FF7" w:rsidRPr="00B50BC9" w:rsidRDefault="000A3D33"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No example provided.</w:t>
            </w:r>
          </w:p>
        </w:tc>
        <w:tc>
          <w:tcPr>
            <w:tcW w:w="594" w:type="pct"/>
            <w:gridSpan w:val="4"/>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4" w:type="pct"/>
            <w:gridSpan w:val="2"/>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gridAfter w:val="1"/>
          <w:wAfter w:w="68" w:type="pct"/>
          <w:tblCellSpacing w:w="15" w:type="dxa"/>
        </w:trPr>
        <w:tc>
          <w:tcPr>
            <w:tcW w:w="1642" w:type="pct"/>
            <w:gridSpan w:val="2"/>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PO5</w:t>
            </w:r>
          </w:p>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 xml:space="preserve">The safety and useability of areas for recreation and open space purposes are ensured through the careful design of the street network and lot locations which provide high levels of surveillance and access. The provision of parks will consider the following: </w:t>
            </w:r>
          </w:p>
          <w:p w:rsidR="00D42FF7" w:rsidRPr="00B50BC9" w:rsidRDefault="00D42FF7" w:rsidP="00D42FF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lastRenderedPageBreak/>
              <w:t>local and district parks are bordered by streets and not lots wherever possible;</w:t>
            </w:r>
          </w:p>
          <w:p w:rsidR="00D42FF7" w:rsidRPr="00B50BC9" w:rsidRDefault="00D42FF7" w:rsidP="00D42FF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where lots do address local and district parks, fencing is provided along the park</w:t>
            </w:r>
            <w:r w:rsidRPr="00B50BC9">
              <w:rPr>
                <w:rFonts w:ascii="Arial" w:eastAsia="Times New Roman" w:hAnsi="Arial" w:cs="Arial"/>
                <w:sz w:val="20"/>
                <w:szCs w:val="20"/>
                <w:vertAlign w:val="superscript"/>
                <w:lang w:eastAsia="en-AU"/>
              </w:rPr>
              <w:t>(</w:t>
            </w:r>
            <w:hyperlink r:id="rId12"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50BC9">
                <w:rPr>
                  <w:rFonts w:ascii="Arial" w:eastAsia="Times New Roman" w:hAnsi="Arial" w:cs="Arial"/>
                  <w:sz w:val="20"/>
                  <w:szCs w:val="20"/>
                  <w:vertAlign w:val="superscript"/>
                  <w:lang w:eastAsia="en-AU"/>
                </w:rPr>
                <w:t>57</w:t>
              </w:r>
            </w:hyperlink>
            <w:r w:rsidRPr="00B50BC9">
              <w:rPr>
                <w:rFonts w:ascii="Arial" w:eastAsia="Times New Roman" w:hAnsi="Arial" w:cs="Arial"/>
                <w:sz w:val="20"/>
                <w:szCs w:val="20"/>
                <w:vertAlign w:val="superscript"/>
                <w:lang w:eastAsia="en-AU"/>
              </w:rPr>
              <w:t>)</w:t>
            </w:r>
            <w:r w:rsidRPr="00B50BC9">
              <w:rPr>
                <w:rFonts w:ascii="Arial" w:eastAsia="Times New Roman" w:hAnsi="Arial" w:cs="Arial"/>
                <w:sz w:val="20"/>
                <w:szCs w:val="20"/>
                <w:lang w:eastAsia="en-AU"/>
              </w:rPr>
              <w:t xml:space="preserve"> boundary at a maximum height of 1m prior to the sealing of the plan of subdivision; </w:t>
            </w:r>
          </w:p>
          <w:p w:rsidR="00D42FF7" w:rsidRPr="00B50BC9" w:rsidRDefault="00D42FF7" w:rsidP="00D42FF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the design of fencing and retaining features allows for safe and direct pedestrian access between the park</w:t>
            </w:r>
            <w:r w:rsidRPr="00B50BC9">
              <w:rPr>
                <w:rFonts w:ascii="Arial" w:eastAsia="Times New Roman" w:hAnsi="Arial" w:cs="Arial"/>
                <w:sz w:val="20"/>
                <w:szCs w:val="20"/>
                <w:vertAlign w:val="superscript"/>
                <w:lang w:eastAsia="en-AU"/>
              </w:rPr>
              <w:t>(</w:t>
            </w:r>
            <w:hyperlink r:id="rId1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50BC9">
                <w:rPr>
                  <w:rFonts w:ascii="Arial" w:eastAsia="Times New Roman" w:hAnsi="Arial" w:cs="Arial"/>
                  <w:sz w:val="20"/>
                  <w:szCs w:val="20"/>
                  <w:vertAlign w:val="superscript"/>
                  <w:lang w:eastAsia="en-AU"/>
                </w:rPr>
                <w:t>57</w:t>
              </w:r>
            </w:hyperlink>
            <w:r w:rsidRPr="00B50BC9">
              <w:rPr>
                <w:rFonts w:ascii="Arial" w:eastAsia="Times New Roman" w:hAnsi="Arial" w:cs="Arial"/>
                <w:sz w:val="20"/>
                <w:szCs w:val="20"/>
                <w:vertAlign w:val="superscript"/>
                <w:lang w:eastAsia="en-AU"/>
              </w:rPr>
              <w:t>)</w:t>
            </w:r>
            <w:r w:rsidRPr="00B50BC9">
              <w:rPr>
                <w:rFonts w:ascii="Arial" w:eastAsia="Times New Roman" w:hAnsi="Arial" w:cs="Arial"/>
                <w:sz w:val="20"/>
                <w:szCs w:val="20"/>
                <w:lang w:eastAsia="en-AU"/>
              </w:rPr>
              <w:t xml:space="preserve"> and private allotment through the use of private gates and limited retaining features along park</w:t>
            </w:r>
            <w:r w:rsidRPr="00B50BC9">
              <w:rPr>
                <w:rFonts w:ascii="Arial" w:eastAsia="Times New Roman" w:hAnsi="Arial" w:cs="Arial"/>
                <w:sz w:val="20"/>
                <w:szCs w:val="20"/>
                <w:vertAlign w:val="superscript"/>
                <w:lang w:eastAsia="en-AU"/>
              </w:rPr>
              <w:t>(</w:t>
            </w:r>
            <w:hyperlink r:id="rId14"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50BC9">
                <w:rPr>
                  <w:rFonts w:ascii="Arial" w:eastAsia="Times New Roman" w:hAnsi="Arial" w:cs="Arial"/>
                  <w:sz w:val="20"/>
                  <w:szCs w:val="20"/>
                  <w:vertAlign w:val="superscript"/>
                  <w:lang w:eastAsia="en-AU"/>
                </w:rPr>
                <w:t>57</w:t>
              </w:r>
            </w:hyperlink>
            <w:r w:rsidRPr="00B50BC9">
              <w:rPr>
                <w:rFonts w:ascii="Arial" w:eastAsia="Times New Roman" w:hAnsi="Arial" w:cs="Arial"/>
                <w:sz w:val="20"/>
                <w:szCs w:val="20"/>
                <w:vertAlign w:val="superscript"/>
                <w:lang w:eastAsia="en-AU"/>
              </w:rPr>
              <w:t>)</w:t>
            </w:r>
            <w:r w:rsidRPr="00B50BC9">
              <w:rPr>
                <w:rFonts w:ascii="Arial" w:eastAsia="Times New Roman" w:hAnsi="Arial" w:cs="Arial"/>
                <w:sz w:val="20"/>
                <w:szCs w:val="20"/>
                <w:lang w:eastAsia="en-AU"/>
              </w:rPr>
              <w:t xml:space="preserve"> boundaries. </w:t>
            </w:r>
          </w:p>
        </w:tc>
        <w:tc>
          <w:tcPr>
            <w:tcW w:w="1575" w:type="pct"/>
            <w:hideMark/>
          </w:tcPr>
          <w:p w:rsidR="00D42FF7" w:rsidRPr="000A3D33" w:rsidRDefault="000A3D33" w:rsidP="00D42FF7">
            <w:pPr>
              <w:spacing w:before="100" w:beforeAutospacing="1" w:after="100" w:afterAutospacing="1" w:line="240" w:lineRule="auto"/>
              <w:ind w:left="150" w:right="150"/>
              <w:rPr>
                <w:rFonts w:ascii="Arial" w:eastAsia="Times New Roman" w:hAnsi="Arial" w:cs="Arial"/>
                <w:sz w:val="20"/>
                <w:szCs w:val="20"/>
                <w:lang w:eastAsia="en-AU"/>
              </w:rPr>
            </w:pPr>
            <w:r w:rsidRPr="000A3D33">
              <w:rPr>
                <w:rFonts w:ascii="Arial" w:eastAsia="Times New Roman" w:hAnsi="Arial" w:cs="Arial"/>
                <w:sz w:val="20"/>
                <w:szCs w:val="20"/>
                <w:lang w:eastAsia="en-AU"/>
              </w:rPr>
              <w:lastRenderedPageBreak/>
              <w:t>No example provided.</w:t>
            </w:r>
          </w:p>
        </w:tc>
        <w:tc>
          <w:tcPr>
            <w:tcW w:w="594" w:type="pct"/>
            <w:gridSpan w:val="4"/>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4" w:type="pct"/>
            <w:gridSpan w:val="2"/>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0BC9" w:rsidRPr="00B50BC9" w:rsidTr="005F3D15">
        <w:tblPrEx>
          <w:tblBorders>
            <w:insideH w:val="outset" w:sz="6" w:space="0" w:color="auto"/>
            <w:insideV w:val="outset" w:sz="6" w:space="0" w:color="auto"/>
          </w:tblBorders>
        </w:tblPrEx>
        <w:trPr>
          <w:gridAfter w:val="1"/>
          <w:wAfter w:w="68" w:type="pct"/>
          <w:trHeight w:val="344"/>
          <w:tblCellSpacing w:w="15" w:type="dxa"/>
        </w:trPr>
        <w:tc>
          <w:tcPr>
            <w:tcW w:w="3226" w:type="pct"/>
            <w:gridSpan w:val="3"/>
            <w:shd w:val="clear" w:color="auto" w:fill="CCCCCC"/>
            <w:hideMark/>
          </w:tcPr>
          <w:p w:rsidR="00D42FF7" w:rsidRPr="00B50BC9" w:rsidRDefault="0045589B"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Utilities</w:t>
            </w:r>
          </w:p>
        </w:tc>
        <w:tc>
          <w:tcPr>
            <w:tcW w:w="594" w:type="pct"/>
            <w:gridSpan w:val="4"/>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4" w:type="pct"/>
            <w:gridSpan w:val="2"/>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gridAfter w:val="1"/>
          <w:wAfter w:w="68" w:type="pct"/>
          <w:tblCellSpacing w:w="15" w:type="dxa"/>
        </w:trPr>
        <w:tc>
          <w:tcPr>
            <w:tcW w:w="1642" w:type="pct"/>
            <w:gridSpan w:val="2"/>
            <w:hideMark/>
          </w:tcPr>
          <w:p w:rsidR="0045589B" w:rsidRPr="0045589B"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b/>
                <w:bCs/>
                <w:sz w:val="20"/>
                <w:szCs w:val="20"/>
                <w:lang w:eastAsia="en-AU"/>
              </w:rPr>
              <w:t>PO6</w:t>
            </w:r>
          </w:p>
          <w:p w:rsidR="0045589B" w:rsidRPr="0045589B"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sz w:val="20"/>
                <w:szCs w:val="20"/>
                <w:lang w:eastAsia="en-AU"/>
              </w:rPr>
              <w:t>All services including water supply, sewerage disposal, electricity, street lighting, telecommunications and gas (if available) are provided in a manner that:</w:t>
            </w:r>
          </w:p>
          <w:p w:rsidR="0045589B" w:rsidRPr="0045589B" w:rsidRDefault="0045589B" w:rsidP="0045589B">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t>is effective in delivery of service and meets reasonable community expectations;</w:t>
            </w:r>
          </w:p>
          <w:p w:rsidR="0045589B" w:rsidRPr="0045589B" w:rsidRDefault="0045589B" w:rsidP="0045589B">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t>has capacity to service the maximum lot yield envisaged for the zone and the service provider's design assumptions;</w:t>
            </w:r>
          </w:p>
          <w:p w:rsidR="0045589B" w:rsidRPr="0045589B" w:rsidRDefault="0045589B" w:rsidP="0045589B">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t>ensures a logical, sequential, efficient and integrated roll out of the service network;</w:t>
            </w:r>
          </w:p>
          <w:p w:rsidR="0045589B" w:rsidRPr="0045589B" w:rsidRDefault="0045589B" w:rsidP="0045589B">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t>is conveniently accessible in the event of maintenance or repair;</w:t>
            </w:r>
          </w:p>
          <w:p w:rsidR="0045589B" w:rsidRPr="0045589B" w:rsidRDefault="0045589B" w:rsidP="0045589B">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t>minimises whole of life cycle costs for that infrastructure provided;</w:t>
            </w:r>
          </w:p>
          <w:p w:rsidR="0045589B" w:rsidRPr="0045589B" w:rsidRDefault="0045589B" w:rsidP="0045589B">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t>minimises risk of potential adverse impacts on natural and physical environment;</w:t>
            </w:r>
          </w:p>
          <w:p w:rsidR="0045589B" w:rsidRPr="0045589B" w:rsidRDefault="0045589B" w:rsidP="0045589B">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t>minimises risk of potential adverse impact on amenity and character values;</w:t>
            </w:r>
          </w:p>
          <w:p w:rsidR="00D42FF7" w:rsidRPr="00B50BC9" w:rsidRDefault="0045589B" w:rsidP="0045589B">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lastRenderedPageBreak/>
              <w:t>recognises and promotes Council's Total Water Cycle Management policy and the efficient use of water resources.</w:t>
            </w:r>
          </w:p>
        </w:tc>
        <w:tc>
          <w:tcPr>
            <w:tcW w:w="1575" w:type="pct"/>
            <w:hideMark/>
          </w:tcPr>
          <w:p w:rsidR="0045589B" w:rsidRPr="0045589B"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b/>
                <w:bCs/>
                <w:sz w:val="20"/>
                <w:szCs w:val="20"/>
                <w:lang w:eastAsia="en-AU"/>
              </w:rPr>
              <w:lastRenderedPageBreak/>
              <w:t>E6</w:t>
            </w:r>
          </w:p>
          <w:p w:rsidR="00D42FF7" w:rsidRPr="00B50BC9"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sz w:val="20"/>
                <w:szCs w:val="20"/>
                <w:lang w:eastAsia="en-AU"/>
              </w:rPr>
              <w:t>Each lot is provided with an appropriate level of service and infrastructure in accordance with Planning scheme policy - Integrated design (Appendix A).</w:t>
            </w:r>
          </w:p>
        </w:tc>
        <w:tc>
          <w:tcPr>
            <w:tcW w:w="594" w:type="pct"/>
            <w:gridSpan w:val="4"/>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064" w:type="pct"/>
            <w:gridSpan w:val="2"/>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5F3D15">
        <w:tblPrEx>
          <w:tblBorders>
            <w:insideH w:val="outset" w:sz="6" w:space="0" w:color="auto"/>
            <w:insideV w:val="outset" w:sz="6" w:space="0" w:color="auto"/>
          </w:tblBorders>
        </w:tblPrEx>
        <w:trPr>
          <w:gridAfter w:val="1"/>
          <w:wAfter w:w="68" w:type="pct"/>
          <w:trHeight w:val="362"/>
          <w:tblCellSpacing w:w="15" w:type="dxa"/>
        </w:trPr>
        <w:tc>
          <w:tcPr>
            <w:tcW w:w="3226" w:type="pct"/>
            <w:gridSpan w:val="3"/>
            <w:shd w:val="clear" w:color="auto" w:fill="CCCCCC"/>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Vegetation clearing and environmental offsetting</w:t>
            </w:r>
          </w:p>
        </w:tc>
        <w:tc>
          <w:tcPr>
            <w:tcW w:w="594" w:type="pct"/>
            <w:gridSpan w:val="4"/>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4" w:type="pct"/>
            <w:gridSpan w:val="2"/>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gridAfter w:val="1"/>
          <w:wAfter w:w="68" w:type="pct"/>
          <w:tblCellSpacing w:w="15" w:type="dxa"/>
        </w:trPr>
        <w:tc>
          <w:tcPr>
            <w:tcW w:w="1642" w:type="pct"/>
            <w:gridSpan w:val="2"/>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PO7</w:t>
            </w:r>
          </w:p>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No vegetation clearing is permitted except for:</w:t>
            </w:r>
          </w:p>
          <w:p w:rsidR="00D42FF7" w:rsidRPr="00B50BC9" w:rsidRDefault="00D42FF7" w:rsidP="00D42FF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the provision of infrastructure and services associated with reconfiguring a lot and land development;</w:t>
            </w:r>
          </w:p>
          <w:p w:rsidR="00D42FF7" w:rsidRPr="00B50BC9" w:rsidRDefault="00D42FF7" w:rsidP="00D42FF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utilities;</w:t>
            </w:r>
          </w:p>
          <w:p w:rsidR="00D42FF7" w:rsidRPr="00B50BC9" w:rsidRDefault="00D42FF7" w:rsidP="00D42FF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parks and open space;</w:t>
            </w:r>
          </w:p>
          <w:p w:rsidR="00D42FF7" w:rsidRPr="00B50BC9" w:rsidRDefault="00D42FF7" w:rsidP="00D42FF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environmental and recreational facilities.</w:t>
            </w:r>
          </w:p>
        </w:tc>
        <w:tc>
          <w:tcPr>
            <w:tcW w:w="1575" w:type="pct"/>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No example provided.</w:t>
            </w:r>
          </w:p>
        </w:tc>
        <w:tc>
          <w:tcPr>
            <w:tcW w:w="594" w:type="pct"/>
            <w:gridSpan w:val="4"/>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064" w:type="pct"/>
            <w:gridSpan w:val="2"/>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5F3D15">
        <w:tblPrEx>
          <w:tblBorders>
            <w:insideH w:val="outset" w:sz="6" w:space="0" w:color="auto"/>
            <w:insideV w:val="outset" w:sz="6" w:space="0" w:color="auto"/>
          </w:tblBorders>
        </w:tblPrEx>
        <w:trPr>
          <w:tblCellSpacing w:w="15" w:type="dxa"/>
        </w:trPr>
        <w:tc>
          <w:tcPr>
            <w:tcW w:w="3265" w:type="pct"/>
            <w:gridSpan w:val="4"/>
            <w:shd w:val="clear" w:color="auto" w:fill="CCCCCC"/>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Boundary realignment</w:t>
            </w:r>
          </w:p>
        </w:tc>
        <w:tc>
          <w:tcPr>
            <w:tcW w:w="533" w:type="pct"/>
            <w:gridSpan w:val="2"/>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3" w:type="pct"/>
            <w:gridSpan w:val="4"/>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PO8</w:t>
            </w:r>
          </w:p>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 xml:space="preserve">Boundary </w:t>
            </w:r>
            <w:r w:rsidR="000A3D33">
              <w:rPr>
                <w:rFonts w:ascii="Arial" w:eastAsia="Times New Roman" w:hAnsi="Arial" w:cs="Arial"/>
                <w:sz w:val="20"/>
                <w:szCs w:val="20"/>
                <w:lang w:eastAsia="en-AU"/>
              </w:rPr>
              <w:t>re</w:t>
            </w:r>
            <w:r w:rsidRPr="00B50BC9">
              <w:rPr>
                <w:rFonts w:ascii="Arial" w:eastAsia="Times New Roman" w:hAnsi="Arial" w:cs="Arial"/>
                <w:sz w:val="20"/>
                <w:szCs w:val="20"/>
                <w:lang w:eastAsia="en-AU"/>
              </w:rPr>
              <w:t>alignments ensure that infrastructure and services are wholly contained within the lot they serve.</w:t>
            </w:r>
          </w:p>
        </w:tc>
        <w:tc>
          <w:tcPr>
            <w:tcW w:w="1649" w:type="pct"/>
            <w:gridSpan w:val="3"/>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No example provided.</w:t>
            </w:r>
          </w:p>
        </w:tc>
        <w:tc>
          <w:tcPr>
            <w:tcW w:w="533" w:type="pct"/>
            <w:gridSpan w:val="2"/>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163" w:type="pct"/>
            <w:gridSpan w:val="4"/>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PO9</w:t>
            </w:r>
          </w:p>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Boundary realignment does not result in:</w:t>
            </w:r>
          </w:p>
          <w:p w:rsidR="000A3D33" w:rsidRDefault="000A3D33" w:rsidP="00D42FF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0A3D33">
              <w:rPr>
                <w:rFonts w:ascii="Arial" w:eastAsia="Times New Roman" w:hAnsi="Arial" w:cs="Arial"/>
                <w:sz w:val="20"/>
                <w:szCs w:val="20"/>
                <w:lang w:eastAsia="en-AU"/>
              </w:rPr>
              <w:t>the creation of additional lots;</w:t>
            </w:r>
          </w:p>
          <w:p w:rsidR="00D42FF7" w:rsidRPr="00B50BC9" w:rsidRDefault="00D42FF7" w:rsidP="00D42FF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existing land uses on-site becoming non-compl</w:t>
            </w:r>
            <w:r w:rsidR="000A3D33">
              <w:rPr>
                <w:rFonts w:ascii="Arial" w:eastAsia="Times New Roman" w:hAnsi="Arial" w:cs="Arial"/>
                <w:sz w:val="20"/>
                <w:szCs w:val="20"/>
                <w:lang w:eastAsia="en-AU"/>
              </w:rPr>
              <w:t>iant</w:t>
            </w:r>
            <w:r w:rsidRPr="00B50BC9">
              <w:rPr>
                <w:rFonts w:ascii="Arial" w:eastAsia="Times New Roman" w:hAnsi="Arial" w:cs="Arial"/>
                <w:sz w:val="20"/>
                <w:szCs w:val="20"/>
                <w:lang w:eastAsia="en-AU"/>
              </w:rPr>
              <w:t xml:space="preserve"> with planning scheme criteria;</w:t>
            </w:r>
          </w:p>
          <w:p w:rsidR="00D42FF7" w:rsidRPr="00B50BC9" w:rsidRDefault="00D42FF7" w:rsidP="00D42FF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 xml:space="preserve">lots being </w:t>
            </w:r>
            <w:proofErr w:type="spellStart"/>
            <w:r w:rsidRPr="00B50BC9">
              <w:rPr>
                <w:rFonts w:ascii="Arial" w:eastAsia="Times New Roman" w:hAnsi="Arial" w:cs="Arial"/>
                <w:sz w:val="20"/>
                <w:szCs w:val="20"/>
                <w:lang w:eastAsia="en-AU"/>
              </w:rPr>
              <w:t>unserviced</w:t>
            </w:r>
            <w:proofErr w:type="spellEnd"/>
            <w:r w:rsidRPr="00B50BC9">
              <w:rPr>
                <w:rFonts w:ascii="Arial" w:eastAsia="Times New Roman" w:hAnsi="Arial" w:cs="Arial"/>
                <w:sz w:val="20"/>
                <w:szCs w:val="20"/>
                <w:lang w:eastAsia="en-AU"/>
              </w:rPr>
              <w:t xml:space="preserve"> by infrastructure;</w:t>
            </w:r>
          </w:p>
          <w:p w:rsidR="00D42FF7" w:rsidRPr="00B50BC9" w:rsidRDefault="00D42FF7" w:rsidP="00D42FF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lots not providing for own private servicing;</w:t>
            </w:r>
          </w:p>
          <w:p w:rsidR="00D42FF7" w:rsidRPr="00B50BC9" w:rsidRDefault="00D42FF7" w:rsidP="00D42FF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t>lots of a size or dimension inconsistent with that identified for any precinct or sub-precinct;</w:t>
            </w:r>
          </w:p>
          <w:p w:rsidR="00D42FF7" w:rsidRPr="0053664F" w:rsidRDefault="00D42FF7" w:rsidP="005C78ED">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3664F">
              <w:rPr>
                <w:rFonts w:ascii="Arial" w:eastAsia="Times New Roman" w:hAnsi="Arial" w:cs="Arial"/>
                <w:sz w:val="20"/>
                <w:szCs w:val="20"/>
                <w:lang w:eastAsia="en-AU"/>
              </w:rPr>
              <w:t>loss of habitat trees. Where habitat trees are to</w:t>
            </w:r>
            <w:r w:rsidR="0053664F" w:rsidRPr="0053664F">
              <w:rPr>
                <w:rFonts w:ascii="Arial" w:eastAsia="Times New Roman" w:hAnsi="Arial" w:cs="Arial"/>
                <w:sz w:val="20"/>
                <w:szCs w:val="20"/>
                <w:lang w:eastAsia="en-AU"/>
              </w:rPr>
              <w:t xml:space="preserve"> </w:t>
            </w:r>
            <w:r w:rsidRPr="0053664F">
              <w:rPr>
                <w:rFonts w:ascii="Arial" w:eastAsia="Times New Roman" w:hAnsi="Arial" w:cs="Arial"/>
                <w:sz w:val="20"/>
                <w:szCs w:val="20"/>
                <w:lang w:eastAsia="en-AU"/>
              </w:rPr>
              <w:t>be cleared, replacement fauna nesting boxes are</w:t>
            </w:r>
            <w:r w:rsidR="0053664F" w:rsidRPr="0053664F">
              <w:rPr>
                <w:rFonts w:ascii="Arial" w:eastAsia="Times New Roman" w:hAnsi="Arial" w:cs="Arial"/>
                <w:sz w:val="20"/>
                <w:szCs w:val="20"/>
                <w:lang w:eastAsia="en-AU"/>
              </w:rPr>
              <w:t xml:space="preserve"> </w:t>
            </w:r>
            <w:r w:rsidRPr="0053664F">
              <w:rPr>
                <w:rFonts w:ascii="Arial" w:eastAsia="Times New Roman" w:hAnsi="Arial" w:cs="Arial"/>
                <w:sz w:val="20"/>
                <w:szCs w:val="20"/>
                <w:lang w:eastAsia="en-AU"/>
              </w:rPr>
              <w:t>provided at the rate of 1 nest box for every hollow</w:t>
            </w:r>
            <w:r w:rsidR="0053664F" w:rsidRPr="0053664F">
              <w:rPr>
                <w:rFonts w:ascii="Arial" w:eastAsia="Times New Roman" w:hAnsi="Arial" w:cs="Arial"/>
                <w:sz w:val="20"/>
                <w:szCs w:val="20"/>
                <w:lang w:eastAsia="en-AU"/>
              </w:rPr>
              <w:t xml:space="preserve"> </w:t>
            </w:r>
            <w:r w:rsidRPr="0053664F">
              <w:rPr>
                <w:rFonts w:ascii="Arial" w:eastAsia="Times New Roman" w:hAnsi="Arial" w:cs="Arial"/>
                <w:sz w:val="20"/>
                <w:szCs w:val="20"/>
                <w:lang w:eastAsia="en-AU"/>
              </w:rPr>
              <w:t>removed. Where hollows have not yet formed in</w:t>
            </w:r>
            <w:r w:rsidR="0053664F" w:rsidRPr="0053664F">
              <w:rPr>
                <w:rFonts w:ascii="Arial" w:eastAsia="Times New Roman" w:hAnsi="Arial" w:cs="Arial"/>
                <w:sz w:val="20"/>
                <w:szCs w:val="20"/>
                <w:lang w:eastAsia="en-AU"/>
              </w:rPr>
              <w:t xml:space="preserve"> </w:t>
            </w:r>
            <w:r w:rsidRPr="0053664F">
              <w:rPr>
                <w:rFonts w:ascii="Arial" w:eastAsia="Times New Roman" w:hAnsi="Arial" w:cs="Arial"/>
                <w:sz w:val="20"/>
                <w:szCs w:val="20"/>
                <w:lang w:eastAsia="en-AU"/>
              </w:rPr>
              <w:t>trees &gt; 80cm in diameter at 1.3m height, 3 nest</w:t>
            </w:r>
            <w:r w:rsidR="0053664F">
              <w:rPr>
                <w:rFonts w:ascii="Arial" w:eastAsia="Times New Roman" w:hAnsi="Arial" w:cs="Arial"/>
                <w:sz w:val="20"/>
                <w:szCs w:val="20"/>
                <w:lang w:eastAsia="en-AU"/>
              </w:rPr>
              <w:t xml:space="preserve"> </w:t>
            </w:r>
            <w:r w:rsidRPr="0053664F">
              <w:rPr>
                <w:rFonts w:ascii="Arial" w:eastAsia="Times New Roman" w:hAnsi="Arial" w:cs="Arial"/>
                <w:sz w:val="20"/>
                <w:szCs w:val="20"/>
                <w:lang w:eastAsia="en-AU"/>
              </w:rPr>
              <w:t>boxes are required for every habitat tree removed;</w:t>
            </w:r>
          </w:p>
          <w:p w:rsidR="00D42FF7" w:rsidRPr="00B50BC9" w:rsidRDefault="00D42FF7" w:rsidP="00D42FF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50BC9">
              <w:rPr>
                <w:rFonts w:ascii="Arial" w:eastAsia="Times New Roman" w:hAnsi="Arial" w:cs="Arial"/>
                <w:sz w:val="20"/>
                <w:szCs w:val="20"/>
                <w:lang w:eastAsia="en-AU"/>
              </w:rPr>
              <w:lastRenderedPageBreak/>
              <w:t xml:space="preserve">adverse impacts on the quality and integrity of the biodiversity and ecological values inherent to </w:t>
            </w:r>
            <w:r w:rsidR="000A3D33">
              <w:rPr>
                <w:rFonts w:ascii="Arial" w:eastAsia="Times New Roman" w:hAnsi="Arial" w:cs="Arial"/>
                <w:sz w:val="20"/>
                <w:szCs w:val="20"/>
                <w:lang w:eastAsia="en-AU"/>
              </w:rPr>
              <w:t>the Green network precinct</w:t>
            </w:r>
            <w:r w:rsidRPr="00B50BC9">
              <w:rPr>
                <w:rFonts w:ascii="Arial" w:eastAsia="Times New Roman" w:hAnsi="Arial" w:cs="Arial"/>
                <w:sz w:val="20"/>
                <w:szCs w:val="20"/>
                <w:lang w:eastAsia="en-AU"/>
              </w:rPr>
              <w:t xml:space="preserve">. </w:t>
            </w:r>
          </w:p>
        </w:tc>
        <w:tc>
          <w:tcPr>
            <w:tcW w:w="1649" w:type="pct"/>
            <w:gridSpan w:val="3"/>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lastRenderedPageBreak/>
              <w:t>No example provided.</w:t>
            </w:r>
          </w:p>
        </w:tc>
        <w:tc>
          <w:tcPr>
            <w:tcW w:w="519"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5F3D15">
        <w:tblPrEx>
          <w:tblBorders>
            <w:insideH w:val="outset" w:sz="6" w:space="0" w:color="auto"/>
            <w:insideV w:val="outset" w:sz="6" w:space="0" w:color="auto"/>
          </w:tblBorders>
        </w:tblPrEx>
        <w:trPr>
          <w:tblCellSpacing w:w="15" w:type="dxa"/>
        </w:trPr>
        <w:tc>
          <w:tcPr>
            <w:tcW w:w="3265" w:type="pct"/>
            <w:gridSpan w:val="4"/>
            <w:shd w:val="clear" w:color="auto" w:fill="CCCCCC"/>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Reconfiguring a lot other than creating freehold lots</w:t>
            </w:r>
          </w:p>
        </w:tc>
        <w:tc>
          <w:tcPr>
            <w:tcW w:w="533" w:type="pct"/>
            <w:gridSpan w:val="2"/>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3" w:type="pct"/>
            <w:gridSpan w:val="4"/>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PO10</w:t>
            </w:r>
          </w:p>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 xml:space="preserve">Reconfiguring a lot which separates existing or approved buildings whether or not including </w:t>
            </w:r>
            <w:proofErr w:type="gramStart"/>
            <w:r w:rsidRPr="00B50BC9">
              <w:rPr>
                <w:rFonts w:ascii="Arial" w:eastAsia="Times New Roman" w:hAnsi="Arial" w:cs="Arial"/>
                <w:sz w:val="20"/>
                <w:szCs w:val="20"/>
                <w:lang w:eastAsia="en-AU"/>
              </w:rPr>
              <w:t>land, or</w:t>
            </w:r>
            <w:proofErr w:type="gramEnd"/>
            <w:r w:rsidRPr="00B50BC9">
              <w:rPr>
                <w:rFonts w:ascii="Arial" w:eastAsia="Times New Roman" w:hAnsi="Arial" w:cs="Arial"/>
                <w:sz w:val="20"/>
                <w:szCs w:val="20"/>
                <w:lang w:eastAsia="en-AU"/>
              </w:rPr>
              <w:t xml:space="preserve"> separates land by way of lease does not result in land uses becoming non-compliant or dependant elements of a use being separated by title. </w:t>
            </w:r>
          </w:p>
        </w:tc>
        <w:tc>
          <w:tcPr>
            <w:tcW w:w="1649" w:type="pct"/>
            <w:gridSpan w:val="3"/>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No example provided.</w:t>
            </w:r>
          </w:p>
        </w:tc>
        <w:tc>
          <w:tcPr>
            <w:tcW w:w="519"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5F3D15">
        <w:tblPrEx>
          <w:tblBorders>
            <w:insideH w:val="outset" w:sz="6" w:space="0" w:color="auto"/>
            <w:insideV w:val="outset" w:sz="6" w:space="0" w:color="auto"/>
          </w:tblBorders>
        </w:tblPrEx>
        <w:trPr>
          <w:tblCellSpacing w:w="15" w:type="dxa"/>
        </w:trPr>
        <w:tc>
          <w:tcPr>
            <w:tcW w:w="3265" w:type="pct"/>
            <w:gridSpan w:val="4"/>
            <w:shd w:val="clear" w:color="auto" w:fill="CCCCCC"/>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Volumetric subdivision</w:t>
            </w:r>
          </w:p>
        </w:tc>
        <w:tc>
          <w:tcPr>
            <w:tcW w:w="533" w:type="pct"/>
            <w:gridSpan w:val="2"/>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3" w:type="pct"/>
            <w:gridSpan w:val="4"/>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PO11</w:t>
            </w:r>
          </w:p>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 xml:space="preserve">The reconfiguring of the space above or below the surface of the land ensures appropriate area, dimensions and access arrangements to cater for uses consistent with the precinct and does not result in existing land uses on-site becoming non-compliant. </w:t>
            </w:r>
          </w:p>
        </w:tc>
        <w:tc>
          <w:tcPr>
            <w:tcW w:w="1649" w:type="pct"/>
            <w:gridSpan w:val="3"/>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No example provided.</w:t>
            </w:r>
          </w:p>
        </w:tc>
        <w:tc>
          <w:tcPr>
            <w:tcW w:w="519"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5F3D15">
        <w:tblPrEx>
          <w:tblBorders>
            <w:insideH w:val="outset" w:sz="6" w:space="0" w:color="auto"/>
            <w:insideV w:val="outset" w:sz="6" w:space="0" w:color="auto"/>
          </w:tblBorders>
        </w:tblPrEx>
        <w:trPr>
          <w:tblCellSpacing w:w="15" w:type="dxa"/>
        </w:trPr>
        <w:tc>
          <w:tcPr>
            <w:tcW w:w="3265" w:type="pct"/>
            <w:gridSpan w:val="4"/>
            <w:shd w:val="clear" w:color="auto" w:fill="CCCCCC"/>
            <w:hideMark/>
          </w:tcPr>
          <w:p w:rsidR="0045589B" w:rsidRPr="00B50BC9" w:rsidRDefault="0045589B" w:rsidP="00413715">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Access easements</w:t>
            </w:r>
          </w:p>
        </w:tc>
        <w:tc>
          <w:tcPr>
            <w:tcW w:w="533" w:type="pct"/>
            <w:gridSpan w:val="2"/>
            <w:shd w:val="clear" w:color="auto" w:fill="CCCCCC"/>
          </w:tcPr>
          <w:p w:rsidR="0045589B" w:rsidRPr="00B50BC9" w:rsidRDefault="0045589B" w:rsidP="0041371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3" w:type="pct"/>
            <w:gridSpan w:val="4"/>
            <w:shd w:val="clear" w:color="auto" w:fill="CCCCCC"/>
          </w:tcPr>
          <w:p w:rsidR="0045589B" w:rsidRPr="00B50BC9" w:rsidRDefault="0045589B" w:rsidP="00413715">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tcPr>
          <w:p w:rsidR="0045589B" w:rsidRPr="00B50BC9" w:rsidRDefault="0045589B" w:rsidP="0045589B">
            <w:pPr>
              <w:pStyle w:val="NormalWeb"/>
              <w:spacing w:before="150" w:beforeAutospacing="0" w:after="150" w:afterAutospacing="0"/>
              <w:ind w:left="150" w:right="150"/>
              <w:rPr>
                <w:rStyle w:val="Strong"/>
                <w:rFonts w:ascii="Arial" w:hAnsi="Arial" w:cs="Arial"/>
                <w:sz w:val="20"/>
                <w:szCs w:val="20"/>
              </w:rPr>
            </w:pPr>
            <w:r w:rsidRPr="00B50BC9">
              <w:rPr>
                <w:rStyle w:val="Strong"/>
                <w:rFonts w:ascii="Arial" w:hAnsi="Arial" w:cs="Arial"/>
                <w:sz w:val="20"/>
                <w:szCs w:val="20"/>
              </w:rPr>
              <w:t>PO12</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Access easements contain a driveway constructed to an appropriate standard for the intended use. </w:t>
            </w:r>
          </w:p>
          <w:p w:rsidR="0045589B" w:rsidRPr="00B50BC9" w:rsidRDefault="0045589B" w:rsidP="0045589B">
            <w:pPr>
              <w:rPr>
                <w:rFonts w:ascii="Arial" w:hAnsi="Arial" w:cs="Arial"/>
                <w:sz w:val="20"/>
                <w:szCs w:val="20"/>
              </w:rPr>
            </w:pPr>
          </w:p>
        </w:tc>
        <w:tc>
          <w:tcPr>
            <w:tcW w:w="1649" w:type="pct"/>
            <w:gridSpan w:val="3"/>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 </w:t>
            </w:r>
          </w:p>
          <w:p w:rsidR="0045589B" w:rsidRPr="00B50BC9" w:rsidRDefault="0045589B" w:rsidP="0045589B">
            <w:pPr>
              <w:rPr>
                <w:rFonts w:ascii="Arial" w:hAnsi="Arial" w:cs="Arial"/>
                <w:sz w:val="20"/>
                <w:szCs w:val="20"/>
              </w:rPr>
            </w:pP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PO13</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Where the access easement adjoins a constructed road, it has appropriate grade, verge cross section and safe sight distance for accessing vehicles, through traffic, and active transport users.</w:t>
            </w:r>
          </w:p>
          <w:p w:rsidR="0045589B" w:rsidRPr="00B50BC9" w:rsidRDefault="0045589B" w:rsidP="0045589B">
            <w:pPr>
              <w:rPr>
                <w:rFonts w:ascii="Arial" w:hAnsi="Arial" w:cs="Arial"/>
                <w:sz w:val="20"/>
                <w:szCs w:val="20"/>
              </w:rPr>
            </w:pPr>
          </w:p>
        </w:tc>
        <w:tc>
          <w:tcPr>
            <w:tcW w:w="1649" w:type="pct"/>
            <w:gridSpan w:val="3"/>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 </w:t>
            </w:r>
          </w:p>
          <w:p w:rsidR="0045589B" w:rsidRPr="00B50BC9" w:rsidRDefault="0045589B" w:rsidP="0045589B">
            <w:pPr>
              <w:rPr>
                <w:rFonts w:ascii="Arial" w:hAnsi="Arial" w:cs="Arial"/>
                <w:sz w:val="20"/>
                <w:szCs w:val="20"/>
              </w:rPr>
            </w:pP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PO14</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lastRenderedPageBreak/>
              <w:t>The easement covers all works associated with the access. </w:t>
            </w:r>
          </w:p>
          <w:p w:rsidR="0045589B" w:rsidRPr="00B50BC9" w:rsidRDefault="0045589B" w:rsidP="0045589B">
            <w:pPr>
              <w:rPr>
                <w:rFonts w:ascii="Arial" w:hAnsi="Arial" w:cs="Arial"/>
                <w:sz w:val="20"/>
                <w:szCs w:val="20"/>
              </w:rPr>
            </w:pPr>
          </w:p>
        </w:tc>
        <w:tc>
          <w:tcPr>
            <w:tcW w:w="1649" w:type="pct"/>
            <w:gridSpan w:val="3"/>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lastRenderedPageBreak/>
              <w:t>E14</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lastRenderedPageBreak/>
              <w:t>The easement covers all driveway construction including cut and fill batters, drainage works and utility services. </w:t>
            </w:r>
          </w:p>
          <w:p w:rsidR="0045589B" w:rsidRPr="00B50BC9" w:rsidRDefault="0045589B" w:rsidP="0045589B">
            <w:pPr>
              <w:rPr>
                <w:rFonts w:ascii="Arial" w:hAnsi="Arial" w:cs="Arial"/>
                <w:sz w:val="20"/>
                <w:szCs w:val="20"/>
              </w:rPr>
            </w:pP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PO15</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Relocation or alteration of existing services are undertaken as a result of the access easement.</w:t>
            </w:r>
          </w:p>
          <w:p w:rsidR="0045589B" w:rsidRPr="00B50BC9" w:rsidRDefault="0045589B" w:rsidP="0045589B">
            <w:pPr>
              <w:rPr>
                <w:rFonts w:ascii="Arial" w:hAnsi="Arial" w:cs="Arial"/>
                <w:sz w:val="20"/>
                <w:szCs w:val="20"/>
              </w:rPr>
            </w:pPr>
          </w:p>
        </w:tc>
        <w:tc>
          <w:tcPr>
            <w:tcW w:w="1649" w:type="pct"/>
            <w:gridSpan w:val="3"/>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 </w:t>
            </w: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5F3D15">
        <w:tblPrEx>
          <w:tblBorders>
            <w:insideH w:val="outset" w:sz="6" w:space="0" w:color="auto"/>
            <w:insideV w:val="outset" w:sz="6" w:space="0" w:color="auto"/>
          </w:tblBorders>
        </w:tblPrEx>
        <w:trPr>
          <w:tblCellSpacing w:w="15" w:type="dxa"/>
        </w:trPr>
        <w:tc>
          <w:tcPr>
            <w:tcW w:w="3265" w:type="pct"/>
            <w:gridSpan w:val="4"/>
            <w:shd w:val="clear" w:color="auto" w:fill="CCCCCC"/>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Stormwater location and design</w:t>
            </w:r>
          </w:p>
        </w:tc>
        <w:tc>
          <w:tcPr>
            <w:tcW w:w="533" w:type="pct"/>
            <w:gridSpan w:val="2"/>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3" w:type="pct"/>
            <w:gridSpan w:val="4"/>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tcPr>
          <w:p w:rsidR="0045589B" w:rsidRPr="0045589B"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b/>
                <w:bCs/>
                <w:sz w:val="20"/>
                <w:szCs w:val="20"/>
                <w:lang w:eastAsia="en-AU"/>
              </w:rPr>
              <w:t>PO16</w:t>
            </w:r>
          </w:p>
          <w:p w:rsidR="0045589B" w:rsidRPr="00B50BC9"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sz w:val="20"/>
                <w:szCs w:val="20"/>
                <w:lang w:eastAsia="en-AU"/>
              </w:rPr>
              <w:t>Where development is for an urban purpose that involves a land 2500m</w:t>
            </w:r>
            <w:r w:rsidRPr="0045589B">
              <w:rPr>
                <w:rFonts w:ascii="Arial" w:eastAsia="Times New Roman" w:hAnsi="Arial" w:cs="Arial"/>
                <w:sz w:val="20"/>
                <w:szCs w:val="20"/>
                <w:vertAlign w:val="superscript"/>
                <w:lang w:eastAsia="en-AU"/>
              </w:rPr>
              <w:t>2</w:t>
            </w:r>
            <w:r w:rsidRPr="0045589B">
              <w:rPr>
                <w:rFonts w:ascii="Arial" w:eastAsia="Times New Roman" w:hAnsi="Arial" w:cs="Arial"/>
                <w:sz w:val="20"/>
                <w:szCs w:val="20"/>
                <w:lang w:eastAsia="en-AU"/>
              </w:rPr>
              <w:t>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45589B" w:rsidRPr="00B50BC9" w:rsidRDefault="0045589B" w:rsidP="0045589B">
            <w:pPr>
              <w:shd w:val="clear" w:color="auto" w:fill="FFFFFF"/>
              <w:spacing w:before="150" w:after="150" w:line="240" w:lineRule="auto"/>
              <w:ind w:left="150" w:right="150"/>
              <w:rPr>
                <w:rFonts w:ascii="Arial" w:eastAsia="Times New Roman" w:hAnsi="Arial" w:cs="Arial"/>
                <w:b/>
                <w:bCs/>
                <w:sz w:val="20"/>
                <w:szCs w:val="20"/>
                <w:lang w:eastAsia="en-AU"/>
              </w:rPr>
            </w:pPr>
            <w:r w:rsidRPr="00031EC8">
              <w:rPr>
                <w:rFonts w:ascii="Arial" w:hAnsi="Arial" w:cs="Arial"/>
                <w:sz w:val="18"/>
                <w:szCs w:val="20"/>
                <w:shd w:val="clear" w:color="auto" w:fill="FFFFFF"/>
              </w:rPr>
              <w:t xml:space="preserve">Note - A </w:t>
            </w:r>
            <w:proofErr w:type="gramStart"/>
            <w:r w:rsidRPr="00031EC8">
              <w:rPr>
                <w:rFonts w:ascii="Arial" w:hAnsi="Arial" w:cs="Arial"/>
                <w:sz w:val="18"/>
                <w:szCs w:val="20"/>
                <w:shd w:val="clear" w:color="auto" w:fill="FFFFFF"/>
              </w:rPr>
              <w:t>site based</w:t>
            </w:r>
            <w:proofErr w:type="gramEnd"/>
            <w:r w:rsidRPr="00031EC8">
              <w:rPr>
                <w:rFonts w:ascii="Arial" w:hAnsi="Arial" w:cs="Arial"/>
                <w:sz w:val="18"/>
                <w:szCs w:val="20"/>
                <w:shd w:val="clear" w:color="auto" w:fill="FFFFFF"/>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649" w:type="pct"/>
            <w:gridSpan w:val="3"/>
          </w:tcPr>
          <w:p w:rsidR="0045589B" w:rsidRPr="00B50BC9" w:rsidRDefault="0045589B"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hAnsi="Arial" w:cs="Arial"/>
                <w:sz w:val="20"/>
                <w:szCs w:val="20"/>
                <w:shd w:val="clear" w:color="auto" w:fill="FFFFFF"/>
              </w:rPr>
              <w:t>No example provided.</w:t>
            </w:r>
          </w:p>
        </w:tc>
        <w:tc>
          <w:tcPr>
            <w:tcW w:w="519" w:type="pct"/>
          </w:tcPr>
          <w:p w:rsidR="0045589B" w:rsidRPr="00B50BC9" w:rsidRDefault="0045589B"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tcPr>
          <w:p w:rsidR="0045589B" w:rsidRPr="0045589B"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b/>
                <w:bCs/>
                <w:sz w:val="20"/>
                <w:szCs w:val="20"/>
                <w:lang w:eastAsia="en-AU"/>
              </w:rPr>
              <w:t>PO17</w:t>
            </w:r>
          </w:p>
          <w:p w:rsidR="0045589B" w:rsidRPr="0045589B"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sz w:val="20"/>
                <w:szCs w:val="20"/>
                <w:lang w:eastAsia="en-AU"/>
              </w:rPr>
              <w:t>Development is designed and constructed to achieve Water Sensitive Urban Design best practice including:</w:t>
            </w:r>
          </w:p>
          <w:p w:rsidR="0045589B" w:rsidRPr="0045589B" w:rsidRDefault="0045589B" w:rsidP="0045589B">
            <w:pPr>
              <w:numPr>
                <w:ilvl w:val="0"/>
                <w:numId w:val="24"/>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t>protection of existing natural features;</w:t>
            </w:r>
            <w:r w:rsidRPr="0045589B">
              <w:rPr>
                <w:rFonts w:ascii="Arial" w:eastAsia="Times New Roman" w:hAnsi="Arial" w:cs="Arial"/>
                <w:sz w:val="20"/>
                <w:szCs w:val="20"/>
                <w:lang w:eastAsia="en-AU"/>
              </w:rPr>
              <w:br/>
            </w:r>
          </w:p>
          <w:p w:rsidR="0045589B" w:rsidRPr="0045589B" w:rsidRDefault="0045589B" w:rsidP="0045589B">
            <w:pPr>
              <w:numPr>
                <w:ilvl w:val="0"/>
                <w:numId w:val="24"/>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lastRenderedPageBreak/>
              <w:t>integrating public open space with stormwater corridors or infrastructure;</w:t>
            </w:r>
            <w:r w:rsidRPr="0045589B">
              <w:rPr>
                <w:rFonts w:ascii="Arial" w:eastAsia="Times New Roman" w:hAnsi="Arial" w:cs="Arial"/>
                <w:sz w:val="20"/>
                <w:szCs w:val="20"/>
                <w:lang w:eastAsia="en-AU"/>
              </w:rPr>
              <w:br/>
            </w:r>
          </w:p>
          <w:p w:rsidR="0045589B" w:rsidRPr="0045589B" w:rsidRDefault="0045589B" w:rsidP="0045589B">
            <w:pPr>
              <w:numPr>
                <w:ilvl w:val="0"/>
                <w:numId w:val="24"/>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t>maintaining natural hydrologic behaviour of catchments and preserving the natural water cycle;</w:t>
            </w:r>
            <w:r w:rsidRPr="0045589B">
              <w:rPr>
                <w:rFonts w:ascii="Arial" w:eastAsia="Times New Roman" w:hAnsi="Arial" w:cs="Arial"/>
                <w:sz w:val="20"/>
                <w:szCs w:val="20"/>
                <w:lang w:eastAsia="en-AU"/>
              </w:rPr>
              <w:br/>
            </w:r>
          </w:p>
          <w:p w:rsidR="0045589B" w:rsidRPr="0045589B" w:rsidRDefault="0045589B" w:rsidP="0045589B">
            <w:pPr>
              <w:numPr>
                <w:ilvl w:val="0"/>
                <w:numId w:val="24"/>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t>protecting water quality environmental values of surface and ground waters;</w:t>
            </w:r>
            <w:r w:rsidRPr="0045589B">
              <w:rPr>
                <w:rFonts w:ascii="Arial" w:eastAsia="Times New Roman" w:hAnsi="Arial" w:cs="Arial"/>
                <w:sz w:val="20"/>
                <w:szCs w:val="20"/>
                <w:lang w:eastAsia="en-AU"/>
              </w:rPr>
              <w:br/>
            </w:r>
          </w:p>
          <w:p w:rsidR="0045589B" w:rsidRPr="0045589B" w:rsidRDefault="0045589B" w:rsidP="0045589B">
            <w:pPr>
              <w:numPr>
                <w:ilvl w:val="0"/>
                <w:numId w:val="24"/>
              </w:numPr>
              <w:shd w:val="clear" w:color="auto" w:fill="FFFFFF"/>
              <w:spacing w:before="150" w:after="150" w:line="240" w:lineRule="auto"/>
              <w:ind w:left="600" w:right="150"/>
              <w:rPr>
                <w:rFonts w:ascii="Arial" w:eastAsia="Times New Roman" w:hAnsi="Arial" w:cs="Arial"/>
                <w:sz w:val="20"/>
                <w:szCs w:val="20"/>
                <w:lang w:eastAsia="en-AU"/>
              </w:rPr>
            </w:pPr>
            <w:r w:rsidRPr="0045589B">
              <w:rPr>
                <w:rFonts w:ascii="Arial" w:eastAsia="Times New Roman" w:hAnsi="Arial" w:cs="Arial"/>
                <w:sz w:val="20"/>
                <w:szCs w:val="20"/>
                <w:lang w:eastAsia="en-AU"/>
              </w:rPr>
              <w:t>minimising capital and maintenance costs of stormwater infrastructure.</w:t>
            </w:r>
          </w:p>
          <w:p w:rsidR="0045589B" w:rsidRPr="00031EC8" w:rsidRDefault="0045589B" w:rsidP="00D42FF7">
            <w:pPr>
              <w:spacing w:before="100" w:beforeAutospacing="1" w:after="100" w:afterAutospacing="1" w:line="240" w:lineRule="auto"/>
              <w:ind w:left="150" w:right="150"/>
              <w:rPr>
                <w:rFonts w:ascii="Arial" w:hAnsi="Arial" w:cs="Arial"/>
                <w:sz w:val="18"/>
                <w:szCs w:val="20"/>
                <w:shd w:val="clear" w:color="auto" w:fill="FFFFFF"/>
              </w:rPr>
            </w:pPr>
            <w:r w:rsidRPr="00031EC8">
              <w:rPr>
                <w:rFonts w:ascii="Arial" w:hAnsi="Arial" w:cs="Arial"/>
                <w:sz w:val="18"/>
                <w:szCs w:val="20"/>
                <w:shd w:val="clear" w:color="auto" w:fill="FFFFFF"/>
              </w:rPr>
              <w:t>Note - Refer to Planning scheme policy - Integrated design (Appendix C) for more information and examples on water sensitive urban design.</w:t>
            </w:r>
          </w:p>
          <w:p w:rsidR="0045589B" w:rsidRPr="00B50BC9" w:rsidRDefault="0045589B" w:rsidP="00D42FF7">
            <w:pPr>
              <w:spacing w:before="100" w:beforeAutospacing="1" w:after="100" w:afterAutospacing="1" w:line="240" w:lineRule="auto"/>
              <w:ind w:left="150" w:right="150"/>
              <w:rPr>
                <w:rFonts w:ascii="Arial" w:eastAsia="Times New Roman" w:hAnsi="Arial" w:cs="Arial"/>
                <w:b/>
                <w:bCs/>
                <w:sz w:val="20"/>
                <w:szCs w:val="20"/>
                <w:lang w:eastAsia="en-AU"/>
              </w:rPr>
            </w:pPr>
            <w:r w:rsidRPr="00031EC8">
              <w:rPr>
                <w:rFonts w:ascii="Arial" w:hAnsi="Arial" w:cs="Arial"/>
                <w:sz w:val="18"/>
                <w:szCs w:val="20"/>
                <w:shd w:val="clear" w:color="auto" w:fill="FFFFFF"/>
              </w:rPr>
              <w:t xml:space="preserve">Note - A </w:t>
            </w:r>
            <w:proofErr w:type="gramStart"/>
            <w:r w:rsidRPr="00031EC8">
              <w:rPr>
                <w:rFonts w:ascii="Arial" w:hAnsi="Arial" w:cs="Arial"/>
                <w:sz w:val="18"/>
                <w:szCs w:val="20"/>
                <w:shd w:val="clear" w:color="auto" w:fill="FFFFFF"/>
              </w:rPr>
              <w:t>site based</w:t>
            </w:r>
            <w:proofErr w:type="gramEnd"/>
            <w:r w:rsidRPr="00031EC8">
              <w:rPr>
                <w:rFonts w:ascii="Arial" w:hAnsi="Arial" w:cs="Arial"/>
                <w:sz w:val="18"/>
                <w:szCs w:val="20"/>
                <w:shd w:val="clear" w:color="auto" w:fill="FFFFFF"/>
              </w:rPr>
              <w:t xml:space="preserve"> stormwater management plan prepared in accordance with Planning scheme policy - Stormwater management may be required to demonstrate compliance with this PO.</w:t>
            </w:r>
          </w:p>
        </w:tc>
        <w:tc>
          <w:tcPr>
            <w:tcW w:w="1649" w:type="pct"/>
            <w:gridSpan w:val="3"/>
          </w:tcPr>
          <w:p w:rsidR="0045589B" w:rsidRPr="00B50BC9" w:rsidRDefault="0045589B"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hAnsi="Arial" w:cs="Arial"/>
                <w:sz w:val="20"/>
                <w:szCs w:val="20"/>
                <w:shd w:val="clear" w:color="auto" w:fill="FFFFFF"/>
              </w:rPr>
              <w:lastRenderedPageBreak/>
              <w:t>No example provided.</w:t>
            </w:r>
          </w:p>
        </w:tc>
        <w:tc>
          <w:tcPr>
            <w:tcW w:w="519" w:type="pct"/>
          </w:tcPr>
          <w:p w:rsidR="0045589B" w:rsidRPr="00B50BC9" w:rsidRDefault="0045589B"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tcPr>
          <w:p w:rsidR="0045589B" w:rsidRPr="0045589B"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b/>
                <w:bCs/>
                <w:sz w:val="20"/>
                <w:szCs w:val="20"/>
                <w:lang w:eastAsia="en-AU"/>
              </w:rPr>
              <w:t>PO18</w:t>
            </w:r>
          </w:p>
          <w:p w:rsidR="0045589B" w:rsidRPr="0045589B"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sz w:val="20"/>
                <w:szCs w:val="20"/>
                <w:lang w:eastAsia="en-AU"/>
              </w:rPr>
              <w:t xml:space="preserve">Stormwater drainage infrastructure (including inter-allotment drainage) within private land is protected by easements in favour of Council with </w:t>
            </w:r>
            <w:proofErr w:type="gramStart"/>
            <w:r w:rsidRPr="0045589B">
              <w:rPr>
                <w:rFonts w:ascii="Arial" w:eastAsia="Times New Roman" w:hAnsi="Arial" w:cs="Arial"/>
                <w:sz w:val="20"/>
                <w:szCs w:val="20"/>
                <w:lang w:eastAsia="en-AU"/>
              </w:rPr>
              <w:t>sufficient</w:t>
            </w:r>
            <w:proofErr w:type="gramEnd"/>
            <w:r w:rsidRPr="0045589B">
              <w:rPr>
                <w:rFonts w:ascii="Arial" w:eastAsia="Times New Roman" w:hAnsi="Arial" w:cs="Arial"/>
                <w:sz w:val="20"/>
                <w:szCs w:val="20"/>
                <w:lang w:eastAsia="en-AU"/>
              </w:rPr>
              <w:t xml:space="preserve"> area for practical access for maintenance.</w:t>
            </w:r>
          </w:p>
          <w:p w:rsidR="0045589B" w:rsidRPr="00B50BC9" w:rsidRDefault="0045589B" w:rsidP="00D42FF7">
            <w:pPr>
              <w:spacing w:before="100" w:beforeAutospacing="1" w:after="100" w:afterAutospacing="1" w:line="240" w:lineRule="auto"/>
              <w:ind w:left="150" w:right="150"/>
              <w:rPr>
                <w:rFonts w:ascii="Arial" w:eastAsia="Times New Roman" w:hAnsi="Arial" w:cs="Arial"/>
                <w:b/>
                <w:bCs/>
                <w:sz w:val="20"/>
                <w:szCs w:val="20"/>
                <w:lang w:eastAsia="en-AU"/>
              </w:rPr>
            </w:pPr>
            <w:r w:rsidRPr="00031EC8">
              <w:rPr>
                <w:rFonts w:ascii="Arial" w:hAnsi="Arial" w:cs="Arial"/>
                <w:sz w:val="18"/>
                <w:szCs w:val="20"/>
                <w:shd w:val="clear" w:color="auto" w:fill="FFFFFF"/>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649" w:type="pct"/>
            <w:gridSpan w:val="3"/>
          </w:tcPr>
          <w:p w:rsidR="0045589B" w:rsidRPr="0045589B"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b/>
                <w:bCs/>
                <w:sz w:val="20"/>
                <w:szCs w:val="20"/>
                <w:lang w:eastAsia="en-AU"/>
              </w:rPr>
              <w:t>E18</w:t>
            </w:r>
          </w:p>
          <w:p w:rsidR="0045589B" w:rsidRPr="0045589B"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0" w:type="auto"/>
              <w:tblInd w:w="150" w:type="dxa"/>
              <w:tblLayout w:type="fixed"/>
              <w:tblLook w:val="04A0" w:firstRow="1" w:lastRow="0" w:firstColumn="1" w:lastColumn="0" w:noHBand="0" w:noVBand="1"/>
            </w:tblPr>
            <w:tblGrid>
              <w:gridCol w:w="2330"/>
              <w:gridCol w:w="2685"/>
            </w:tblGrid>
            <w:tr w:rsidR="00B50BC9" w:rsidRPr="00B50BC9" w:rsidTr="0045589B">
              <w:tc>
                <w:tcPr>
                  <w:tcW w:w="2330" w:type="dxa"/>
                  <w:shd w:val="clear" w:color="auto" w:fill="CCCCCC"/>
                  <w:vAlign w:val="center"/>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Pipe Diameter</w:t>
                  </w:r>
                </w:p>
              </w:tc>
              <w:tc>
                <w:tcPr>
                  <w:tcW w:w="2685" w:type="dxa"/>
                  <w:shd w:val="clear" w:color="auto" w:fill="CCCCCC"/>
                  <w:vAlign w:val="center"/>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Minimum Easement Width (excluding access requirements)</w:t>
                  </w:r>
                </w:p>
              </w:tc>
            </w:tr>
            <w:tr w:rsidR="00B50BC9" w:rsidRPr="00B50BC9" w:rsidTr="00160D67">
              <w:tc>
                <w:tcPr>
                  <w:tcW w:w="2330" w:type="dxa"/>
                  <w:vAlign w:val="center"/>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Stormwater pipe up to 825mm diameter</w:t>
                  </w:r>
                </w:p>
              </w:tc>
              <w:tc>
                <w:tcPr>
                  <w:tcW w:w="2685" w:type="dxa"/>
                  <w:vAlign w:val="center"/>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3.0m</w:t>
                  </w:r>
                </w:p>
              </w:tc>
            </w:tr>
            <w:tr w:rsidR="00B50BC9" w:rsidRPr="00B50BC9" w:rsidTr="00160D67">
              <w:tc>
                <w:tcPr>
                  <w:tcW w:w="2330" w:type="dxa"/>
                  <w:vAlign w:val="center"/>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Stormwater pipe up to 825mm diameter with sewer pipe up to 225m diameter</w:t>
                  </w:r>
                </w:p>
              </w:tc>
              <w:tc>
                <w:tcPr>
                  <w:tcW w:w="2685" w:type="dxa"/>
                  <w:vAlign w:val="center"/>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4.0m</w:t>
                  </w:r>
                </w:p>
              </w:tc>
            </w:tr>
            <w:tr w:rsidR="00B50BC9" w:rsidRPr="00B50BC9" w:rsidTr="00160D67">
              <w:tc>
                <w:tcPr>
                  <w:tcW w:w="2330" w:type="dxa"/>
                  <w:vAlign w:val="center"/>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lastRenderedPageBreak/>
                    <w:t>Stormwater pipe greater than 825mm diameter</w:t>
                  </w:r>
                </w:p>
              </w:tc>
              <w:tc>
                <w:tcPr>
                  <w:tcW w:w="2685" w:type="dxa"/>
                  <w:vAlign w:val="center"/>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Easement boundary to be 1m clear of the outside wall of the stormwater pipe (each side)</w:t>
                  </w:r>
                </w:p>
              </w:tc>
            </w:tr>
          </w:tbl>
          <w:p w:rsidR="0045589B" w:rsidRPr="00031EC8" w:rsidRDefault="0045589B" w:rsidP="00D42FF7">
            <w:pPr>
              <w:spacing w:before="100" w:beforeAutospacing="1" w:after="100" w:afterAutospacing="1" w:line="240" w:lineRule="auto"/>
              <w:ind w:left="150" w:right="150"/>
              <w:rPr>
                <w:rFonts w:ascii="Arial" w:hAnsi="Arial" w:cs="Arial"/>
                <w:sz w:val="18"/>
                <w:szCs w:val="20"/>
                <w:shd w:val="clear" w:color="auto" w:fill="FFFFFF"/>
              </w:rPr>
            </w:pPr>
            <w:r w:rsidRPr="00031EC8">
              <w:rPr>
                <w:rFonts w:ascii="Arial" w:hAnsi="Arial" w:cs="Arial"/>
                <w:sz w:val="18"/>
                <w:szCs w:val="20"/>
                <w:shd w:val="clear" w:color="auto" w:fill="FFFFFF"/>
              </w:rPr>
              <w:t>Note - Additional easement width may be required in certain circumstances in order to facilitate maintenance access to the stormwater system.</w:t>
            </w:r>
          </w:p>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r w:rsidRPr="00031EC8">
              <w:rPr>
                <w:rFonts w:ascii="Arial" w:hAnsi="Arial" w:cs="Arial"/>
                <w:sz w:val="18"/>
                <w:szCs w:val="20"/>
                <w:shd w:val="clear" w:color="auto" w:fill="FFFFFF"/>
              </w:rPr>
              <w:t>Note - Refer to Planning scheme policy - Integrated design (Appendix C) for easement requirements over open channels.</w:t>
            </w:r>
          </w:p>
        </w:tc>
        <w:tc>
          <w:tcPr>
            <w:tcW w:w="519" w:type="pct"/>
          </w:tcPr>
          <w:p w:rsidR="0045589B" w:rsidRPr="00B50BC9" w:rsidRDefault="0045589B"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PO19</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Areas constructed as detention basins:</w:t>
            </w:r>
          </w:p>
          <w:p w:rsidR="0045589B" w:rsidRPr="00B50BC9" w:rsidRDefault="0045589B" w:rsidP="0045589B">
            <w:pPr>
              <w:numPr>
                <w:ilvl w:val="0"/>
                <w:numId w:val="25"/>
              </w:numPr>
              <w:spacing w:before="150" w:after="150" w:line="240" w:lineRule="auto"/>
              <w:ind w:left="600" w:right="150"/>
              <w:rPr>
                <w:rFonts w:ascii="Arial" w:hAnsi="Arial" w:cs="Arial"/>
                <w:sz w:val="20"/>
                <w:szCs w:val="20"/>
              </w:rPr>
            </w:pPr>
            <w:r w:rsidRPr="00B50BC9">
              <w:rPr>
                <w:rFonts w:ascii="Arial" w:hAnsi="Arial" w:cs="Arial"/>
                <w:sz w:val="20"/>
                <w:szCs w:val="20"/>
              </w:rPr>
              <w:t>are adaptable for passive recreation;</w:t>
            </w:r>
          </w:p>
          <w:p w:rsidR="0045589B" w:rsidRPr="00B50BC9" w:rsidRDefault="0045589B" w:rsidP="0045589B">
            <w:pPr>
              <w:numPr>
                <w:ilvl w:val="0"/>
                <w:numId w:val="25"/>
              </w:numPr>
              <w:spacing w:before="150" w:after="150" w:line="240" w:lineRule="auto"/>
              <w:ind w:left="600" w:right="150"/>
              <w:rPr>
                <w:rFonts w:ascii="Arial" w:hAnsi="Arial" w:cs="Arial"/>
                <w:sz w:val="20"/>
                <w:szCs w:val="20"/>
              </w:rPr>
            </w:pPr>
            <w:r w:rsidRPr="00B50BC9">
              <w:rPr>
                <w:rFonts w:ascii="Arial" w:hAnsi="Arial" w:cs="Arial"/>
                <w:sz w:val="20"/>
                <w:szCs w:val="20"/>
              </w:rPr>
              <w:t xml:space="preserve">appear to be a natural </w:t>
            </w:r>
            <w:proofErr w:type="gramStart"/>
            <w:r w:rsidRPr="00B50BC9">
              <w:rPr>
                <w:rFonts w:ascii="Arial" w:hAnsi="Arial" w:cs="Arial"/>
                <w:sz w:val="20"/>
                <w:szCs w:val="20"/>
              </w:rPr>
              <w:t>land form</w:t>
            </w:r>
            <w:proofErr w:type="gramEnd"/>
            <w:r w:rsidRPr="00B50BC9">
              <w:rPr>
                <w:rFonts w:ascii="Arial" w:hAnsi="Arial" w:cs="Arial"/>
                <w:sz w:val="20"/>
                <w:szCs w:val="20"/>
              </w:rPr>
              <w:t>;</w:t>
            </w:r>
          </w:p>
          <w:p w:rsidR="0045589B" w:rsidRPr="00B50BC9" w:rsidRDefault="0045589B" w:rsidP="0045589B">
            <w:pPr>
              <w:numPr>
                <w:ilvl w:val="0"/>
                <w:numId w:val="25"/>
              </w:numPr>
              <w:spacing w:before="150" w:after="150" w:line="240" w:lineRule="auto"/>
              <w:ind w:left="600" w:right="150"/>
              <w:rPr>
                <w:rFonts w:ascii="Arial" w:hAnsi="Arial" w:cs="Arial"/>
                <w:sz w:val="20"/>
                <w:szCs w:val="20"/>
              </w:rPr>
            </w:pPr>
            <w:r w:rsidRPr="00B50BC9">
              <w:rPr>
                <w:rFonts w:ascii="Arial" w:hAnsi="Arial" w:cs="Arial"/>
                <w:sz w:val="20"/>
                <w:szCs w:val="20"/>
              </w:rPr>
              <w:t>provide practical access for maintenance purposes;</w:t>
            </w:r>
          </w:p>
          <w:p w:rsidR="0045589B" w:rsidRPr="00B50BC9" w:rsidRDefault="0045589B" w:rsidP="0045589B">
            <w:pPr>
              <w:numPr>
                <w:ilvl w:val="0"/>
                <w:numId w:val="25"/>
              </w:numPr>
              <w:spacing w:before="150" w:after="150" w:line="240" w:lineRule="auto"/>
              <w:ind w:left="600" w:right="150"/>
              <w:rPr>
                <w:rFonts w:ascii="Arial" w:hAnsi="Arial" w:cs="Arial"/>
                <w:sz w:val="20"/>
                <w:szCs w:val="20"/>
              </w:rPr>
            </w:pPr>
            <w:r w:rsidRPr="00B50BC9">
              <w:rPr>
                <w:rFonts w:ascii="Arial" w:hAnsi="Arial" w:cs="Arial"/>
                <w:sz w:val="20"/>
                <w:szCs w:val="20"/>
              </w:rPr>
              <w:t>do not create safety or security issues by creating potential concealment areas;</w:t>
            </w:r>
          </w:p>
          <w:p w:rsidR="0045589B" w:rsidRPr="00B50BC9" w:rsidRDefault="0045589B" w:rsidP="0045589B">
            <w:pPr>
              <w:numPr>
                <w:ilvl w:val="0"/>
                <w:numId w:val="25"/>
              </w:numPr>
              <w:spacing w:before="150" w:after="150" w:line="240" w:lineRule="auto"/>
              <w:ind w:left="600" w:right="150"/>
              <w:rPr>
                <w:rFonts w:ascii="Arial" w:hAnsi="Arial" w:cs="Arial"/>
                <w:sz w:val="20"/>
                <w:szCs w:val="20"/>
              </w:rPr>
            </w:pPr>
            <w:r w:rsidRPr="00B50BC9">
              <w:rPr>
                <w:rFonts w:ascii="Arial" w:hAnsi="Arial" w:cs="Arial"/>
                <w:sz w:val="20"/>
                <w:szCs w:val="20"/>
              </w:rPr>
              <w:t>have adequate setbacks to adjoining properties;</w:t>
            </w:r>
          </w:p>
          <w:p w:rsidR="0045589B" w:rsidRPr="00B50BC9" w:rsidRDefault="0045589B" w:rsidP="0045589B">
            <w:pPr>
              <w:numPr>
                <w:ilvl w:val="0"/>
                <w:numId w:val="25"/>
              </w:numPr>
              <w:spacing w:before="150" w:after="150" w:line="240" w:lineRule="auto"/>
              <w:ind w:left="600" w:right="150"/>
              <w:rPr>
                <w:rFonts w:ascii="Arial" w:hAnsi="Arial" w:cs="Arial"/>
                <w:sz w:val="20"/>
                <w:szCs w:val="20"/>
              </w:rPr>
            </w:pPr>
            <w:r w:rsidRPr="00B50BC9">
              <w:rPr>
                <w:rFonts w:ascii="Arial" w:hAnsi="Arial" w:cs="Arial"/>
                <w:sz w:val="20"/>
                <w:szCs w:val="20"/>
              </w:rPr>
              <w:t>are located within land to be dedicated to Council as public land.</w:t>
            </w:r>
          </w:p>
        </w:tc>
        <w:tc>
          <w:tcPr>
            <w:tcW w:w="1649" w:type="pct"/>
            <w:gridSpan w:val="3"/>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E19</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 </w:t>
            </w:r>
          </w:p>
          <w:p w:rsidR="0045589B" w:rsidRPr="00B50BC9" w:rsidRDefault="0045589B" w:rsidP="0045589B">
            <w:pPr>
              <w:rPr>
                <w:rFonts w:ascii="Arial" w:hAnsi="Arial" w:cs="Arial"/>
                <w:sz w:val="20"/>
                <w:szCs w:val="20"/>
              </w:rPr>
            </w:pP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PO20</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Stormwater management facilities are located outside of riparian areas and prevent increased channel bed and bank erosion.</w:t>
            </w:r>
          </w:p>
        </w:tc>
        <w:tc>
          <w:tcPr>
            <w:tcW w:w="1649" w:type="pct"/>
            <w:gridSpan w:val="3"/>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w:t>
            </w: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PO21</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Natural streams and riparian vegetation are retained and enhanced through revegetation.</w:t>
            </w:r>
          </w:p>
        </w:tc>
        <w:tc>
          <w:tcPr>
            <w:tcW w:w="1649" w:type="pct"/>
            <w:gridSpan w:val="3"/>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w:t>
            </w: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lastRenderedPageBreak/>
              <w:t>PO22</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Development maintains and improves the environmental values of waterway ecosystems.</w:t>
            </w:r>
          </w:p>
        </w:tc>
        <w:tc>
          <w:tcPr>
            <w:tcW w:w="1649" w:type="pct"/>
            <w:gridSpan w:val="3"/>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w:t>
            </w: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PO23</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 xml:space="preserve">Lots are of a </w:t>
            </w:r>
            <w:proofErr w:type="gramStart"/>
            <w:r w:rsidRPr="00B50BC9">
              <w:rPr>
                <w:rFonts w:ascii="Arial" w:hAnsi="Arial" w:cs="Arial"/>
                <w:sz w:val="20"/>
                <w:szCs w:val="20"/>
              </w:rPr>
              <w:t>sufficient</w:t>
            </w:r>
            <w:proofErr w:type="gramEnd"/>
            <w:r w:rsidRPr="00B50BC9">
              <w:rPr>
                <w:rFonts w:ascii="Arial" w:hAnsi="Arial" w:cs="Arial"/>
                <w:sz w:val="20"/>
                <w:szCs w:val="20"/>
              </w:rPr>
              <w:t xml:space="preserve"> grade to accommodate effective stormwater drainage to a lawful point of discharge.</w:t>
            </w:r>
          </w:p>
          <w:p w:rsidR="0045589B" w:rsidRPr="00B50BC9" w:rsidRDefault="0045589B" w:rsidP="0045589B">
            <w:pPr>
              <w:rPr>
                <w:rFonts w:ascii="Arial" w:hAnsi="Arial" w:cs="Arial"/>
                <w:sz w:val="20"/>
                <w:szCs w:val="20"/>
              </w:rPr>
            </w:pPr>
          </w:p>
        </w:tc>
        <w:tc>
          <w:tcPr>
            <w:tcW w:w="1649" w:type="pct"/>
            <w:gridSpan w:val="3"/>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E23</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The surface level of a lot is at a minimum grade of 1:100 and slopes towards the street frontage, or other lawful point of discharge.</w:t>
            </w: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5F3D15">
        <w:tblPrEx>
          <w:tblBorders>
            <w:insideH w:val="outset" w:sz="6" w:space="0" w:color="auto"/>
            <w:insideV w:val="outset" w:sz="6" w:space="0" w:color="auto"/>
          </w:tblBorders>
        </w:tblPrEx>
        <w:trPr>
          <w:tblCellSpacing w:w="15" w:type="dxa"/>
        </w:trPr>
        <w:tc>
          <w:tcPr>
            <w:tcW w:w="3265" w:type="pct"/>
            <w:gridSpan w:val="4"/>
            <w:shd w:val="clear" w:color="auto" w:fill="CCCCCC"/>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Stormwater management system</w:t>
            </w:r>
          </w:p>
        </w:tc>
        <w:tc>
          <w:tcPr>
            <w:tcW w:w="533" w:type="pct"/>
            <w:gridSpan w:val="2"/>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3" w:type="pct"/>
            <w:gridSpan w:val="4"/>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PO24</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The major drainage system has the capacity to safely convey stormwater flows for the defined flood event.</w:t>
            </w:r>
          </w:p>
        </w:tc>
        <w:tc>
          <w:tcPr>
            <w:tcW w:w="1649" w:type="pct"/>
            <w:gridSpan w:val="3"/>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E24</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The roads, drainage pathways, drainage features and waterways safely convey the stormwater flows for the defined flood event without allowing flows to encroach upon private lots.</w:t>
            </w: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PO25</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rsidR="0045589B" w:rsidRPr="00B50BC9" w:rsidRDefault="0045589B" w:rsidP="0045589B">
            <w:pPr>
              <w:rPr>
                <w:rFonts w:ascii="Arial" w:hAnsi="Arial" w:cs="Arial"/>
                <w:sz w:val="20"/>
                <w:szCs w:val="20"/>
              </w:rPr>
            </w:pPr>
          </w:p>
        </w:tc>
        <w:tc>
          <w:tcPr>
            <w:tcW w:w="1649" w:type="pct"/>
            <w:gridSpan w:val="3"/>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E25</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Drainage pathways are provided to accommodate overland flows from roads and public open space areas</w:t>
            </w:r>
            <w:r w:rsidRPr="00B50BC9">
              <w:rPr>
                <w:rStyle w:val="Emphasis"/>
                <w:rFonts w:ascii="Arial" w:hAnsi="Arial" w:cs="Arial"/>
                <w:sz w:val="20"/>
                <w:szCs w:val="20"/>
              </w:rPr>
              <w:t>.  </w:t>
            </w:r>
            <w:r w:rsidRPr="00B50BC9">
              <w:rPr>
                <w:rFonts w:ascii="Arial" w:hAnsi="Arial" w:cs="Arial"/>
                <w:sz w:val="20"/>
                <w:szCs w:val="20"/>
              </w:rPr>
              <w:t>The overland flow paths have a minimum width of 8m and are designed and constructed to allow safe and convenient access for pedestrians and cyclists.</w:t>
            </w:r>
          </w:p>
          <w:p w:rsidR="0045589B" w:rsidRPr="00B50BC9" w:rsidRDefault="0045589B" w:rsidP="0045589B">
            <w:pPr>
              <w:rPr>
                <w:rFonts w:ascii="Arial" w:hAnsi="Arial" w:cs="Arial"/>
                <w:sz w:val="20"/>
                <w:szCs w:val="20"/>
              </w:rPr>
            </w:pP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PO26</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45589B" w:rsidRPr="00B50BC9" w:rsidRDefault="0045589B" w:rsidP="0045589B">
            <w:pPr>
              <w:rPr>
                <w:rFonts w:ascii="Arial" w:hAnsi="Arial" w:cs="Arial"/>
                <w:sz w:val="20"/>
                <w:szCs w:val="20"/>
              </w:rPr>
            </w:pPr>
          </w:p>
        </w:tc>
        <w:tc>
          <w:tcPr>
            <w:tcW w:w="1649" w:type="pct"/>
            <w:gridSpan w:val="3"/>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E26</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The stormwater drainage system is designed and constructed in accordance with Planning scheme policy - Integrated design.</w:t>
            </w:r>
          </w:p>
          <w:p w:rsidR="0045589B" w:rsidRPr="00B50BC9" w:rsidRDefault="0045589B" w:rsidP="0045589B">
            <w:pPr>
              <w:rPr>
                <w:rFonts w:ascii="Arial" w:hAnsi="Arial" w:cs="Arial"/>
                <w:sz w:val="20"/>
                <w:szCs w:val="20"/>
              </w:rPr>
            </w:pPr>
          </w:p>
        </w:tc>
        <w:tc>
          <w:tcPr>
            <w:tcW w:w="533" w:type="pct"/>
            <w:gridSpan w:val="2"/>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c>
          <w:tcPr>
            <w:tcW w:w="1163" w:type="pct"/>
            <w:gridSpan w:val="4"/>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lastRenderedPageBreak/>
              <w:t>PO27</w:t>
            </w:r>
          </w:p>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The stormwater management system is designed to:</w:t>
            </w:r>
          </w:p>
          <w:p w:rsidR="0045589B" w:rsidRPr="00B50BC9" w:rsidRDefault="0045589B" w:rsidP="0045589B">
            <w:pPr>
              <w:pStyle w:val="NormalWeb"/>
              <w:numPr>
                <w:ilvl w:val="0"/>
                <w:numId w:val="26"/>
              </w:numPr>
              <w:spacing w:before="150" w:beforeAutospacing="0" w:after="150" w:afterAutospacing="0"/>
              <w:ind w:left="600" w:right="150"/>
              <w:rPr>
                <w:rFonts w:ascii="Arial" w:hAnsi="Arial" w:cs="Arial"/>
                <w:sz w:val="20"/>
                <w:szCs w:val="20"/>
              </w:rPr>
            </w:pPr>
            <w:r w:rsidRPr="00B50BC9">
              <w:rPr>
                <w:rFonts w:ascii="Arial" w:hAnsi="Arial" w:cs="Arial"/>
                <w:sz w:val="20"/>
                <w:szCs w:val="20"/>
              </w:rPr>
              <w:t>protect the environmental values in downstream waterways;</w:t>
            </w:r>
          </w:p>
          <w:p w:rsidR="0045589B" w:rsidRPr="00B50BC9" w:rsidRDefault="0045589B" w:rsidP="0045589B">
            <w:pPr>
              <w:pStyle w:val="NormalWeb"/>
              <w:numPr>
                <w:ilvl w:val="0"/>
                <w:numId w:val="26"/>
              </w:numPr>
              <w:spacing w:before="150" w:beforeAutospacing="0" w:after="150" w:afterAutospacing="0"/>
              <w:ind w:left="600" w:right="150"/>
              <w:rPr>
                <w:rFonts w:ascii="Arial" w:hAnsi="Arial" w:cs="Arial"/>
                <w:sz w:val="20"/>
                <w:szCs w:val="20"/>
              </w:rPr>
            </w:pPr>
            <w:r w:rsidRPr="00B50BC9">
              <w:rPr>
                <w:rFonts w:ascii="Arial" w:hAnsi="Arial" w:cs="Arial"/>
                <w:sz w:val="20"/>
                <w:szCs w:val="20"/>
              </w:rPr>
              <w:t>maintain ground water recharge areas;</w:t>
            </w:r>
          </w:p>
          <w:p w:rsidR="0045589B" w:rsidRPr="00B50BC9" w:rsidRDefault="0045589B" w:rsidP="0045589B">
            <w:pPr>
              <w:pStyle w:val="NormalWeb"/>
              <w:numPr>
                <w:ilvl w:val="0"/>
                <w:numId w:val="26"/>
              </w:numPr>
              <w:spacing w:before="150" w:beforeAutospacing="0" w:after="150" w:afterAutospacing="0"/>
              <w:ind w:left="600" w:right="150"/>
              <w:rPr>
                <w:rFonts w:ascii="Arial" w:hAnsi="Arial" w:cs="Arial"/>
                <w:sz w:val="20"/>
                <w:szCs w:val="20"/>
              </w:rPr>
            </w:pPr>
            <w:r w:rsidRPr="00B50BC9">
              <w:rPr>
                <w:rFonts w:ascii="Arial" w:hAnsi="Arial" w:cs="Arial"/>
                <w:sz w:val="20"/>
                <w:szCs w:val="20"/>
              </w:rPr>
              <w:t>preserve existing natural wetlands and associated buffers;</w:t>
            </w:r>
          </w:p>
          <w:p w:rsidR="0045589B" w:rsidRPr="00B50BC9" w:rsidRDefault="0045589B" w:rsidP="0045589B">
            <w:pPr>
              <w:pStyle w:val="NormalWeb"/>
              <w:numPr>
                <w:ilvl w:val="0"/>
                <w:numId w:val="26"/>
              </w:numPr>
              <w:spacing w:before="150" w:beforeAutospacing="0" w:after="150" w:afterAutospacing="0"/>
              <w:ind w:left="600" w:right="150"/>
              <w:rPr>
                <w:rFonts w:ascii="Arial" w:hAnsi="Arial" w:cs="Arial"/>
                <w:sz w:val="20"/>
                <w:szCs w:val="20"/>
              </w:rPr>
            </w:pPr>
            <w:r w:rsidRPr="00B50BC9">
              <w:rPr>
                <w:rFonts w:ascii="Arial" w:hAnsi="Arial" w:cs="Arial"/>
                <w:sz w:val="20"/>
                <w:szCs w:val="20"/>
              </w:rPr>
              <w:t>avoid disturbing soils or sediments;</w:t>
            </w:r>
          </w:p>
          <w:p w:rsidR="0045589B" w:rsidRPr="00B50BC9" w:rsidRDefault="0045589B" w:rsidP="0045589B">
            <w:pPr>
              <w:pStyle w:val="NormalWeb"/>
              <w:numPr>
                <w:ilvl w:val="0"/>
                <w:numId w:val="26"/>
              </w:numPr>
              <w:spacing w:before="150" w:beforeAutospacing="0" w:after="150" w:afterAutospacing="0"/>
              <w:ind w:left="600" w:right="150"/>
              <w:rPr>
                <w:rFonts w:ascii="Arial" w:hAnsi="Arial" w:cs="Arial"/>
                <w:sz w:val="20"/>
                <w:szCs w:val="20"/>
              </w:rPr>
            </w:pPr>
            <w:r w:rsidRPr="00B50BC9">
              <w:rPr>
                <w:rFonts w:ascii="Arial" w:hAnsi="Arial" w:cs="Arial"/>
                <w:sz w:val="20"/>
                <w:szCs w:val="20"/>
              </w:rPr>
              <w:t xml:space="preserve">avoid altering the natural hydrologic regime in acid </w:t>
            </w:r>
            <w:proofErr w:type="spellStart"/>
            <w:r w:rsidRPr="00B50BC9">
              <w:rPr>
                <w:rFonts w:ascii="Arial" w:hAnsi="Arial" w:cs="Arial"/>
                <w:sz w:val="20"/>
                <w:szCs w:val="20"/>
              </w:rPr>
              <w:t>sulfate</w:t>
            </w:r>
            <w:proofErr w:type="spellEnd"/>
            <w:r w:rsidRPr="00B50BC9">
              <w:rPr>
                <w:rFonts w:ascii="Arial" w:hAnsi="Arial" w:cs="Arial"/>
                <w:sz w:val="20"/>
                <w:szCs w:val="20"/>
              </w:rPr>
              <w:t xml:space="preserve"> soil and nutrient hazardous areas;</w:t>
            </w:r>
          </w:p>
          <w:p w:rsidR="0045589B" w:rsidRPr="00B50BC9" w:rsidRDefault="0045589B" w:rsidP="0045589B">
            <w:pPr>
              <w:pStyle w:val="NormalWeb"/>
              <w:numPr>
                <w:ilvl w:val="0"/>
                <w:numId w:val="26"/>
              </w:numPr>
              <w:spacing w:before="150" w:beforeAutospacing="0" w:after="150" w:afterAutospacing="0"/>
              <w:ind w:left="600" w:right="150"/>
              <w:rPr>
                <w:rFonts w:ascii="Arial" w:hAnsi="Arial" w:cs="Arial"/>
                <w:sz w:val="20"/>
                <w:szCs w:val="20"/>
              </w:rPr>
            </w:pPr>
            <w:r w:rsidRPr="00B50BC9">
              <w:rPr>
                <w:rFonts w:ascii="Arial" w:hAnsi="Arial" w:cs="Arial"/>
                <w:sz w:val="20"/>
                <w:szCs w:val="20"/>
              </w:rPr>
              <w:t>maintain and improve receiving water quality;</w:t>
            </w:r>
          </w:p>
          <w:p w:rsidR="0045589B" w:rsidRPr="00B50BC9" w:rsidRDefault="0045589B" w:rsidP="0045589B">
            <w:pPr>
              <w:pStyle w:val="NormalWeb"/>
              <w:numPr>
                <w:ilvl w:val="0"/>
                <w:numId w:val="26"/>
              </w:numPr>
              <w:spacing w:before="150" w:beforeAutospacing="0" w:after="150" w:afterAutospacing="0"/>
              <w:ind w:left="600" w:right="150"/>
              <w:rPr>
                <w:rFonts w:ascii="Arial" w:hAnsi="Arial" w:cs="Arial"/>
                <w:sz w:val="20"/>
                <w:szCs w:val="20"/>
              </w:rPr>
            </w:pPr>
            <w:r w:rsidRPr="00B50BC9">
              <w:rPr>
                <w:rFonts w:ascii="Arial" w:hAnsi="Arial" w:cs="Arial"/>
                <w:sz w:val="20"/>
                <w:szCs w:val="20"/>
              </w:rPr>
              <w:t>protect natural waterway configuration;</w:t>
            </w:r>
          </w:p>
          <w:p w:rsidR="0045589B" w:rsidRPr="00B50BC9" w:rsidRDefault="0045589B" w:rsidP="0045589B">
            <w:pPr>
              <w:pStyle w:val="NormalWeb"/>
              <w:numPr>
                <w:ilvl w:val="0"/>
                <w:numId w:val="26"/>
              </w:numPr>
              <w:spacing w:before="150" w:beforeAutospacing="0" w:after="150" w:afterAutospacing="0"/>
              <w:ind w:left="600" w:right="150"/>
              <w:rPr>
                <w:rFonts w:ascii="Arial" w:hAnsi="Arial" w:cs="Arial"/>
                <w:sz w:val="20"/>
                <w:szCs w:val="20"/>
              </w:rPr>
            </w:pPr>
            <w:r w:rsidRPr="00B50BC9">
              <w:rPr>
                <w:rFonts w:ascii="Arial" w:hAnsi="Arial" w:cs="Arial"/>
                <w:sz w:val="20"/>
                <w:szCs w:val="20"/>
              </w:rPr>
              <w:t>protect natural wetlands and vegetation;</w:t>
            </w:r>
          </w:p>
          <w:p w:rsidR="0045589B" w:rsidRPr="00B50BC9" w:rsidRDefault="0045589B" w:rsidP="0045589B">
            <w:pPr>
              <w:pStyle w:val="NormalWeb"/>
              <w:numPr>
                <w:ilvl w:val="0"/>
                <w:numId w:val="26"/>
              </w:numPr>
              <w:spacing w:before="150" w:beforeAutospacing="0" w:after="150" w:afterAutospacing="0"/>
              <w:ind w:left="600" w:right="150"/>
              <w:rPr>
                <w:rFonts w:ascii="Arial" w:hAnsi="Arial" w:cs="Arial"/>
                <w:sz w:val="20"/>
                <w:szCs w:val="20"/>
              </w:rPr>
            </w:pPr>
            <w:r w:rsidRPr="00B50BC9">
              <w:rPr>
                <w:rFonts w:ascii="Arial" w:hAnsi="Arial" w:cs="Arial"/>
                <w:sz w:val="20"/>
                <w:szCs w:val="20"/>
              </w:rPr>
              <w:t>protect downstream and adjacent properties;</w:t>
            </w:r>
          </w:p>
          <w:p w:rsidR="0045589B" w:rsidRPr="00B50BC9" w:rsidRDefault="0045589B" w:rsidP="0045589B">
            <w:pPr>
              <w:pStyle w:val="NormalWeb"/>
              <w:numPr>
                <w:ilvl w:val="0"/>
                <w:numId w:val="26"/>
              </w:numPr>
              <w:spacing w:before="150" w:beforeAutospacing="0" w:after="150" w:afterAutospacing="0"/>
              <w:ind w:left="600" w:right="150"/>
              <w:rPr>
                <w:rFonts w:ascii="Arial" w:hAnsi="Arial" w:cs="Arial"/>
                <w:sz w:val="20"/>
                <w:szCs w:val="20"/>
              </w:rPr>
            </w:pPr>
            <w:r w:rsidRPr="00B50BC9">
              <w:rPr>
                <w:rFonts w:ascii="Arial" w:hAnsi="Arial" w:cs="Arial"/>
                <w:sz w:val="20"/>
                <w:szCs w:val="20"/>
              </w:rPr>
              <w:t>protect and enhance riparian areas.</w:t>
            </w:r>
          </w:p>
        </w:tc>
        <w:tc>
          <w:tcPr>
            <w:tcW w:w="1649" w:type="pct"/>
            <w:gridSpan w:val="3"/>
            <w:hideMark/>
          </w:tcPr>
          <w:p w:rsidR="0045589B" w:rsidRPr="00B50BC9" w:rsidRDefault="0045589B" w:rsidP="0045589B">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w:t>
            </w:r>
          </w:p>
        </w:tc>
        <w:tc>
          <w:tcPr>
            <w:tcW w:w="519" w:type="pct"/>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45589B" w:rsidRPr="00B50BC9" w:rsidRDefault="0045589B" w:rsidP="0045589B">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45589B" w:rsidRPr="00B50BC9" w:rsidRDefault="0045589B" w:rsidP="0045589B">
            <w:pPr>
              <w:pStyle w:val="NormalWeb"/>
              <w:shd w:val="clear" w:color="auto" w:fill="FFFFFF"/>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PO28</w:t>
            </w:r>
          </w:p>
          <w:p w:rsidR="0045589B" w:rsidRPr="00B50BC9" w:rsidRDefault="0045589B" w:rsidP="0045589B">
            <w:pPr>
              <w:pStyle w:val="NormalWeb"/>
              <w:shd w:val="clear" w:color="auto" w:fill="FFFFFF"/>
              <w:spacing w:before="150" w:beforeAutospacing="0" w:after="150" w:afterAutospacing="0"/>
              <w:ind w:left="150" w:right="150"/>
              <w:rPr>
                <w:rFonts w:ascii="Arial" w:hAnsi="Arial" w:cs="Arial"/>
                <w:sz w:val="20"/>
                <w:szCs w:val="20"/>
              </w:rPr>
            </w:pPr>
            <w:r w:rsidRPr="00B50BC9">
              <w:rPr>
                <w:rFonts w:ascii="Arial" w:hAnsi="Arial" w:cs="Arial"/>
                <w:sz w:val="20"/>
                <w:szCs w:val="20"/>
              </w:rPr>
              <w:t>Design and construction of the stormwater management system:</w:t>
            </w:r>
          </w:p>
          <w:p w:rsidR="0045589B" w:rsidRPr="00B50BC9" w:rsidRDefault="0045589B" w:rsidP="0045589B">
            <w:pPr>
              <w:pStyle w:val="NormalWeb"/>
              <w:numPr>
                <w:ilvl w:val="0"/>
                <w:numId w:val="27"/>
              </w:numPr>
              <w:shd w:val="clear" w:color="auto" w:fill="FFFFFF"/>
              <w:spacing w:before="150" w:beforeAutospacing="0" w:after="150" w:afterAutospacing="0"/>
              <w:ind w:left="600" w:right="150"/>
              <w:rPr>
                <w:rFonts w:ascii="Arial" w:hAnsi="Arial" w:cs="Arial"/>
                <w:sz w:val="20"/>
                <w:szCs w:val="20"/>
              </w:rPr>
            </w:pPr>
            <w:r w:rsidRPr="00B50BC9">
              <w:rPr>
                <w:rFonts w:ascii="Arial" w:hAnsi="Arial" w:cs="Arial"/>
                <w:sz w:val="20"/>
                <w:szCs w:val="20"/>
              </w:rPr>
              <w:t>utilise methods and materials to minimise the whole of life-cycle costs of the stormwater management system; and</w:t>
            </w:r>
          </w:p>
          <w:p w:rsidR="00D42FF7" w:rsidRPr="00B50BC9" w:rsidRDefault="0045589B" w:rsidP="0045589B">
            <w:pPr>
              <w:pStyle w:val="NormalWeb"/>
              <w:numPr>
                <w:ilvl w:val="0"/>
                <w:numId w:val="27"/>
              </w:numPr>
              <w:shd w:val="clear" w:color="auto" w:fill="FFFFFF"/>
              <w:spacing w:before="150" w:beforeAutospacing="0" w:after="150" w:afterAutospacing="0"/>
              <w:ind w:left="600" w:right="150"/>
              <w:rPr>
                <w:rFonts w:ascii="Arial" w:hAnsi="Arial" w:cs="Arial"/>
                <w:sz w:val="20"/>
                <w:szCs w:val="20"/>
              </w:rPr>
            </w:pPr>
            <w:r w:rsidRPr="00B50BC9">
              <w:rPr>
                <w:rFonts w:ascii="Arial" w:hAnsi="Arial" w:cs="Arial"/>
                <w:sz w:val="20"/>
                <w:szCs w:val="20"/>
              </w:rPr>
              <w:t>are coordinated with civil and other landscaping works.</w:t>
            </w:r>
          </w:p>
          <w:p w:rsidR="0045589B" w:rsidRPr="00B50BC9" w:rsidRDefault="0045589B" w:rsidP="0045589B">
            <w:pPr>
              <w:pStyle w:val="NormalWeb"/>
              <w:shd w:val="clear" w:color="auto" w:fill="FFFFFF"/>
              <w:spacing w:before="150" w:beforeAutospacing="0" w:after="150" w:afterAutospacing="0"/>
              <w:ind w:left="240" w:right="150"/>
              <w:rPr>
                <w:rFonts w:ascii="Arial" w:hAnsi="Arial" w:cs="Arial"/>
                <w:sz w:val="20"/>
                <w:szCs w:val="20"/>
              </w:rPr>
            </w:pPr>
            <w:r w:rsidRPr="00031EC8">
              <w:rPr>
                <w:rFonts w:ascii="Arial" w:hAnsi="Arial" w:cs="Arial"/>
                <w:sz w:val="18"/>
                <w:szCs w:val="20"/>
                <w:shd w:val="clear" w:color="auto" w:fill="FFFFFF"/>
              </w:rPr>
              <w:t>Note - To determine the standards for stormwater management system construction refer to Planning scheme policy - Integrated design.</w:t>
            </w:r>
          </w:p>
        </w:tc>
        <w:tc>
          <w:tcPr>
            <w:tcW w:w="1649" w:type="pct"/>
            <w:gridSpan w:val="3"/>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No example provided.</w:t>
            </w:r>
          </w:p>
        </w:tc>
        <w:tc>
          <w:tcPr>
            <w:tcW w:w="519"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177" w:type="pct"/>
            <w:gridSpan w:val="5"/>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45589B" w:rsidRPr="0045589B"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b/>
                <w:bCs/>
                <w:sz w:val="20"/>
                <w:szCs w:val="20"/>
                <w:lang w:eastAsia="en-AU"/>
              </w:rPr>
              <w:t>PO29</w:t>
            </w:r>
          </w:p>
          <w:p w:rsidR="00D42FF7" w:rsidRPr="00B50BC9"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45589B">
              <w:rPr>
                <w:rFonts w:ascii="Arial" w:eastAsia="Times New Roman" w:hAnsi="Arial" w:cs="Arial"/>
                <w:sz w:val="20"/>
                <w:szCs w:val="20"/>
                <w:lang w:eastAsia="en-AU"/>
              </w:rPr>
              <w:t xml:space="preserve">Where connecting to or in association with a minor green corridor shown on a Neighbourhood </w:t>
            </w:r>
            <w:r w:rsidRPr="0045589B">
              <w:rPr>
                <w:rFonts w:ascii="Arial" w:eastAsia="Times New Roman" w:hAnsi="Arial" w:cs="Arial"/>
                <w:sz w:val="20"/>
                <w:szCs w:val="20"/>
                <w:lang w:eastAsia="en-AU"/>
              </w:rPr>
              <w:lastRenderedPageBreak/>
              <w:t>development plan that reflects the urban structure concept shown indicatively on Figure 7.2.3.1 - Caboolture West structure plan and Figure 7.2.3.4 Green network and open space, development will adopt bio-retention systems for stormwater treatment that recognises and promotes Council's Total Water Cycle Management policy and the efficient use of water resources.</w:t>
            </w:r>
          </w:p>
          <w:p w:rsidR="0045589B" w:rsidRPr="00B50BC9" w:rsidRDefault="0045589B" w:rsidP="0045589B">
            <w:pPr>
              <w:shd w:val="clear" w:color="auto" w:fill="FFFFFF"/>
              <w:spacing w:before="150" w:after="150" w:line="240" w:lineRule="auto"/>
              <w:ind w:left="150" w:right="150"/>
              <w:rPr>
                <w:rFonts w:ascii="Arial" w:eastAsia="Times New Roman" w:hAnsi="Arial" w:cs="Arial"/>
                <w:sz w:val="20"/>
                <w:szCs w:val="20"/>
                <w:lang w:eastAsia="en-AU"/>
              </w:rPr>
            </w:pPr>
            <w:r w:rsidRPr="00031EC8">
              <w:rPr>
                <w:rFonts w:ascii="Arial" w:hAnsi="Arial" w:cs="Arial"/>
                <w:sz w:val="18"/>
                <w:szCs w:val="20"/>
                <w:shd w:val="clear" w:color="auto" w:fill="FFFFFF"/>
              </w:rPr>
              <w:t>Note - To determine the standards for stormwater management system construction refer to Planning scheme policy - Integrated design</w:t>
            </w:r>
          </w:p>
        </w:tc>
        <w:tc>
          <w:tcPr>
            <w:tcW w:w="1649" w:type="pct"/>
            <w:gridSpan w:val="3"/>
            <w:hideMark/>
          </w:tcPr>
          <w:p w:rsidR="00D42FF7" w:rsidRPr="00B50BC9" w:rsidRDefault="000E131B" w:rsidP="000E131B">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lastRenderedPageBreak/>
              <w:t>No example provided.</w:t>
            </w:r>
          </w:p>
        </w:tc>
        <w:tc>
          <w:tcPr>
            <w:tcW w:w="519" w:type="pct"/>
          </w:tcPr>
          <w:p w:rsidR="00D42FF7" w:rsidRPr="00B50BC9" w:rsidRDefault="00D42FF7" w:rsidP="00D42FF7">
            <w:pPr>
              <w:spacing w:before="100" w:beforeAutospacing="1" w:after="100" w:afterAutospacing="1" w:line="240" w:lineRule="auto"/>
              <w:rPr>
                <w:rFonts w:ascii="Arial" w:eastAsia="Times New Roman" w:hAnsi="Arial" w:cs="Arial"/>
                <w:sz w:val="20"/>
                <w:szCs w:val="20"/>
                <w:lang w:eastAsia="en-AU"/>
              </w:rPr>
            </w:pPr>
          </w:p>
        </w:tc>
        <w:tc>
          <w:tcPr>
            <w:tcW w:w="1177" w:type="pct"/>
            <w:gridSpan w:val="5"/>
          </w:tcPr>
          <w:p w:rsidR="00D42FF7" w:rsidRPr="00B50BC9" w:rsidRDefault="00D42FF7" w:rsidP="00D42FF7">
            <w:pPr>
              <w:spacing w:before="100" w:beforeAutospacing="1" w:after="100" w:afterAutospacing="1" w:line="240" w:lineRule="auto"/>
              <w:rPr>
                <w:rFonts w:ascii="Arial" w:eastAsia="Times New Roman" w:hAnsi="Arial" w:cs="Arial"/>
                <w:sz w:val="20"/>
                <w:szCs w:val="20"/>
                <w:lang w:eastAsia="en-AU"/>
              </w:rPr>
            </w:pPr>
          </w:p>
        </w:tc>
      </w:tr>
      <w:tr w:rsidR="00B50BC9" w:rsidRPr="00B50BC9" w:rsidTr="005F3D15">
        <w:tblPrEx>
          <w:tblBorders>
            <w:insideH w:val="outset" w:sz="6" w:space="0" w:color="auto"/>
            <w:insideV w:val="outset" w:sz="6" w:space="0" w:color="auto"/>
          </w:tblBorders>
        </w:tblPrEx>
        <w:trPr>
          <w:trHeight w:val="330"/>
          <w:tblCellSpacing w:w="15" w:type="dxa"/>
        </w:trPr>
        <w:tc>
          <w:tcPr>
            <w:tcW w:w="3265" w:type="pct"/>
            <w:gridSpan w:val="4"/>
            <w:shd w:val="clear" w:color="auto" w:fill="CCCCCC"/>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Noise</w:t>
            </w:r>
          </w:p>
        </w:tc>
        <w:tc>
          <w:tcPr>
            <w:tcW w:w="519" w:type="pct"/>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7" w:type="pct"/>
            <w:gridSpan w:val="5"/>
            <w:shd w:val="clear" w:color="auto" w:fill="CCCCCC"/>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F3D15" w:rsidRPr="00B50BC9" w:rsidTr="005F3D15">
        <w:tblPrEx>
          <w:tblBorders>
            <w:insideH w:val="outset" w:sz="6" w:space="0" w:color="auto"/>
            <w:insideV w:val="outset" w:sz="6" w:space="0" w:color="auto"/>
          </w:tblBorders>
        </w:tblPrEx>
        <w:trPr>
          <w:tblCellSpacing w:w="15" w:type="dxa"/>
        </w:trPr>
        <w:tc>
          <w:tcPr>
            <w:tcW w:w="1607" w:type="pct"/>
            <w:hideMark/>
          </w:tcPr>
          <w:p w:rsidR="000F19DA" w:rsidRPr="000F19DA" w:rsidRDefault="000F19DA" w:rsidP="000F19DA">
            <w:pPr>
              <w:shd w:val="clear" w:color="auto" w:fill="FFFFFF"/>
              <w:spacing w:before="150" w:after="150" w:line="240" w:lineRule="auto"/>
              <w:ind w:left="150" w:right="150"/>
              <w:rPr>
                <w:rFonts w:ascii="Arial" w:eastAsia="Times New Roman" w:hAnsi="Arial" w:cs="Arial"/>
                <w:sz w:val="20"/>
                <w:szCs w:val="20"/>
                <w:lang w:eastAsia="en-AU"/>
              </w:rPr>
            </w:pPr>
            <w:r w:rsidRPr="000F19DA">
              <w:rPr>
                <w:rFonts w:ascii="Arial" w:eastAsia="Times New Roman" w:hAnsi="Arial" w:cs="Arial"/>
                <w:b/>
                <w:bCs/>
                <w:sz w:val="20"/>
                <w:szCs w:val="20"/>
                <w:lang w:eastAsia="en-AU"/>
              </w:rPr>
              <w:t>PO30</w:t>
            </w:r>
          </w:p>
          <w:p w:rsidR="000F19DA" w:rsidRPr="000F19DA" w:rsidRDefault="000F19DA" w:rsidP="000F19DA">
            <w:pPr>
              <w:shd w:val="clear" w:color="auto" w:fill="FFFFFF"/>
              <w:spacing w:before="150" w:after="150" w:line="240" w:lineRule="auto"/>
              <w:ind w:left="150" w:right="150"/>
              <w:rPr>
                <w:rFonts w:ascii="Arial" w:eastAsia="Times New Roman" w:hAnsi="Arial" w:cs="Arial"/>
                <w:sz w:val="20"/>
                <w:szCs w:val="20"/>
                <w:lang w:eastAsia="en-AU"/>
              </w:rPr>
            </w:pPr>
            <w:r w:rsidRPr="000F19DA">
              <w:rPr>
                <w:rFonts w:ascii="Arial" w:eastAsia="Times New Roman" w:hAnsi="Arial" w:cs="Arial"/>
                <w:sz w:val="20"/>
                <w:szCs w:val="20"/>
                <w:lang w:eastAsia="en-AU"/>
              </w:rPr>
              <w:t>Noise attenuation structure (e.g. walls, barriers or fences):</w:t>
            </w:r>
          </w:p>
          <w:p w:rsidR="000F19DA" w:rsidRPr="000F19DA" w:rsidRDefault="000F19DA" w:rsidP="000F19DA">
            <w:pPr>
              <w:numPr>
                <w:ilvl w:val="0"/>
                <w:numId w:val="2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0F19DA">
              <w:rPr>
                <w:rFonts w:ascii="Arial" w:eastAsia="Times New Roman" w:hAnsi="Arial" w:cs="Arial"/>
                <w:sz w:val="20"/>
                <w:szCs w:val="20"/>
                <w:lang w:eastAsia="en-AU"/>
              </w:rPr>
              <w:t>contribute to safe and usable public spaces, through maintaining high levels of surveillance of parks, streets and roads that serve active transport purposes (e.g. existing or future pedestrian paths or cycle lanes etc);</w:t>
            </w:r>
          </w:p>
          <w:p w:rsidR="00D42FF7" w:rsidRPr="00B50BC9" w:rsidRDefault="000F19DA" w:rsidP="00D42FF7">
            <w:pPr>
              <w:numPr>
                <w:ilvl w:val="0"/>
                <w:numId w:val="28"/>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0F19DA">
              <w:rPr>
                <w:rFonts w:ascii="Arial" w:eastAsia="Times New Roman" w:hAnsi="Arial" w:cs="Arial"/>
                <w:sz w:val="20"/>
                <w:szCs w:val="20"/>
                <w:lang w:eastAsia="en-AU"/>
              </w:rPr>
              <w:t>maintain the amenity of the streetscape.</w:t>
            </w:r>
          </w:p>
          <w:p w:rsidR="000F19DA" w:rsidRPr="00031EC8" w:rsidRDefault="000F19DA" w:rsidP="000F19DA">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031EC8">
              <w:rPr>
                <w:rFonts w:ascii="Arial" w:hAnsi="Arial" w:cs="Arial"/>
                <w:sz w:val="18"/>
                <w:szCs w:val="20"/>
                <w:shd w:val="clear" w:color="auto" w:fill="FFFFFF"/>
              </w:rPr>
              <w:t>Note - A noise impact assessment may be required to demonstrate compliance with this PO.  Noise impact assessments are to be prepared in accordance with Planning scheme policy - Noise.</w:t>
            </w:r>
          </w:p>
          <w:p w:rsidR="000F19DA" w:rsidRPr="00B50BC9" w:rsidRDefault="000F19DA" w:rsidP="000F19DA">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031EC8">
              <w:rPr>
                <w:rFonts w:ascii="Arial" w:hAnsi="Arial" w:cs="Arial"/>
                <w:sz w:val="18"/>
                <w:szCs w:val="20"/>
                <w:shd w:val="clear" w:color="auto" w:fill="FFFFFF"/>
              </w:rPr>
              <w:t>Note - Refer to Planning Scheme Policy – Integrated design for details and examples of noise attenuation structures</w:t>
            </w:r>
            <w:r w:rsidRPr="00B50BC9">
              <w:rPr>
                <w:rFonts w:ascii="Arial" w:hAnsi="Arial" w:cs="Arial"/>
                <w:sz w:val="20"/>
                <w:szCs w:val="20"/>
                <w:shd w:val="clear" w:color="auto" w:fill="FFFFFF"/>
              </w:rPr>
              <w:t>.</w:t>
            </w:r>
          </w:p>
        </w:tc>
        <w:tc>
          <w:tcPr>
            <w:tcW w:w="1649" w:type="pct"/>
            <w:gridSpan w:val="3"/>
            <w:hideMark/>
          </w:tcPr>
          <w:p w:rsidR="000F19DA" w:rsidRPr="000F19DA" w:rsidRDefault="000F19DA" w:rsidP="000F19DA">
            <w:pPr>
              <w:shd w:val="clear" w:color="auto" w:fill="FFFFFF"/>
              <w:spacing w:before="150" w:after="150" w:line="240" w:lineRule="auto"/>
              <w:ind w:left="150" w:right="150"/>
              <w:rPr>
                <w:rFonts w:ascii="Arial" w:eastAsia="Times New Roman" w:hAnsi="Arial" w:cs="Arial"/>
                <w:sz w:val="20"/>
                <w:szCs w:val="20"/>
                <w:lang w:eastAsia="en-AU"/>
              </w:rPr>
            </w:pPr>
            <w:r w:rsidRPr="000F19DA">
              <w:rPr>
                <w:rFonts w:ascii="Arial" w:eastAsia="Times New Roman" w:hAnsi="Arial" w:cs="Arial"/>
                <w:b/>
                <w:bCs/>
                <w:sz w:val="20"/>
                <w:szCs w:val="20"/>
                <w:lang w:eastAsia="en-AU"/>
              </w:rPr>
              <w:t>E30</w:t>
            </w:r>
          </w:p>
          <w:p w:rsidR="000F19DA" w:rsidRPr="000F19DA" w:rsidRDefault="000F19DA" w:rsidP="000F19DA">
            <w:pPr>
              <w:shd w:val="clear" w:color="auto" w:fill="FFFFFF"/>
              <w:spacing w:before="150" w:after="150" w:line="240" w:lineRule="auto"/>
              <w:ind w:left="150" w:right="150"/>
              <w:rPr>
                <w:rFonts w:ascii="Arial" w:eastAsia="Times New Roman" w:hAnsi="Arial" w:cs="Arial"/>
                <w:sz w:val="20"/>
                <w:szCs w:val="20"/>
                <w:lang w:eastAsia="en-AU"/>
              </w:rPr>
            </w:pPr>
            <w:r w:rsidRPr="000F19DA">
              <w:rPr>
                <w:rFonts w:ascii="Arial" w:eastAsia="Times New Roman" w:hAnsi="Arial" w:cs="Arial"/>
                <w:sz w:val="20"/>
                <w:szCs w:val="20"/>
                <w:lang w:eastAsia="en-AU"/>
              </w:rPr>
              <w:t>Noise attenuation structures (e.g. walls, barriers or fences):</w:t>
            </w:r>
          </w:p>
          <w:p w:rsidR="000F19DA" w:rsidRPr="000F19DA" w:rsidRDefault="000F19DA" w:rsidP="000F19DA">
            <w:pPr>
              <w:numPr>
                <w:ilvl w:val="0"/>
                <w:numId w:val="2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0F19DA">
              <w:rPr>
                <w:rFonts w:ascii="Arial" w:eastAsia="Times New Roman" w:hAnsi="Arial" w:cs="Arial"/>
                <w:sz w:val="20"/>
                <w:szCs w:val="20"/>
                <w:lang w:eastAsia="en-AU"/>
              </w:rPr>
              <w:t>are not visible from an adjoining road or public area unless;</w:t>
            </w:r>
          </w:p>
          <w:p w:rsidR="000F19DA" w:rsidRPr="000F19DA" w:rsidRDefault="000F19DA" w:rsidP="005E5EF5">
            <w:pPr>
              <w:numPr>
                <w:ilvl w:val="0"/>
                <w:numId w:val="32"/>
              </w:numPr>
              <w:shd w:val="clear" w:color="auto" w:fill="FFFFFF"/>
              <w:spacing w:before="100" w:beforeAutospacing="1" w:after="100" w:afterAutospacing="1" w:line="240" w:lineRule="auto"/>
              <w:rPr>
                <w:rFonts w:ascii="Arial" w:eastAsia="Times New Roman" w:hAnsi="Arial" w:cs="Arial"/>
                <w:sz w:val="20"/>
                <w:szCs w:val="20"/>
                <w:lang w:eastAsia="en-AU"/>
              </w:rPr>
            </w:pPr>
            <w:r w:rsidRPr="000F19DA">
              <w:rPr>
                <w:rFonts w:ascii="Arial" w:eastAsia="Times New Roman" w:hAnsi="Arial" w:cs="Arial"/>
                <w:sz w:val="20"/>
                <w:szCs w:val="20"/>
                <w:lang w:eastAsia="en-AU"/>
              </w:rPr>
              <w:t>adjoining a motorway or rail line; or</w:t>
            </w:r>
          </w:p>
          <w:p w:rsidR="000F19DA" w:rsidRPr="000F19DA" w:rsidRDefault="000F19DA" w:rsidP="005E5EF5">
            <w:pPr>
              <w:numPr>
                <w:ilvl w:val="0"/>
                <w:numId w:val="32"/>
              </w:numPr>
              <w:shd w:val="clear" w:color="auto" w:fill="FFFFFF"/>
              <w:spacing w:before="100" w:beforeAutospacing="1" w:after="100" w:afterAutospacing="1" w:line="240" w:lineRule="auto"/>
              <w:rPr>
                <w:rFonts w:ascii="Arial" w:eastAsia="Times New Roman" w:hAnsi="Arial" w:cs="Arial"/>
                <w:sz w:val="20"/>
                <w:szCs w:val="20"/>
                <w:lang w:eastAsia="en-AU"/>
              </w:rPr>
            </w:pPr>
            <w:r w:rsidRPr="000F19DA">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 </w:t>
            </w:r>
          </w:p>
          <w:p w:rsidR="000F19DA" w:rsidRPr="000F19DA" w:rsidRDefault="000F19DA" w:rsidP="000F19DA">
            <w:pPr>
              <w:numPr>
                <w:ilvl w:val="0"/>
                <w:numId w:val="3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0F19DA">
              <w:rPr>
                <w:rFonts w:ascii="Arial" w:eastAsia="Times New Roman" w:hAnsi="Arial" w:cs="Arial"/>
                <w:sz w:val="20"/>
                <w:szCs w:val="20"/>
                <w:lang w:eastAsia="en-AU"/>
              </w:rPr>
              <w:t>do not remove existing or prevent future active transport routes or connections to the street network;</w:t>
            </w:r>
          </w:p>
          <w:p w:rsidR="00D42FF7" w:rsidRPr="00B50BC9" w:rsidRDefault="000F19DA" w:rsidP="00D42FF7">
            <w:pPr>
              <w:numPr>
                <w:ilvl w:val="0"/>
                <w:numId w:val="3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0F19DA">
              <w:rPr>
                <w:rFonts w:ascii="Arial" w:eastAsia="Times New Roman" w:hAnsi="Arial" w:cs="Arial"/>
                <w:sz w:val="20"/>
                <w:szCs w:val="20"/>
                <w:lang w:eastAsia="en-AU"/>
              </w:rPr>
              <w:t>are located, constructed and landscaped in accordance with Planning scheme policy - Integrated design.</w:t>
            </w:r>
          </w:p>
          <w:p w:rsidR="000F19DA" w:rsidRPr="00031EC8" w:rsidRDefault="000F19DA" w:rsidP="000F19DA">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031EC8">
              <w:rPr>
                <w:rFonts w:ascii="Arial" w:hAnsi="Arial" w:cs="Arial"/>
                <w:sz w:val="18"/>
                <w:szCs w:val="20"/>
                <w:shd w:val="clear" w:color="auto" w:fill="FFFFFF"/>
              </w:rPr>
              <w:t>Note - Refer to Planning Scheme Policy – Integrated design for details and examples of noise attenuation structures.</w:t>
            </w:r>
          </w:p>
          <w:p w:rsidR="000F19DA" w:rsidRPr="00B50BC9" w:rsidRDefault="000F19DA" w:rsidP="000F19DA">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031EC8">
              <w:rPr>
                <w:rFonts w:ascii="Arial" w:hAnsi="Arial" w:cs="Arial"/>
                <w:sz w:val="18"/>
                <w:szCs w:val="20"/>
                <w:shd w:val="clear" w:color="auto" w:fill="FFFFFF"/>
              </w:rPr>
              <w:t>Note - Refer to Overlay map – Active transport for future active transport routes</w:t>
            </w:r>
            <w:r w:rsidRPr="00B50BC9">
              <w:rPr>
                <w:rFonts w:ascii="Arial" w:hAnsi="Arial" w:cs="Arial"/>
                <w:sz w:val="20"/>
                <w:szCs w:val="20"/>
                <w:shd w:val="clear" w:color="auto" w:fill="FFFFFF"/>
              </w:rPr>
              <w:t>.</w:t>
            </w:r>
          </w:p>
        </w:tc>
        <w:tc>
          <w:tcPr>
            <w:tcW w:w="519"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77" w:type="pct"/>
            <w:gridSpan w:val="5"/>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B6B77" w:rsidRPr="00B50BC9" w:rsidRDefault="00FB6B77">
      <w:pPr>
        <w:rPr>
          <w:rFonts w:ascii="Arial" w:hAnsi="Arial" w:cs="Arial"/>
          <w:sz w:val="20"/>
          <w:szCs w:val="20"/>
        </w:rPr>
      </w:pPr>
    </w:p>
    <w:tbl>
      <w:tblPr>
        <w:tblW w:w="5022"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987"/>
        <w:gridCol w:w="5339"/>
        <w:gridCol w:w="1793"/>
        <w:gridCol w:w="3331"/>
      </w:tblGrid>
      <w:tr w:rsidR="00B50BC9" w:rsidRPr="00B50BC9" w:rsidTr="00FB6B77">
        <w:trPr>
          <w:trHeight w:val="1345"/>
          <w:tblCellSpacing w:w="15" w:type="dxa"/>
        </w:trPr>
        <w:tc>
          <w:tcPr>
            <w:tcW w:w="4981" w:type="pct"/>
            <w:gridSpan w:val="4"/>
            <w:shd w:val="clear" w:color="auto" w:fill="CCCCCC"/>
            <w:hideMark/>
          </w:tcPr>
          <w:p w:rsidR="00FB6B77" w:rsidRPr="00B50BC9" w:rsidRDefault="00FB6B77" w:rsidP="00D42FF7">
            <w:pPr>
              <w:spacing w:before="100" w:beforeAutospacing="1" w:after="100" w:afterAutospacing="1" w:line="240" w:lineRule="auto"/>
              <w:ind w:left="150" w:right="150"/>
              <w:jc w:val="center"/>
              <w:rPr>
                <w:rFonts w:ascii="Arial" w:eastAsia="Times New Roman" w:hAnsi="Arial" w:cs="Arial"/>
                <w:sz w:val="20"/>
                <w:szCs w:val="20"/>
                <w:lang w:eastAsia="en-AU"/>
              </w:rPr>
            </w:pPr>
            <w:r w:rsidRPr="00B50BC9">
              <w:rPr>
                <w:rFonts w:ascii="Arial" w:eastAsia="Times New Roman" w:hAnsi="Arial" w:cs="Arial"/>
                <w:b/>
                <w:bCs/>
                <w:sz w:val="20"/>
                <w:szCs w:val="20"/>
                <w:lang w:eastAsia="en-AU"/>
              </w:rPr>
              <w:lastRenderedPageBreak/>
              <w:t>Values and constraints criteria</w:t>
            </w:r>
          </w:p>
          <w:tbl>
            <w:tblPr>
              <w:tblW w:w="4775"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669"/>
            </w:tblGrid>
            <w:tr w:rsidR="00B50BC9" w:rsidRPr="00B50BC9" w:rsidTr="000A3D33">
              <w:trPr>
                <w:trHeight w:val="267"/>
                <w:tblCellSpacing w:w="15" w:type="dxa"/>
              </w:trPr>
              <w:tc>
                <w:tcPr>
                  <w:tcW w:w="14609" w:type="dxa"/>
                  <w:shd w:val="clear" w:color="auto" w:fill="CCCCCC"/>
                  <w:vAlign w:val="center"/>
                  <w:hideMark/>
                </w:tcPr>
                <w:p w:rsidR="00FB6B77" w:rsidRPr="005F3D15" w:rsidRDefault="005E5EF5" w:rsidP="005E5EF5">
                  <w:pPr>
                    <w:pStyle w:val="NormalWeb"/>
                    <w:spacing w:before="150" w:after="150"/>
                    <w:ind w:left="150" w:right="150"/>
                    <w:rPr>
                      <w:rFonts w:ascii="Arial" w:hAnsi="Arial" w:cs="Arial"/>
                      <w:sz w:val="18"/>
                      <w:szCs w:val="18"/>
                    </w:rPr>
                  </w:pPr>
                  <w:r w:rsidRPr="005F3D15">
                    <w:rPr>
                      <w:rFonts w:ascii="Arial" w:hAnsi="Arial" w:cs="Arial"/>
                      <w:sz w:val="18"/>
                      <w:szCs w:val="18"/>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conditions of approval) the identified value or constraint under this planning scheme.</w:t>
                  </w:r>
                </w:p>
              </w:tc>
            </w:tr>
            <w:tr w:rsidR="000A3D33" w:rsidRPr="00B50BC9" w:rsidTr="000A3D33">
              <w:trPr>
                <w:trHeight w:val="267"/>
                <w:tblCellSpacing w:w="15" w:type="dxa"/>
              </w:trPr>
              <w:tc>
                <w:tcPr>
                  <w:tcW w:w="14609" w:type="dxa"/>
                  <w:shd w:val="clear" w:color="auto" w:fill="CCCCCC"/>
                  <w:vAlign w:val="center"/>
                </w:tcPr>
                <w:p w:rsidR="000A3D33" w:rsidRPr="00B50BC9" w:rsidRDefault="000A3D33" w:rsidP="005E5EF5">
                  <w:pPr>
                    <w:pStyle w:val="NormalWeb"/>
                    <w:spacing w:before="150" w:after="150"/>
                    <w:ind w:left="150" w:right="150"/>
                    <w:rPr>
                      <w:rFonts w:ascii="Arial" w:hAnsi="Arial" w:cs="Arial"/>
                      <w:sz w:val="20"/>
                      <w:szCs w:val="20"/>
                    </w:rPr>
                  </w:pPr>
                </w:p>
              </w:tc>
            </w:tr>
          </w:tbl>
          <w:p w:rsidR="00FB6B77" w:rsidRPr="00B50BC9" w:rsidRDefault="00FB6B7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0A3D33" w:rsidRPr="00B50BC9" w:rsidTr="000A3D33">
        <w:trPr>
          <w:tblCellSpacing w:w="15" w:type="dxa"/>
        </w:trPr>
        <w:tc>
          <w:tcPr>
            <w:tcW w:w="4981" w:type="pct"/>
            <w:gridSpan w:val="4"/>
            <w:shd w:val="clear" w:color="auto" w:fill="D0CECE" w:themeFill="background2" w:themeFillShade="E6"/>
          </w:tcPr>
          <w:p w:rsidR="000A3D33" w:rsidRPr="005F3D15" w:rsidRDefault="000A3D33" w:rsidP="000A3D33">
            <w:pPr>
              <w:spacing w:before="100" w:beforeAutospacing="1" w:after="100" w:afterAutospacing="1" w:line="240" w:lineRule="auto"/>
              <w:ind w:left="150" w:right="150"/>
              <w:rPr>
                <w:rFonts w:ascii="Arial" w:hAnsi="Arial" w:cs="Arial"/>
                <w:b/>
                <w:bCs/>
                <w:sz w:val="20"/>
                <w:szCs w:val="20"/>
              </w:rPr>
            </w:pPr>
            <w:r w:rsidRPr="005F3D15">
              <w:rPr>
                <w:rFonts w:ascii="Arial" w:hAnsi="Arial" w:cs="Arial"/>
                <w:b/>
                <w:bCs/>
                <w:sz w:val="20"/>
                <w:szCs w:val="20"/>
              </w:rPr>
              <w:t>Environmental areas (refer to Overlay map - Environmental areas to determine if the following assessment criteria apply)</w:t>
            </w:r>
          </w:p>
          <w:p w:rsidR="000A3D33" w:rsidRPr="000A3D33" w:rsidRDefault="000A3D33" w:rsidP="005E5E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A3D33" w:rsidRPr="00B50BC9" w:rsidTr="000A3D33">
        <w:trPr>
          <w:tblCellSpacing w:w="15" w:type="dxa"/>
        </w:trPr>
        <w:tc>
          <w:tcPr>
            <w:tcW w:w="1609" w:type="pct"/>
          </w:tcPr>
          <w:p w:rsidR="000A3D33" w:rsidRDefault="000A3D33" w:rsidP="005E5EF5">
            <w:pPr>
              <w:pStyle w:val="NormalWeb"/>
              <w:spacing w:before="150" w:beforeAutospacing="0" w:after="150" w:afterAutospacing="0"/>
              <w:ind w:left="150" w:right="150"/>
              <w:rPr>
                <w:rFonts w:ascii="Arial" w:hAnsi="Arial" w:cs="Arial"/>
                <w:b/>
                <w:bCs/>
                <w:sz w:val="20"/>
                <w:szCs w:val="20"/>
              </w:rPr>
            </w:pPr>
            <w:r w:rsidRPr="000A3D33">
              <w:rPr>
                <w:rFonts w:ascii="Arial" w:hAnsi="Arial" w:cs="Arial"/>
                <w:b/>
                <w:bCs/>
                <w:sz w:val="20"/>
                <w:szCs w:val="20"/>
              </w:rPr>
              <w:t xml:space="preserve">PO31 </w:t>
            </w:r>
          </w:p>
          <w:p w:rsidR="000A3D33" w:rsidRPr="000A3D33" w:rsidRDefault="000A3D33" w:rsidP="005E5EF5">
            <w:pPr>
              <w:pStyle w:val="NormalWeb"/>
              <w:spacing w:before="150" w:beforeAutospacing="0" w:after="150" w:afterAutospacing="0"/>
              <w:ind w:left="150" w:right="150"/>
              <w:rPr>
                <w:rStyle w:val="Strong"/>
                <w:rFonts w:ascii="Arial" w:hAnsi="Arial" w:cs="Arial"/>
                <w:sz w:val="20"/>
                <w:szCs w:val="20"/>
              </w:rPr>
            </w:pPr>
            <w:r w:rsidRPr="000A3D33">
              <w:rPr>
                <w:rFonts w:ascii="Arial" w:hAnsi="Arial" w:cs="Arial"/>
                <w:sz w:val="20"/>
                <w:szCs w:val="20"/>
              </w:rPr>
              <w:t>No new boundaries are located within 2m of High Value Areas.</w:t>
            </w:r>
          </w:p>
        </w:tc>
        <w:tc>
          <w:tcPr>
            <w:tcW w:w="1718" w:type="pct"/>
          </w:tcPr>
          <w:p w:rsidR="000A3D33" w:rsidRPr="000A3D33" w:rsidRDefault="000A3D33" w:rsidP="005E5EF5">
            <w:pPr>
              <w:pStyle w:val="NormalWeb"/>
              <w:spacing w:before="150" w:beforeAutospacing="0" w:after="150" w:afterAutospacing="0"/>
              <w:ind w:left="150" w:right="150"/>
              <w:rPr>
                <w:rFonts w:ascii="Arial" w:hAnsi="Arial" w:cs="Arial"/>
                <w:sz w:val="20"/>
                <w:szCs w:val="20"/>
              </w:rPr>
            </w:pPr>
            <w:r w:rsidRPr="000A3D33">
              <w:rPr>
                <w:rFonts w:ascii="Arial" w:hAnsi="Arial" w:cs="Arial"/>
                <w:sz w:val="20"/>
                <w:szCs w:val="20"/>
              </w:rPr>
              <w:t>No example provided.</w:t>
            </w:r>
          </w:p>
        </w:tc>
        <w:tc>
          <w:tcPr>
            <w:tcW w:w="574" w:type="pct"/>
          </w:tcPr>
          <w:p w:rsidR="000A3D33" w:rsidRPr="00B50BC9" w:rsidRDefault="000A3D33" w:rsidP="005E5EF5">
            <w:pPr>
              <w:spacing w:before="100" w:beforeAutospacing="1" w:after="100" w:afterAutospacing="1" w:line="240" w:lineRule="auto"/>
              <w:ind w:left="150" w:right="150"/>
              <w:rPr>
                <w:rFonts w:ascii="Arial" w:eastAsia="Times New Roman" w:hAnsi="Arial" w:cs="Arial"/>
                <w:sz w:val="20"/>
                <w:szCs w:val="20"/>
                <w:lang w:eastAsia="en-AU"/>
              </w:rPr>
            </w:pPr>
          </w:p>
        </w:tc>
        <w:tc>
          <w:tcPr>
            <w:tcW w:w="1050" w:type="pct"/>
          </w:tcPr>
          <w:p w:rsidR="000A3D33" w:rsidRPr="00B50BC9" w:rsidRDefault="000A3D33" w:rsidP="005E5EF5">
            <w:pPr>
              <w:spacing w:before="100" w:beforeAutospacing="1" w:after="100" w:afterAutospacing="1" w:line="240" w:lineRule="auto"/>
              <w:ind w:left="150" w:right="150"/>
              <w:rPr>
                <w:rFonts w:ascii="Arial" w:eastAsia="Times New Roman" w:hAnsi="Arial" w:cs="Arial"/>
                <w:sz w:val="20"/>
                <w:szCs w:val="20"/>
                <w:lang w:eastAsia="en-AU"/>
              </w:rPr>
            </w:pPr>
          </w:p>
        </w:tc>
      </w:tr>
      <w:tr w:rsidR="000A3D33" w:rsidRPr="00B50BC9" w:rsidTr="000A3D33">
        <w:trPr>
          <w:tblCellSpacing w:w="15" w:type="dxa"/>
        </w:trPr>
        <w:tc>
          <w:tcPr>
            <w:tcW w:w="1609" w:type="pct"/>
          </w:tcPr>
          <w:p w:rsidR="00C77AC6" w:rsidRDefault="00C77AC6" w:rsidP="005E5EF5">
            <w:pPr>
              <w:pStyle w:val="NormalWeb"/>
              <w:spacing w:before="150" w:beforeAutospacing="0" w:after="150" w:afterAutospacing="0"/>
              <w:ind w:left="150" w:right="150"/>
              <w:rPr>
                <w:rFonts w:ascii="Arial" w:hAnsi="Arial" w:cs="Arial"/>
                <w:b/>
                <w:bCs/>
                <w:sz w:val="20"/>
                <w:szCs w:val="20"/>
              </w:rPr>
            </w:pPr>
            <w:r w:rsidRPr="00C77AC6">
              <w:rPr>
                <w:rFonts w:ascii="Arial" w:hAnsi="Arial" w:cs="Arial"/>
                <w:b/>
                <w:bCs/>
                <w:sz w:val="20"/>
                <w:szCs w:val="20"/>
              </w:rPr>
              <w:t xml:space="preserve">PO32 </w:t>
            </w:r>
          </w:p>
          <w:p w:rsidR="00C77AC6" w:rsidRDefault="00C77AC6" w:rsidP="005E5EF5">
            <w:pPr>
              <w:pStyle w:val="NormalWeb"/>
              <w:spacing w:before="150" w:beforeAutospacing="0" w:after="150" w:afterAutospacing="0"/>
              <w:ind w:left="150" w:right="150"/>
              <w:rPr>
                <w:rFonts w:ascii="Arial" w:hAnsi="Arial" w:cs="Arial"/>
                <w:sz w:val="20"/>
                <w:szCs w:val="20"/>
              </w:rPr>
            </w:pPr>
            <w:r w:rsidRPr="00C77AC6">
              <w:rPr>
                <w:rFonts w:ascii="Arial" w:hAnsi="Arial" w:cs="Arial"/>
                <w:sz w:val="20"/>
                <w:szCs w:val="20"/>
              </w:rPr>
              <w:t xml:space="preserve">Lots are designed to: </w:t>
            </w:r>
          </w:p>
          <w:p w:rsidR="00C77AC6" w:rsidRDefault="00C77AC6" w:rsidP="005E5EF5">
            <w:pPr>
              <w:pStyle w:val="NormalWeb"/>
              <w:spacing w:before="150" w:beforeAutospacing="0" w:after="150" w:afterAutospacing="0"/>
              <w:ind w:left="150" w:right="150"/>
              <w:rPr>
                <w:rFonts w:ascii="Arial" w:hAnsi="Arial" w:cs="Arial"/>
                <w:sz w:val="20"/>
                <w:szCs w:val="20"/>
              </w:rPr>
            </w:pPr>
            <w:r w:rsidRPr="00C77AC6">
              <w:rPr>
                <w:rFonts w:ascii="Arial" w:hAnsi="Arial" w:cs="Arial"/>
                <w:sz w:val="20"/>
                <w:szCs w:val="20"/>
              </w:rPr>
              <w:t xml:space="preserve">a. </w:t>
            </w:r>
            <w:proofErr w:type="gramStart"/>
            <w:r w:rsidRPr="00C77AC6">
              <w:rPr>
                <w:rFonts w:ascii="Arial" w:hAnsi="Arial" w:cs="Arial"/>
                <w:sz w:val="20"/>
                <w:szCs w:val="20"/>
              </w:rPr>
              <w:t>minimise</w:t>
            </w:r>
            <w:proofErr w:type="gramEnd"/>
            <w:r w:rsidRPr="00C77AC6">
              <w:rPr>
                <w:rFonts w:ascii="Arial" w:hAnsi="Arial" w:cs="Arial"/>
                <w:sz w:val="20"/>
                <w:szCs w:val="20"/>
              </w:rPr>
              <w:t xml:space="preserve"> the extent of encroachment into the MLES waterway buffer or a MLES wetland buffer; </w:t>
            </w:r>
          </w:p>
          <w:p w:rsidR="00C77AC6" w:rsidRDefault="00C77AC6" w:rsidP="005E5EF5">
            <w:pPr>
              <w:pStyle w:val="NormalWeb"/>
              <w:spacing w:before="150" w:beforeAutospacing="0" w:after="150" w:afterAutospacing="0"/>
              <w:ind w:left="150" w:right="150"/>
              <w:rPr>
                <w:rFonts w:ascii="Arial" w:hAnsi="Arial" w:cs="Arial"/>
                <w:sz w:val="20"/>
                <w:szCs w:val="20"/>
              </w:rPr>
            </w:pPr>
            <w:r w:rsidRPr="00C77AC6">
              <w:rPr>
                <w:rFonts w:ascii="Arial" w:hAnsi="Arial" w:cs="Arial"/>
                <w:sz w:val="20"/>
                <w:szCs w:val="20"/>
              </w:rPr>
              <w:t xml:space="preserve">b. ensure quality and integrity of biodiversity and ecological values is not adversely impacted upon but are maintained and protected; </w:t>
            </w:r>
          </w:p>
          <w:p w:rsidR="00C77AC6" w:rsidRDefault="00C77AC6" w:rsidP="005E5EF5">
            <w:pPr>
              <w:pStyle w:val="NormalWeb"/>
              <w:spacing w:before="150" w:beforeAutospacing="0" w:after="150" w:afterAutospacing="0"/>
              <w:ind w:left="150" w:right="150"/>
              <w:rPr>
                <w:rFonts w:ascii="Arial" w:hAnsi="Arial" w:cs="Arial"/>
                <w:sz w:val="20"/>
                <w:szCs w:val="20"/>
              </w:rPr>
            </w:pPr>
            <w:r w:rsidRPr="00C77AC6">
              <w:rPr>
                <w:rFonts w:ascii="Arial" w:hAnsi="Arial" w:cs="Arial"/>
                <w:sz w:val="20"/>
                <w:szCs w:val="20"/>
              </w:rPr>
              <w:t xml:space="preserve">c. </w:t>
            </w:r>
            <w:proofErr w:type="gramStart"/>
            <w:r w:rsidRPr="00C77AC6">
              <w:rPr>
                <w:rFonts w:ascii="Arial" w:hAnsi="Arial" w:cs="Arial"/>
                <w:sz w:val="20"/>
                <w:szCs w:val="20"/>
              </w:rPr>
              <w:t>incorporate</w:t>
            </w:r>
            <w:proofErr w:type="gramEnd"/>
            <w:r w:rsidRPr="00C77AC6">
              <w:rPr>
                <w:rFonts w:ascii="Arial" w:hAnsi="Arial" w:cs="Arial"/>
                <w:sz w:val="20"/>
                <w:szCs w:val="20"/>
              </w:rPr>
              <w:t xml:space="preserve"> native vegetation and habitat trees into the overall subdivision design, development layout, on-street amenity and landscaping where practicable; </w:t>
            </w:r>
          </w:p>
          <w:p w:rsidR="00C77AC6" w:rsidRDefault="00C77AC6" w:rsidP="005E5EF5">
            <w:pPr>
              <w:pStyle w:val="NormalWeb"/>
              <w:spacing w:before="150" w:beforeAutospacing="0" w:after="150" w:afterAutospacing="0"/>
              <w:ind w:left="150" w:right="150"/>
              <w:rPr>
                <w:rFonts w:ascii="Arial" w:hAnsi="Arial" w:cs="Arial"/>
                <w:sz w:val="20"/>
                <w:szCs w:val="20"/>
              </w:rPr>
            </w:pPr>
            <w:r w:rsidRPr="00C77AC6">
              <w:rPr>
                <w:rFonts w:ascii="Arial" w:hAnsi="Arial" w:cs="Arial"/>
                <w:sz w:val="20"/>
                <w:szCs w:val="20"/>
              </w:rPr>
              <w:t xml:space="preserve">d. </w:t>
            </w:r>
            <w:proofErr w:type="gramStart"/>
            <w:r w:rsidRPr="00C77AC6">
              <w:rPr>
                <w:rFonts w:ascii="Arial" w:hAnsi="Arial" w:cs="Arial"/>
                <w:sz w:val="20"/>
                <w:szCs w:val="20"/>
              </w:rPr>
              <w:t>provide</w:t>
            </w:r>
            <w:proofErr w:type="gramEnd"/>
            <w:r w:rsidRPr="00C77AC6">
              <w:rPr>
                <w:rFonts w:ascii="Arial" w:hAnsi="Arial" w:cs="Arial"/>
                <w:sz w:val="20"/>
                <w:szCs w:val="20"/>
              </w:rPr>
              <w:t xml:space="preserve"> safe, unimpeded, convenient and ongoing wildlife movement; </w:t>
            </w:r>
          </w:p>
          <w:p w:rsidR="00C77AC6" w:rsidRDefault="00C77AC6" w:rsidP="005E5EF5">
            <w:pPr>
              <w:pStyle w:val="NormalWeb"/>
              <w:spacing w:before="150" w:beforeAutospacing="0" w:after="150" w:afterAutospacing="0"/>
              <w:ind w:left="150" w:right="150"/>
              <w:rPr>
                <w:rFonts w:ascii="Arial" w:hAnsi="Arial" w:cs="Arial"/>
                <w:sz w:val="20"/>
                <w:szCs w:val="20"/>
              </w:rPr>
            </w:pPr>
            <w:r w:rsidRPr="00C77AC6">
              <w:rPr>
                <w:rFonts w:ascii="Arial" w:hAnsi="Arial" w:cs="Arial"/>
                <w:sz w:val="20"/>
                <w:szCs w:val="20"/>
              </w:rPr>
              <w:t xml:space="preserve">e. </w:t>
            </w:r>
            <w:proofErr w:type="gramStart"/>
            <w:r w:rsidRPr="00C77AC6">
              <w:rPr>
                <w:rFonts w:ascii="Arial" w:hAnsi="Arial" w:cs="Arial"/>
                <w:sz w:val="20"/>
                <w:szCs w:val="20"/>
              </w:rPr>
              <w:t>avoid</w:t>
            </w:r>
            <w:proofErr w:type="gramEnd"/>
            <w:r w:rsidRPr="00C77AC6">
              <w:rPr>
                <w:rFonts w:ascii="Arial" w:hAnsi="Arial" w:cs="Arial"/>
                <w:sz w:val="20"/>
                <w:szCs w:val="20"/>
              </w:rPr>
              <w:t xml:space="preserve"> creating fragmented and isolated patches of native vegetation; </w:t>
            </w:r>
          </w:p>
          <w:p w:rsidR="00C77AC6" w:rsidRDefault="00C77AC6" w:rsidP="005E5EF5">
            <w:pPr>
              <w:pStyle w:val="NormalWeb"/>
              <w:spacing w:before="150" w:beforeAutospacing="0" w:after="150" w:afterAutospacing="0"/>
              <w:ind w:left="150" w:right="150"/>
              <w:rPr>
                <w:rFonts w:ascii="Arial" w:hAnsi="Arial" w:cs="Arial"/>
                <w:sz w:val="20"/>
                <w:szCs w:val="20"/>
              </w:rPr>
            </w:pPr>
            <w:r w:rsidRPr="00C77AC6">
              <w:rPr>
                <w:rFonts w:ascii="Arial" w:hAnsi="Arial" w:cs="Arial"/>
                <w:sz w:val="20"/>
                <w:szCs w:val="20"/>
              </w:rPr>
              <w:t xml:space="preserve">f. ensuring that soil erosion and land degradation does not occur; </w:t>
            </w:r>
          </w:p>
          <w:p w:rsidR="00C77AC6" w:rsidRDefault="00C77AC6" w:rsidP="005E5EF5">
            <w:pPr>
              <w:pStyle w:val="NormalWeb"/>
              <w:spacing w:before="150" w:beforeAutospacing="0" w:after="150" w:afterAutospacing="0"/>
              <w:ind w:left="150" w:right="150"/>
              <w:rPr>
                <w:rFonts w:ascii="Arial" w:hAnsi="Arial" w:cs="Arial"/>
                <w:sz w:val="20"/>
                <w:szCs w:val="20"/>
              </w:rPr>
            </w:pPr>
            <w:r w:rsidRPr="00C77AC6">
              <w:rPr>
                <w:rFonts w:ascii="Arial" w:hAnsi="Arial" w:cs="Arial"/>
                <w:sz w:val="20"/>
                <w:szCs w:val="20"/>
              </w:rPr>
              <w:t xml:space="preserve">g. ensuring that quality of surface water is not adversely impacted upon by providing effective vegetated buffers to water bodies. </w:t>
            </w:r>
          </w:p>
          <w:p w:rsidR="00C77AC6" w:rsidRDefault="00C77AC6" w:rsidP="005E5EF5">
            <w:pPr>
              <w:pStyle w:val="NormalWeb"/>
              <w:spacing w:before="150" w:beforeAutospacing="0" w:after="150" w:afterAutospacing="0"/>
              <w:ind w:left="150" w:right="150"/>
              <w:rPr>
                <w:rFonts w:ascii="Arial" w:hAnsi="Arial" w:cs="Arial"/>
                <w:sz w:val="20"/>
                <w:szCs w:val="20"/>
              </w:rPr>
            </w:pPr>
            <w:r w:rsidRPr="00C77AC6">
              <w:rPr>
                <w:rFonts w:ascii="Arial" w:hAnsi="Arial" w:cs="Arial"/>
                <w:sz w:val="20"/>
                <w:szCs w:val="20"/>
              </w:rPr>
              <w:lastRenderedPageBreak/>
              <w:t xml:space="preserve">AND </w:t>
            </w:r>
          </w:p>
          <w:p w:rsidR="000A3D33" w:rsidRPr="00C77AC6" w:rsidRDefault="00C77AC6" w:rsidP="005E5EF5">
            <w:pPr>
              <w:pStyle w:val="NormalWeb"/>
              <w:spacing w:before="150" w:beforeAutospacing="0" w:after="150" w:afterAutospacing="0"/>
              <w:ind w:left="150" w:right="150"/>
              <w:rPr>
                <w:rStyle w:val="Strong"/>
                <w:rFonts w:ascii="Arial" w:hAnsi="Arial" w:cs="Arial"/>
                <w:sz w:val="20"/>
                <w:szCs w:val="20"/>
              </w:rPr>
            </w:pPr>
            <w:r w:rsidRPr="00C77AC6">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718" w:type="pct"/>
          </w:tcPr>
          <w:p w:rsidR="00C77AC6" w:rsidRPr="00C77AC6" w:rsidRDefault="00C77AC6" w:rsidP="005E5EF5">
            <w:pPr>
              <w:pStyle w:val="NormalWeb"/>
              <w:spacing w:before="150" w:beforeAutospacing="0" w:after="150" w:afterAutospacing="0"/>
              <w:ind w:left="150" w:right="150"/>
              <w:rPr>
                <w:rFonts w:ascii="Arial" w:hAnsi="Arial" w:cs="Arial"/>
                <w:b/>
                <w:bCs/>
                <w:sz w:val="20"/>
                <w:szCs w:val="20"/>
              </w:rPr>
            </w:pPr>
            <w:r w:rsidRPr="00C77AC6">
              <w:rPr>
                <w:rFonts w:ascii="Arial" w:hAnsi="Arial" w:cs="Arial"/>
                <w:b/>
                <w:bCs/>
                <w:sz w:val="20"/>
                <w:szCs w:val="20"/>
              </w:rPr>
              <w:lastRenderedPageBreak/>
              <w:t xml:space="preserve">E32 </w:t>
            </w:r>
          </w:p>
          <w:p w:rsidR="000A3D33" w:rsidRPr="00B50BC9" w:rsidRDefault="00C77AC6" w:rsidP="005E5EF5">
            <w:pPr>
              <w:pStyle w:val="NormalWeb"/>
              <w:spacing w:before="150" w:beforeAutospacing="0" w:after="150" w:afterAutospacing="0"/>
              <w:ind w:left="150" w:right="150"/>
              <w:rPr>
                <w:rFonts w:ascii="Arial" w:hAnsi="Arial" w:cs="Arial"/>
                <w:sz w:val="20"/>
                <w:szCs w:val="20"/>
              </w:rPr>
            </w:pPr>
            <w:r w:rsidRPr="00C77AC6">
              <w:rPr>
                <w:rFonts w:ascii="Arial" w:hAnsi="Arial" w:cs="Arial"/>
                <w:sz w:val="20"/>
                <w:szCs w:val="20"/>
              </w:rPr>
              <w:t>Reconfiguring a lot ensures that no additional lots are created within a Value Offset Area.</w:t>
            </w:r>
          </w:p>
        </w:tc>
        <w:tc>
          <w:tcPr>
            <w:tcW w:w="574" w:type="pct"/>
          </w:tcPr>
          <w:p w:rsidR="000A3D33" w:rsidRPr="00B50BC9" w:rsidRDefault="000A3D33" w:rsidP="005E5EF5">
            <w:pPr>
              <w:spacing w:before="100" w:beforeAutospacing="1" w:after="100" w:afterAutospacing="1" w:line="240" w:lineRule="auto"/>
              <w:ind w:left="150" w:right="150"/>
              <w:rPr>
                <w:rFonts w:ascii="Arial" w:eastAsia="Times New Roman" w:hAnsi="Arial" w:cs="Arial"/>
                <w:sz w:val="20"/>
                <w:szCs w:val="20"/>
                <w:lang w:eastAsia="en-AU"/>
              </w:rPr>
            </w:pPr>
          </w:p>
        </w:tc>
        <w:tc>
          <w:tcPr>
            <w:tcW w:w="1050" w:type="pct"/>
          </w:tcPr>
          <w:p w:rsidR="000A3D33" w:rsidRPr="00B50BC9" w:rsidRDefault="000A3D33" w:rsidP="005E5EF5">
            <w:pPr>
              <w:spacing w:before="100" w:beforeAutospacing="1" w:after="100" w:afterAutospacing="1" w:line="240" w:lineRule="auto"/>
              <w:ind w:left="150" w:right="150"/>
              <w:rPr>
                <w:rFonts w:ascii="Arial" w:eastAsia="Times New Roman" w:hAnsi="Arial" w:cs="Arial"/>
                <w:sz w:val="20"/>
                <w:szCs w:val="20"/>
                <w:lang w:eastAsia="en-AU"/>
              </w:rPr>
            </w:pPr>
          </w:p>
        </w:tc>
      </w:tr>
      <w:tr w:rsidR="000A3D33" w:rsidRPr="00B50BC9" w:rsidTr="005F3D15">
        <w:trPr>
          <w:trHeight w:val="939"/>
          <w:tblCellSpacing w:w="15" w:type="dxa"/>
        </w:trPr>
        <w:tc>
          <w:tcPr>
            <w:tcW w:w="4981" w:type="pct"/>
            <w:gridSpan w:val="4"/>
            <w:shd w:val="clear" w:color="auto" w:fill="D0CECE" w:themeFill="background2" w:themeFillShade="E6"/>
          </w:tcPr>
          <w:p w:rsidR="000A3D33" w:rsidRPr="00B50BC9" w:rsidRDefault="000A3D33" w:rsidP="000A3D33">
            <w:pPr>
              <w:spacing w:before="100" w:beforeAutospacing="1" w:after="100" w:afterAutospacing="1" w:line="240" w:lineRule="auto"/>
              <w:ind w:left="150" w:right="150"/>
              <w:rPr>
                <w:rStyle w:val="Strong"/>
                <w:rFonts w:ascii="Arial" w:hAnsi="Arial" w:cs="Arial"/>
                <w:sz w:val="20"/>
                <w:szCs w:val="20"/>
                <w:shd w:val="clear" w:color="auto" w:fill="CCCCCC"/>
              </w:rPr>
            </w:pPr>
            <w:r w:rsidRPr="00B50BC9">
              <w:rPr>
                <w:rStyle w:val="Strong"/>
                <w:rFonts w:ascii="Arial" w:hAnsi="Arial" w:cs="Arial"/>
                <w:sz w:val="20"/>
                <w:szCs w:val="20"/>
                <w:shd w:val="clear" w:color="auto" w:fill="CCCCCC"/>
              </w:rPr>
              <w:t xml:space="preserve">High voltage electricity line </w:t>
            </w:r>
            <w:proofErr w:type="gramStart"/>
            <w:r w:rsidRPr="00B50BC9">
              <w:rPr>
                <w:rStyle w:val="Strong"/>
                <w:rFonts w:ascii="Arial" w:hAnsi="Arial" w:cs="Arial"/>
                <w:sz w:val="20"/>
                <w:szCs w:val="20"/>
                <w:shd w:val="clear" w:color="auto" w:fill="CCCCCC"/>
              </w:rPr>
              <w:t>buffer(</w:t>
            </w:r>
            <w:proofErr w:type="gramEnd"/>
            <w:r w:rsidRPr="00B50BC9">
              <w:rPr>
                <w:rStyle w:val="Strong"/>
                <w:rFonts w:ascii="Arial" w:hAnsi="Arial" w:cs="Arial"/>
                <w:sz w:val="20"/>
                <w:szCs w:val="20"/>
                <w:shd w:val="clear" w:color="auto" w:fill="CCCCCC"/>
              </w:rPr>
              <w:t>refer Overlay map - Infrastructure buffers to determine if the following assessment criteria apply)</w:t>
            </w:r>
          </w:p>
          <w:p w:rsidR="000A3D33" w:rsidRPr="00B50BC9" w:rsidRDefault="000A3D33" w:rsidP="000A3D33">
            <w:pPr>
              <w:spacing w:before="100" w:beforeAutospacing="1" w:after="100" w:afterAutospacing="1" w:line="240" w:lineRule="auto"/>
              <w:ind w:left="150" w:right="150"/>
              <w:rPr>
                <w:rFonts w:ascii="Arial" w:eastAsia="Times New Roman" w:hAnsi="Arial" w:cs="Arial"/>
                <w:sz w:val="20"/>
                <w:szCs w:val="20"/>
                <w:lang w:eastAsia="en-AU"/>
              </w:rPr>
            </w:pPr>
            <w:r w:rsidRPr="005F3D15">
              <w:rPr>
                <w:rFonts w:ascii="Arial" w:hAnsi="Arial" w:cs="Arial"/>
                <w:sz w:val="18"/>
                <w:szCs w:val="18"/>
                <w:shd w:val="clear" w:color="auto" w:fill="CCCCCC"/>
              </w:rPr>
              <w:t>Note - The identification of a development footprint will assist in demonstrating compliance with the following performance criteria.</w:t>
            </w:r>
          </w:p>
        </w:tc>
      </w:tr>
      <w:tr w:rsidR="00B50BC9" w:rsidRPr="00B50BC9" w:rsidTr="000A3D33">
        <w:trPr>
          <w:tblCellSpacing w:w="15" w:type="dxa"/>
        </w:trPr>
        <w:tc>
          <w:tcPr>
            <w:tcW w:w="1609"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PO3</w:t>
            </w:r>
            <w:r w:rsidR="00C77AC6">
              <w:rPr>
                <w:rStyle w:val="Strong"/>
                <w:rFonts w:ascii="Arial" w:hAnsi="Arial" w:cs="Arial"/>
                <w:sz w:val="20"/>
                <w:szCs w:val="20"/>
              </w:rPr>
              <w:t>3</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Lots provide a development footprint outside of the buffer.</w:t>
            </w:r>
          </w:p>
        </w:tc>
        <w:tc>
          <w:tcPr>
            <w:tcW w:w="1718"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w:t>
            </w:r>
          </w:p>
        </w:tc>
        <w:tc>
          <w:tcPr>
            <w:tcW w:w="574"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c>
          <w:tcPr>
            <w:tcW w:w="1050"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0A3D33">
        <w:trPr>
          <w:tblCellSpacing w:w="15" w:type="dxa"/>
        </w:trPr>
        <w:tc>
          <w:tcPr>
            <w:tcW w:w="1609"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PO3</w:t>
            </w:r>
            <w:r w:rsidR="00C77AC6">
              <w:rPr>
                <w:rStyle w:val="Strong"/>
                <w:rFonts w:ascii="Arial" w:hAnsi="Arial" w:cs="Arial"/>
                <w:sz w:val="20"/>
                <w:szCs w:val="20"/>
              </w:rPr>
              <w:t>4</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The creation of lots does not compromise or adversely impact upon the efficiency and integrity of supply.</w:t>
            </w:r>
          </w:p>
        </w:tc>
        <w:tc>
          <w:tcPr>
            <w:tcW w:w="1718"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E3</w:t>
            </w:r>
            <w:r w:rsidR="00C77AC6">
              <w:rPr>
                <w:rStyle w:val="Strong"/>
                <w:rFonts w:ascii="Arial" w:hAnsi="Arial" w:cs="Arial"/>
                <w:sz w:val="20"/>
                <w:szCs w:val="20"/>
              </w:rPr>
              <w:t>4</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new lots are created in the buffer area.</w:t>
            </w:r>
          </w:p>
        </w:tc>
        <w:tc>
          <w:tcPr>
            <w:tcW w:w="574"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0"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0BC9" w:rsidRPr="00B50BC9" w:rsidTr="000A3D33">
        <w:trPr>
          <w:tblCellSpacing w:w="15" w:type="dxa"/>
        </w:trPr>
        <w:tc>
          <w:tcPr>
            <w:tcW w:w="1609"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PO3</w:t>
            </w:r>
            <w:r w:rsidR="00C77AC6">
              <w:rPr>
                <w:rStyle w:val="Strong"/>
                <w:rFonts w:ascii="Arial" w:hAnsi="Arial" w:cs="Arial"/>
                <w:sz w:val="20"/>
                <w:szCs w:val="20"/>
              </w:rPr>
              <w:t>5</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The creation of new lots does not compromise or adversely impact upon access to the supply line for any required maintenance or upgrading work.</w:t>
            </w:r>
          </w:p>
        </w:tc>
        <w:tc>
          <w:tcPr>
            <w:tcW w:w="1718"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E3</w:t>
            </w:r>
            <w:r w:rsidR="00C77AC6">
              <w:rPr>
                <w:rStyle w:val="Strong"/>
                <w:rFonts w:ascii="Arial" w:hAnsi="Arial" w:cs="Arial"/>
                <w:sz w:val="20"/>
                <w:szCs w:val="20"/>
              </w:rPr>
              <w:t>5</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new lots are created in the buffer area.</w:t>
            </w:r>
          </w:p>
        </w:tc>
        <w:tc>
          <w:tcPr>
            <w:tcW w:w="574"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0"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0BC9" w:rsidRPr="00B50BC9" w:rsidTr="000A3D33">
        <w:trPr>
          <w:tblCellSpacing w:w="15" w:type="dxa"/>
        </w:trPr>
        <w:tc>
          <w:tcPr>
            <w:tcW w:w="1609"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PO3</w:t>
            </w:r>
            <w:r w:rsidR="00C77AC6">
              <w:rPr>
                <w:rStyle w:val="Strong"/>
                <w:rFonts w:ascii="Arial" w:hAnsi="Arial" w:cs="Arial"/>
                <w:sz w:val="20"/>
                <w:szCs w:val="20"/>
              </w:rPr>
              <w:t>6</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Boundary realignments:</w:t>
            </w:r>
          </w:p>
          <w:p w:rsidR="005E5EF5" w:rsidRPr="00B50BC9" w:rsidRDefault="005E5EF5" w:rsidP="005E5EF5">
            <w:pPr>
              <w:pStyle w:val="NormalWeb"/>
              <w:numPr>
                <w:ilvl w:val="0"/>
                <w:numId w:val="33"/>
              </w:numPr>
              <w:spacing w:before="150" w:beforeAutospacing="0" w:after="150" w:afterAutospacing="0"/>
              <w:ind w:left="600" w:right="150"/>
              <w:rPr>
                <w:rFonts w:ascii="Arial" w:hAnsi="Arial" w:cs="Arial"/>
                <w:sz w:val="20"/>
                <w:szCs w:val="20"/>
              </w:rPr>
            </w:pPr>
            <w:r w:rsidRPr="00B50BC9">
              <w:rPr>
                <w:rFonts w:ascii="Arial" w:hAnsi="Arial" w:cs="Arial"/>
                <w:sz w:val="20"/>
                <w:szCs w:val="20"/>
              </w:rPr>
              <w:t>do not result in the creation of additional building development within the buffer;</w:t>
            </w:r>
          </w:p>
          <w:p w:rsidR="005E5EF5" w:rsidRPr="00B50BC9" w:rsidRDefault="005E5EF5" w:rsidP="005E5EF5">
            <w:pPr>
              <w:pStyle w:val="NormalWeb"/>
              <w:numPr>
                <w:ilvl w:val="0"/>
                <w:numId w:val="33"/>
              </w:numPr>
              <w:spacing w:before="150" w:beforeAutospacing="0" w:after="150" w:afterAutospacing="0"/>
              <w:ind w:left="600" w:right="150"/>
              <w:rPr>
                <w:rFonts w:ascii="Arial" w:hAnsi="Arial" w:cs="Arial"/>
                <w:sz w:val="20"/>
                <w:szCs w:val="20"/>
              </w:rPr>
            </w:pPr>
            <w:r w:rsidRPr="00B50BC9">
              <w:rPr>
                <w:rFonts w:ascii="Arial" w:hAnsi="Arial" w:cs="Arial"/>
                <w:sz w:val="20"/>
                <w:szCs w:val="20"/>
              </w:rPr>
              <w:t>result in the reduction of building development opportunities within the buffer.</w:t>
            </w:r>
          </w:p>
        </w:tc>
        <w:tc>
          <w:tcPr>
            <w:tcW w:w="1718"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w:t>
            </w:r>
          </w:p>
        </w:tc>
        <w:tc>
          <w:tcPr>
            <w:tcW w:w="574"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c>
          <w:tcPr>
            <w:tcW w:w="1050"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FB6B77">
        <w:trPr>
          <w:tblCellSpacing w:w="15" w:type="dxa"/>
        </w:trPr>
        <w:tc>
          <w:tcPr>
            <w:tcW w:w="4981" w:type="pct"/>
            <w:gridSpan w:val="4"/>
            <w:shd w:val="clear" w:color="auto" w:fill="CCCCCC"/>
            <w:hideMark/>
          </w:tcPr>
          <w:tbl>
            <w:tblPr>
              <w:tblW w:w="145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59"/>
            </w:tblGrid>
            <w:tr w:rsidR="00B50BC9" w:rsidRPr="00B50BC9" w:rsidTr="005F3D15">
              <w:trPr>
                <w:trHeight w:val="1029"/>
                <w:tblCellSpacing w:w="15" w:type="dxa"/>
              </w:trPr>
              <w:tc>
                <w:tcPr>
                  <w:tcW w:w="14499" w:type="dxa"/>
                  <w:shd w:val="clear" w:color="auto" w:fill="CCCCCC"/>
                  <w:vAlign w:val="center"/>
                  <w:hideMark/>
                </w:tcPr>
                <w:p w:rsidR="005E5EF5" w:rsidRPr="00B50BC9" w:rsidRDefault="005E5EF5" w:rsidP="00D42FF7">
                  <w:pPr>
                    <w:spacing w:before="100" w:beforeAutospacing="1" w:after="100" w:afterAutospacing="1" w:line="240" w:lineRule="auto"/>
                    <w:ind w:left="150" w:right="150"/>
                    <w:rPr>
                      <w:rStyle w:val="Strong"/>
                      <w:rFonts w:ascii="Arial" w:hAnsi="Arial" w:cs="Arial"/>
                      <w:sz w:val="20"/>
                      <w:szCs w:val="20"/>
                      <w:shd w:val="clear" w:color="auto" w:fill="CCCCCC"/>
                    </w:rPr>
                  </w:pPr>
                  <w:r w:rsidRPr="00B50BC9">
                    <w:rPr>
                      <w:rStyle w:val="Strong"/>
                      <w:rFonts w:ascii="Arial" w:hAnsi="Arial" w:cs="Arial"/>
                      <w:sz w:val="20"/>
                      <w:szCs w:val="20"/>
                      <w:shd w:val="clear" w:color="auto" w:fill="CCCCCC"/>
                    </w:rPr>
                    <w:lastRenderedPageBreak/>
                    <w:t>Bulk water supply infrastructure buffer (refer Overlay map - Infrastructure buffers to determine if the following assessment criteria apply)</w:t>
                  </w:r>
                </w:p>
                <w:p w:rsidR="00FB6B77" w:rsidRPr="00B50BC9" w:rsidRDefault="005E5EF5" w:rsidP="00D42FF7">
                  <w:pPr>
                    <w:spacing w:before="100" w:beforeAutospacing="1" w:after="100" w:afterAutospacing="1" w:line="240" w:lineRule="auto"/>
                    <w:ind w:left="150" w:right="150"/>
                    <w:rPr>
                      <w:rFonts w:ascii="Arial" w:eastAsia="Times New Roman" w:hAnsi="Arial" w:cs="Arial"/>
                      <w:sz w:val="20"/>
                      <w:szCs w:val="20"/>
                      <w:lang w:eastAsia="en-AU"/>
                    </w:rPr>
                  </w:pPr>
                  <w:r w:rsidRPr="005F3D15">
                    <w:rPr>
                      <w:rFonts w:ascii="Arial" w:hAnsi="Arial" w:cs="Arial"/>
                      <w:sz w:val="18"/>
                      <w:szCs w:val="18"/>
                      <w:shd w:val="clear" w:color="auto" w:fill="CCCCCC"/>
                    </w:rPr>
                    <w:t>Note - The identification of a development footprint will assist in demonstrating compliance with the following performance criteria.</w:t>
                  </w:r>
                  <w:r w:rsidR="00FB6B77" w:rsidRPr="005F3D15">
                    <w:rPr>
                      <w:rFonts w:ascii="Arial" w:eastAsia="Times New Roman" w:hAnsi="Arial" w:cs="Arial"/>
                      <w:sz w:val="18"/>
                      <w:szCs w:val="18"/>
                      <w:lang w:eastAsia="en-AU"/>
                    </w:rPr>
                    <w:t xml:space="preserve"> </w:t>
                  </w:r>
                </w:p>
              </w:tc>
            </w:tr>
          </w:tbl>
          <w:p w:rsidR="00FB6B77" w:rsidRPr="00B50BC9" w:rsidRDefault="00FB6B7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0BC9" w:rsidRPr="00B50BC9" w:rsidTr="000A3D33">
        <w:trPr>
          <w:tblCellSpacing w:w="15" w:type="dxa"/>
        </w:trPr>
        <w:tc>
          <w:tcPr>
            <w:tcW w:w="1609"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PO3</w:t>
            </w:r>
            <w:r w:rsidR="00C77AC6">
              <w:rPr>
                <w:rStyle w:val="Strong"/>
                <w:rFonts w:ascii="Arial" w:hAnsi="Arial" w:cs="Arial"/>
                <w:sz w:val="20"/>
                <w:szCs w:val="20"/>
              </w:rPr>
              <w:t>7</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Lots provide a development footprint outside of the buffer.</w:t>
            </w:r>
          </w:p>
        </w:tc>
        <w:tc>
          <w:tcPr>
            <w:tcW w:w="1718"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w:t>
            </w:r>
          </w:p>
        </w:tc>
        <w:tc>
          <w:tcPr>
            <w:tcW w:w="574"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c>
          <w:tcPr>
            <w:tcW w:w="1050"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0A3D33">
        <w:trPr>
          <w:tblCellSpacing w:w="15" w:type="dxa"/>
        </w:trPr>
        <w:tc>
          <w:tcPr>
            <w:tcW w:w="1609"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PO3</w:t>
            </w:r>
            <w:r w:rsidR="00C77AC6">
              <w:rPr>
                <w:rStyle w:val="Strong"/>
                <w:rFonts w:ascii="Arial" w:hAnsi="Arial" w:cs="Arial"/>
                <w:sz w:val="20"/>
                <w:szCs w:val="20"/>
              </w:rPr>
              <w:t>8</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The creation of lots does not compromise or adversely impact upon the efficiency and integrity of supply.</w:t>
            </w:r>
          </w:p>
        </w:tc>
        <w:tc>
          <w:tcPr>
            <w:tcW w:w="1718"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w:t>
            </w:r>
          </w:p>
        </w:tc>
        <w:tc>
          <w:tcPr>
            <w:tcW w:w="574"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c>
          <w:tcPr>
            <w:tcW w:w="1050"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0A3D33">
        <w:trPr>
          <w:tblCellSpacing w:w="15" w:type="dxa"/>
        </w:trPr>
        <w:tc>
          <w:tcPr>
            <w:tcW w:w="1609"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PO3</w:t>
            </w:r>
            <w:r w:rsidR="00C77AC6">
              <w:rPr>
                <w:rStyle w:val="Strong"/>
                <w:rFonts w:ascii="Arial" w:hAnsi="Arial" w:cs="Arial"/>
                <w:sz w:val="20"/>
                <w:szCs w:val="20"/>
              </w:rPr>
              <w:t>9</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The creation of lots does not compromise or adversely impact upon access to the supply line for any required maintenance or upgrading work.</w:t>
            </w:r>
          </w:p>
        </w:tc>
        <w:tc>
          <w:tcPr>
            <w:tcW w:w="1718"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w:t>
            </w:r>
          </w:p>
        </w:tc>
        <w:tc>
          <w:tcPr>
            <w:tcW w:w="574"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c>
          <w:tcPr>
            <w:tcW w:w="1050"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0A3D33">
        <w:trPr>
          <w:tblCellSpacing w:w="15" w:type="dxa"/>
        </w:trPr>
        <w:tc>
          <w:tcPr>
            <w:tcW w:w="1609"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w:t>
            </w:r>
            <w:r w:rsidR="00C77AC6">
              <w:rPr>
                <w:rStyle w:val="Strong"/>
                <w:rFonts w:ascii="Arial" w:hAnsi="Arial" w:cs="Arial"/>
                <w:sz w:val="20"/>
                <w:szCs w:val="20"/>
              </w:rPr>
              <w:t>40</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Boundary realignments:</w:t>
            </w:r>
          </w:p>
          <w:p w:rsidR="005E5EF5" w:rsidRPr="00B50BC9" w:rsidRDefault="005E5EF5" w:rsidP="005E5EF5">
            <w:pPr>
              <w:pStyle w:val="NormalWeb"/>
              <w:numPr>
                <w:ilvl w:val="0"/>
                <w:numId w:val="34"/>
              </w:numPr>
              <w:spacing w:before="150" w:beforeAutospacing="0" w:after="150" w:afterAutospacing="0"/>
              <w:ind w:left="600" w:right="150"/>
              <w:rPr>
                <w:rFonts w:ascii="Arial" w:hAnsi="Arial" w:cs="Arial"/>
                <w:sz w:val="20"/>
                <w:szCs w:val="20"/>
              </w:rPr>
            </w:pPr>
            <w:r w:rsidRPr="00B50BC9">
              <w:rPr>
                <w:rFonts w:ascii="Arial" w:hAnsi="Arial" w:cs="Arial"/>
                <w:sz w:val="20"/>
                <w:szCs w:val="20"/>
              </w:rPr>
              <w:t>do not result in the creation of additional building development within the buffer;</w:t>
            </w:r>
          </w:p>
          <w:p w:rsidR="005E5EF5" w:rsidRPr="00B50BC9" w:rsidRDefault="005E5EF5" w:rsidP="005E5EF5">
            <w:pPr>
              <w:pStyle w:val="NormalWeb"/>
              <w:numPr>
                <w:ilvl w:val="0"/>
                <w:numId w:val="34"/>
              </w:numPr>
              <w:spacing w:before="150" w:beforeAutospacing="0" w:after="150" w:afterAutospacing="0"/>
              <w:ind w:left="600" w:right="150"/>
              <w:rPr>
                <w:rFonts w:ascii="Arial" w:hAnsi="Arial" w:cs="Arial"/>
                <w:sz w:val="20"/>
                <w:szCs w:val="20"/>
              </w:rPr>
            </w:pPr>
            <w:r w:rsidRPr="00B50BC9">
              <w:rPr>
                <w:rFonts w:ascii="Arial" w:hAnsi="Arial" w:cs="Arial"/>
                <w:sz w:val="20"/>
                <w:szCs w:val="20"/>
              </w:rPr>
              <w:t>results in the reduction of building development opportunities within the buffer.</w:t>
            </w:r>
          </w:p>
        </w:tc>
        <w:tc>
          <w:tcPr>
            <w:tcW w:w="1718"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No example provided.</w:t>
            </w:r>
          </w:p>
        </w:tc>
        <w:tc>
          <w:tcPr>
            <w:tcW w:w="574"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c>
          <w:tcPr>
            <w:tcW w:w="1050"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FB6B77">
        <w:trPr>
          <w:tblCellSpacing w:w="15" w:type="dxa"/>
        </w:trPr>
        <w:tc>
          <w:tcPr>
            <w:tcW w:w="4981" w:type="pct"/>
            <w:gridSpan w:val="4"/>
            <w:shd w:val="clear" w:color="auto" w:fill="CCCCCC"/>
            <w:vAlign w:val="center"/>
            <w:hideMark/>
          </w:tcPr>
          <w:p w:rsidR="00FB6B77" w:rsidRPr="00B50BC9" w:rsidRDefault="00FB6B7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360"/>
            </w:tblGrid>
            <w:tr w:rsidR="00B50BC9" w:rsidRPr="00B50BC9" w:rsidTr="00D42FF7">
              <w:trPr>
                <w:tblCellSpacing w:w="15" w:type="dxa"/>
              </w:trPr>
              <w:tc>
                <w:tcPr>
                  <w:tcW w:w="15124" w:type="dxa"/>
                  <w:vAlign w:val="center"/>
                  <w:hideMark/>
                </w:tcPr>
                <w:p w:rsidR="00FB6B77" w:rsidRPr="00B50BC9" w:rsidRDefault="005E5EF5" w:rsidP="00D42FF7">
                  <w:pPr>
                    <w:spacing w:before="100" w:beforeAutospacing="1" w:after="100" w:afterAutospacing="1" w:line="240" w:lineRule="auto"/>
                    <w:ind w:left="150" w:right="150"/>
                    <w:rPr>
                      <w:rFonts w:ascii="Arial" w:eastAsia="Times New Roman" w:hAnsi="Arial" w:cs="Arial"/>
                      <w:sz w:val="20"/>
                      <w:szCs w:val="20"/>
                      <w:lang w:eastAsia="en-AU"/>
                    </w:rPr>
                  </w:pPr>
                  <w:r w:rsidRPr="005F3D15">
                    <w:rPr>
                      <w:rFonts w:ascii="Arial" w:hAnsi="Arial" w:cs="Arial"/>
                      <w:sz w:val="18"/>
                      <w:szCs w:val="18"/>
                      <w:shd w:val="clear" w:color="auto" w:fill="CCCCCC"/>
                    </w:rPr>
                    <w:t>Note - The applicable river and creek flood planning levels associated with defined flood event (DFE) within the inundation area can be obtained by requesting a flood check property report from Council.</w:t>
                  </w:r>
                </w:p>
              </w:tc>
            </w:tr>
          </w:tbl>
          <w:p w:rsidR="00FB6B77" w:rsidRPr="00B50BC9" w:rsidRDefault="00FB6B7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0BC9" w:rsidRPr="00B50BC9" w:rsidTr="000A3D33">
        <w:trPr>
          <w:tblCellSpacing w:w="15" w:type="dxa"/>
        </w:trPr>
        <w:tc>
          <w:tcPr>
            <w:tcW w:w="1609" w:type="pct"/>
            <w:vAlign w:val="center"/>
            <w:hideMark/>
          </w:tcPr>
          <w:p w:rsidR="005E5EF5" w:rsidRPr="005E5EF5" w:rsidRDefault="005E5EF5" w:rsidP="005E5EF5">
            <w:pPr>
              <w:shd w:val="clear" w:color="auto" w:fill="FFFFFF"/>
              <w:spacing w:before="150" w:after="150" w:line="240" w:lineRule="auto"/>
              <w:ind w:left="150" w:right="150"/>
              <w:rPr>
                <w:rFonts w:ascii="Arial" w:eastAsia="Times New Roman" w:hAnsi="Arial" w:cs="Arial"/>
                <w:sz w:val="20"/>
                <w:szCs w:val="20"/>
                <w:lang w:eastAsia="en-AU"/>
              </w:rPr>
            </w:pPr>
            <w:r w:rsidRPr="005E5EF5">
              <w:rPr>
                <w:rFonts w:ascii="Arial" w:eastAsia="Times New Roman" w:hAnsi="Arial" w:cs="Arial"/>
                <w:b/>
                <w:bCs/>
                <w:sz w:val="20"/>
                <w:szCs w:val="20"/>
                <w:lang w:eastAsia="en-AU"/>
              </w:rPr>
              <w:t>PO</w:t>
            </w:r>
            <w:r w:rsidR="00C77AC6">
              <w:rPr>
                <w:rFonts w:ascii="Arial" w:eastAsia="Times New Roman" w:hAnsi="Arial" w:cs="Arial"/>
                <w:b/>
                <w:bCs/>
                <w:sz w:val="20"/>
                <w:szCs w:val="20"/>
                <w:lang w:eastAsia="en-AU"/>
              </w:rPr>
              <w:t>41</w:t>
            </w:r>
          </w:p>
          <w:p w:rsidR="005E5EF5" w:rsidRPr="005E5EF5" w:rsidRDefault="005E5EF5" w:rsidP="005E5EF5">
            <w:pPr>
              <w:shd w:val="clear" w:color="auto" w:fill="FFFFFF"/>
              <w:spacing w:before="150" w:after="150" w:line="240" w:lineRule="auto"/>
              <w:ind w:left="150" w:right="150"/>
              <w:rPr>
                <w:rFonts w:ascii="Arial" w:eastAsia="Times New Roman" w:hAnsi="Arial" w:cs="Arial"/>
                <w:sz w:val="20"/>
                <w:szCs w:val="20"/>
                <w:lang w:eastAsia="en-AU"/>
              </w:rPr>
            </w:pPr>
            <w:r w:rsidRPr="005E5EF5">
              <w:rPr>
                <w:rFonts w:ascii="Arial" w:eastAsia="Times New Roman" w:hAnsi="Arial" w:cs="Arial"/>
                <w:sz w:val="20"/>
                <w:szCs w:val="20"/>
                <w:lang w:eastAsia="en-AU"/>
              </w:rPr>
              <w:t>Development:</w:t>
            </w:r>
          </w:p>
          <w:p w:rsidR="005E5EF5" w:rsidRPr="005E5EF5" w:rsidRDefault="005E5EF5" w:rsidP="005E5EF5">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5E5EF5">
              <w:rPr>
                <w:rFonts w:ascii="Arial" w:eastAsia="Times New Roman" w:hAnsi="Arial" w:cs="Arial"/>
                <w:sz w:val="20"/>
                <w:szCs w:val="20"/>
                <w:lang w:eastAsia="en-AU"/>
              </w:rPr>
              <w:t>minimises the risk to persons from overland flow;</w:t>
            </w:r>
          </w:p>
          <w:p w:rsidR="00D42FF7" w:rsidRPr="00B50BC9" w:rsidRDefault="005E5EF5" w:rsidP="005E5EF5">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5E5EF5">
              <w:rPr>
                <w:rFonts w:ascii="Arial" w:eastAsia="Times New Roman" w:hAnsi="Arial" w:cs="Arial"/>
                <w:sz w:val="20"/>
                <w:szCs w:val="20"/>
                <w:lang w:eastAsia="en-AU"/>
              </w:rPr>
              <w:lastRenderedPageBreak/>
              <w:t>does not increase the potential for damage from overland flow either on the premises or on a surrounding property, public land, road or infrastructure.</w:t>
            </w:r>
          </w:p>
        </w:tc>
        <w:tc>
          <w:tcPr>
            <w:tcW w:w="1718" w:type="pct"/>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lastRenderedPageBreak/>
              <w:t>No example provided.</w:t>
            </w:r>
          </w:p>
        </w:tc>
        <w:tc>
          <w:tcPr>
            <w:tcW w:w="574"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050"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0A3D33">
        <w:trPr>
          <w:tblCellSpacing w:w="15" w:type="dxa"/>
        </w:trPr>
        <w:tc>
          <w:tcPr>
            <w:tcW w:w="1609" w:type="pct"/>
            <w:hideMark/>
          </w:tcPr>
          <w:p w:rsidR="005E5EF5" w:rsidRPr="00B50BC9" w:rsidRDefault="005E5EF5" w:rsidP="005E5EF5">
            <w:pPr>
              <w:pStyle w:val="NormalWeb"/>
              <w:shd w:val="clear" w:color="auto" w:fill="FFFFFF"/>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PO4</w:t>
            </w:r>
            <w:r w:rsidR="00C77AC6">
              <w:rPr>
                <w:rStyle w:val="Strong"/>
                <w:rFonts w:ascii="Arial" w:hAnsi="Arial" w:cs="Arial"/>
                <w:sz w:val="20"/>
                <w:szCs w:val="20"/>
              </w:rPr>
              <w:t>2</w:t>
            </w:r>
          </w:p>
          <w:p w:rsidR="005E5EF5" w:rsidRPr="00B50BC9" w:rsidRDefault="005E5EF5" w:rsidP="005E5EF5">
            <w:pPr>
              <w:pStyle w:val="NormalWeb"/>
              <w:shd w:val="clear" w:color="auto" w:fill="FFFFFF"/>
              <w:spacing w:before="150" w:beforeAutospacing="0" w:after="150" w:afterAutospacing="0"/>
              <w:ind w:left="150" w:right="150"/>
              <w:rPr>
                <w:rFonts w:ascii="Arial" w:hAnsi="Arial" w:cs="Arial"/>
                <w:sz w:val="20"/>
                <w:szCs w:val="20"/>
              </w:rPr>
            </w:pPr>
            <w:r w:rsidRPr="00B50BC9">
              <w:rPr>
                <w:rFonts w:ascii="Arial" w:hAnsi="Arial" w:cs="Arial"/>
                <w:sz w:val="20"/>
                <w:szCs w:val="20"/>
              </w:rPr>
              <w:t>Development:</w:t>
            </w:r>
          </w:p>
          <w:p w:rsidR="005E5EF5" w:rsidRPr="00B50BC9" w:rsidRDefault="005E5EF5" w:rsidP="005E5EF5">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50BC9">
              <w:rPr>
                <w:rFonts w:ascii="Arial" w:hAnsi="Arial" w:cs="Arial"/>
                <w:sz w:val="20"/>
                <w:szCs w:val="20"/>
              </w:rPr>
              <w:t>maintains the conveyance of overland flow predominantly unimpeded through the premises for any event up to and including the 1% AEP for the fully developed upstream catchment;</w:t>
            </w:r>
          </w:p>
          <w:p w:rsidR="005E5EF5" w:rsidRPr="00B50BC9" w:rsidRDefault="005E5EF5" w:rsidP="005E5EF5">
            <w:pPr>
              <w:pStyle w:val="NormalWeb"/>
              <w:numPr>
                <w:ilvl w:val="0"/>
                <w:numId w:val="36"/>
              </w:numPr>
              <w:shd w:val="clear" w:color="auto" w:fill="FFFFFF"/>
              <w:spacing w:before="150" w:beforeAutospacing="0" w:after="150" w:afterAutospacing="0"/>
              <w:ind w:left="600" w:right="150"/>
              <w:rPr>
                <w:rFonts w:ascii="Arial" w:hAnsi="Arial" w:cs="Arial"/>
                <w:sz w:val="20"/>
                <w:szCs w:val="20"/>
              </w:rPr>
            </w:pPr>
            <w:r w:rsidRPr="00B50BC9">
              <w:rPr>
                <w:rFonts w:ascii="Arial" w:hAnsi="Arial" w:cs="Arial"/>
                <w:sz w:val="20"/>
                <w:szCs w:val="20"/>
              </w:rPr>
              <w:t>does not concentrate, intensify or divert overland flow onto an upstream, downstream or surrounding property.</w:t>
            </w:r>
          </w:p>
          <w:p w:rsidR="00D42FF7" w:rsidRPr="00B50BC9" w:rsidRDefault="005E5EF5" w:rsidP="005E5EF5">
            <w:pPr>
              <w:pStyle w:val="NormalWeb"/>
              <w:shd w:val="clear" w:color="auto" w:fill="FFFFFF"/>
              <w:spacing w:before="150" w:beforeAutospacing="0" w:after="150" w:afterAutospacing="0"/>
              <w:ind w:left="240" w:right="150"/>
              <w:rPr>
                <w:rFonts w:ascii="Arial" w:hAnsi="Arial" w:cs="Arial"/>
                <w:sz w:val="20"/>
                <w:szCs w:val="20"/>
              </w:rPr>
            </w:pPr>
            <w:r w:rsidRPr="00031EC8">
              <w:rPr>
                <w:rFonts w:ascii="Arial" w:hAnsi="Arial" w:cs="Arial"/>
                <w:sz w:val="18"/>
                <w:szCs w:val="20"/>
                <w:shd w:val="clear" w:color="auto" w:fill="FFFFFF"/>
              </w:rPr>
              <w:t>Note - Reporting to be prepared in accordance with Planning scheme policy – Flood hazard, Coastal hazard and Overland flow.</w:t>
            </w:r>
          </w:p>
        </w:tc>
        <w:tc>
          <w:tcPr>
            <w:tcW w:w="1718" w:type="pct"/>
            <w:hideMark/>
          </w:tcPr>
          <w:p w:rsidR="005E5EF5" w:rsidRPr="005E5EF5" w:rsidRDefault="005E5EF5" w:rsidP="005E5EF5">
            <w:pPr>
              <w:shd w:val="clear" w:color="auto" w:fill="FFFFFF"/>
              <w:spacing w:before="150" w:after="150" w:line="240" w:lineRule="auto"/>
              <w:ind w:left="150" w:right="150"/>
              <w:rPr>
                <w:rFonts w:ascii="Arial" w:eastAsia="Times New Roman" w:hAnsi="Arial" w:cs="Arial"/>
                <w:sz w:val="20"/>
                <w:szCs w:val="20"/>
                <w:lang w:eastAsia="en-AU"/>
              </w:rPr>
            </w:pPr>
            <w:r w:rsidRPr="005E5EF5">
              <w:rPr>
                <w:rFonts w:ascii="Arial" w:eastAsia="Times New Roman" w:hAnsi="Arial" w:cs="Arial"/>
                <w:b/>
                <w:bCs/>
                <w:sz w:val="20"/>
                <w:szCs w:val="20"/>
                <w:lang w:eastAsia="en-AU"/>
              </w:rPr>
              <w:t>E4</w:t>
            </w:r>
            <w:r w:rsidR="00C77AC6">
              <w:rPr>
                <w:rFonts w:ascii="Arial" w:eastAsia="Times New Roman" w:hAnsi="Arial" w:cs="Arial"/>
                <w:b/>
                <w:bCs/>
                <w:sz w:val="20"/>
                <w:szCs w:val="20"/>
                <w:lang w:eastAsia="en-AU"/>
              </w:rPr>
              <w:t>2</w:t>
            </w:r>
          </w:p>
          <w:p w:rsidR="00D42FF7" w:rsidRPr="00B50BC9" w:rsidRDefault="005E5EF5" w:rsidP="005E5EF5">
            <w:pPr>
              <w:shd w:val="clear" w:color="auto" w:fill="FFFFFF"/>
              <w:spacing w:before="150" w:after="150" w:line="240" w:lineRule="auto"/>
              <w:ind w:left="150" w:right="150"/>
              <w:rPr>
                <w:rFonts w:ascii="Arial" w:eastAsia="Times New Roman" w:hAnsi="Arial" w:cs="Arial"/>
                <w:sz w:val="20"/>
                <w:szCs w:val="20"/>
                <w:lang w:eastAsia="en-AU"/>
              </w:rPr>
            </w:pPr>
            <w:r w:rsidRPr="005E5EF5">
              <w:rPr>
                <w:rFonts w:ascii="Arial" w:eastAsia="Times New Roman" w:hAnsi="Arial" w:cs="Arial"/>
                <w:sz w:val="20"/>
                <w:szCs w:val="20"/>
                <w:lang w:eastAsia="en-AU"/>
              </w:rPr>
              <w:t>Development ensures that any buildings are not located in an Overland flow path area.</w:t>
            </w:r>
          </w:p>
          <w:p w:rsidR="005E5EF5" w:rsidRPr="00B50BC9" w:rsidRDefault="005E5EF5" w:rsidP="005E5EF5">
            <w:pPr>
              <w:shd w:val="clear" w:color="auto" w:fill="FFFFFF"/>
              <w:spacing w:before="150" w:after="150" w:line="240" w:lineRule="auto"/>
              <w:ind w:left="150" w:right="150"/>
              <w:rPr>
                <w:rFonts w:ascii="Arial" w:eastAsia="Times New Roman" w:hAnsi="Arial" w:cs="Arial"/>
                <w:sz w:val="20"/>
                <w:szCs w:val="20"/>
                <w:lang w:eastAsia="en-AU"/>
              </w:rPr>
            </w:pPr>
            <w:r w:rsidRPr="00031EC8">
              <w:rPr>
                <w:rFonts w:ascii="Arial" w:hAnsi="Arial" w:cs="Arial"/>
                <w:sz w:val="18"/>
                <w:szCs w:val="20"/>
                <w:shd w:val="clear" w:color="auto" w:fill="FFFFFF"/>
              </w:rPr>
              <w:t>Note: A report from a suitably qualified Registered Professional Engineer Queensland is required certifying that the development does not increase the potential for significant adverse impacts on an upstream, downstream or surrounding property.</w:t>
            </w:r>
          </w:p>
        </w:tc>
        <w:tc>
          <w:tcPr>
            <w:tcW w:w="574"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0"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0BC9" w:rsidRPr="00B50BC9" w:rsidTr="000A3D33">
        <w:trPr>
          <w:tblCellSpacing w:w="15" w:type="dxa"/>
        </w:trPr>
        <w:tc>
          <w:tcPr>
            <w:tcW w:w="1609" w:type="pct"/>
            <w:hideMark/>
          </w:tcPr>
          <w:p w:rsidR="005E5EF5" w:rsidRPr="005E5EF5" w:rsidRDefault="005E5EF5" w:rsidP="005E5EF5">
            <w:pPr>
              <w:shd w:val="clear" w:color="auto" w:fill="FFFFFF"/>
              <w:spacing w:before="150" w:after="150" w:line="240" w:lineRule="auto"/>
              <w:ind w:left="150" w:right="150"/>
              <w:rPr>
                <w:rFonts w:ascii="Arial" w:eastAsia="Times New Roman" w:hAnsi="Arial" w:cs="Arial"/>
                <w:sz w:val="20"/>
                <w:szCs w:val="20"/>
                <w:lang w:eastAsia="en-AU"/>
              </w:rPr>
            </w:pPr>
            <w:r w:rsidRPr="005E5EF5">
              <w:rPr>
                <w:rFonts w:ascii="Arial" w:eastAsia="Times New Roman" w:hAnsi="Arial" w:cs="Arial"/>
                <w:b/>
                <w:bCs/>
                <w:sz w:val="20"/>
                <w:szCs w:val="20"/>
                <w:lang w:eastAsia="en-AU"/>
              </w:rPr>
              <w:t>PO4</w:t>
            </w:r>
            <w:r w:rsidR="00C77AC6">
              <w:rPr>
                <w:rFonts w:ascii="Arial" w:eastAsia="Times New Roman" w:hAnsi="Arial" w:cs="Arial"/>
                <w:b/>
                <w:bCs/>
                <w:sz w:val="20"/>
                <w:szCs w:val="20"/>
                <w:lang w:eastAsia="en-AU"/>
              </w:rPr>
              <w:t>3</w:t>
            </w:r>
          </w:p>
          <w:p w:rsidR="005E5EF5" w:rsidRPr="005E5EF5" w:rsidRDefault="005E5EF5" w:rsidP="005E5EF5">
            <w:pPr>
              <w:shd w:val="clear" w:color="auto" w:fill="FFFFFF"/>
              <w:spacing w:before="150" w:after="150" w:line="240" w:lineRule="auto"/>
              <w:ind w:left="150" w:right="150"/>
              <w:rPr>
                <w:rFonts w:ascii="Arial" w:eastAsia="Times New Roman" w:hAnsi="Arial" w:cs="Arial"/>
                <w:sz w:val="20"/>
                <w:szCs w:val="20"/>
                <w:lang w:eastAsia="en-AU"/>
              </w:rPr>
            </w:pPr>
            <w:r w:rsidRPr="005E5EF5">
              <w:rPr>
                <w:rFonts w:ascii="Arial" w:eastAsia="Times New Roman" w:hAnsi="Arial" w:cs="Arial"/>
                <w:sz w:val="20"/>
                <w:szCs w:val="20"/>
                <w:lang w:eastAsia="en-AU"/>
              </w:rPr>
              <w:t>Development does not:</w:t>
            </w:r>
          </w:p>
          <w:p w:rsidR="005E5EF5" w:rsidRPr="005E5EF5" w:rsidRDefault="005E5EF5" w:rsidP="005E5EF5">
            <w:pPr>
              <w:numPr>
                <w:ilvl w:val="0"/>
                <w:numId w:val="3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E5EF5">
              <w:rPr>
                <w:rFonts w:ascii="Arial" w:eastAsia="Times New Roman" w:hAnsi="Arial" w:cs="Arial"/>
                <w:sz w:val="20"/>
                <w:szCs w:val="20"/>
                <w:lang w:eastAsia="en-AU"/>
              </w:rPr>
              <w:t>directly, indirectly or cumulatively cause any increase in overland flow velocity or level;</w:t>
            </w:r>
          </w:p>
          <w:p w:rsidR="005E5EF5" w:rsidRPr="00B50BC9" w:rsidRDefault="005E5EF5" w:rsidP="005E5EF5">
            <w:pPr>
              <w:numPr>
                <w:ilvl w:val="0"/>
                <w:numId w:val="37"/>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5E5EF5">
              <w:rPr>
                <w:rFonts w:ascii="Arial" w:eastAsia="Times New Roman" w:hAnsi="Arial" w:cs="Arial"/>
                <w:sz w:val="20"/>
                <w:szCs w:val="20"/>
                <w:lang w:eastAsia="en-AU"/>
              </w:rPr>
              <w:t>increase the potential for flood damage from overland flow either on the premises or on a surrounding property, public land, road or infrastructure</w:t>
            </w:r>
            <w:r w:rsidRPr="00B50BC9">
              <w:rPr>
                <w:rFonts w:ascii="Arial" w:eastAsia="Times New Roman" w:hAnsi="Arial" w:cs="Arial"/>
                <w:sz w:val="20"/>
                <w:szCs w:val="20"/>
                <w:lang w:eastAsia="en-AU"/>
              </w:rPr>
              <w:t>.</w:t>
            </w:r>
          </w:p>
          <w:p w:rsidR="005E5EF5" w:rsidRPr="00031EC8" w:rsidRDefault="005E5EF5" w:rsidP="005E5EF5">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031EC8">
              <w:rPr>
                <w:rFonts w:ascii="Arial" w:hAnsi="Arial" w:cs="Arial"/>
                <w:sz w:val="18"/>
                <w:szCs w:val="20"/>
                <w:shd w:val="clear" w:color="auto" w:fill="FFFFFF"/>
              </w:rPr>
              <w:t>Note - Open concrete drains greater than 1m in width are not an acceptable outcome, nor are any other design options that may increase scouring.</w:t>
            </w:r>
          </w:p>
          <w:p w:rsidR="005E5EF5" w:rsidRPr="00031EC8" w:rsidRDefault="005E5EF5" w:rsidP="005E5EF5">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031EC8">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031EC8">
              <w:rPr>
                <w:rFonts w:ascii="Arial" w:hAnsi="Arial" w:cs="Arial"/>
                <w:sz w:val="18"/>
                <w:szCs w:val="20"/>
                <w:shd w:val="clear" w:color="auto" w:fill="FFFFFF"/>
              </w:rPr>
              <w:t>upstream, downstream or surrounding premises</w:t>
            </w:r>
            <w:proofErr w:type="gramEnd"/>
            <w:r w:rsidRPr="00031EC8">
              <w:rPr>
                <w:rFonts w:ascii="Arial" w:hAnsi="Arial" w:cs="Arial"/>
                <w:sz w:val="18"/>
                <w:szCs w:val="20"/>
                <w:shd w:val="clear" w:color="auto" w:fill="FFFFFF"/>
              </w:rPr>
              <w:t>.</w:t>
            </w:r>
          </w:p>
          <w:p w:rsidR="005E5EF5" w:rsidRPr="00B50BC9" w:rsidRDefault="005E5EF5" w:rsidP="005E5EF5">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031EC8">
              <w:rPr>
                <w:rFonts w:ascii="Arial" w:hAnsi="Arial" w:cs="Arial"/>
                <w:sz w:val="18"/>
                <w:szCs w:val="20"/>
                <w:shd w:val="clear" w:color="auto" w:fill="FFFFFF"/>
              </w:rPr>
              <w:lastRenderedPageBreak/>
              <w:t>Note - Reporting to be prepared in accordance with Planning scheme policy – Flood hazard, Coastal hazard and Overland flow</w:t>
            </w:r>
          </w:p>
        </w:tc>
        <w:tc>
          <w:tcPr>
            <w:tcW w:w="1718" w:type="pct"/>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lastRenderedPageBreak/>
              <w:t>No example provided.</w:t>
            </w:r>
          </w:p>
        </w:tc>
        <w:tc>
          <w:tcPr>
            <w:tcW w:w="574"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050"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0A3D33">
        <w:trPr>
          <w:tblCellSpacing w:w="15" w:type="dxa"/>
        </w:trPr>
        <w:tc>
          <w:tcPr>
            <w:tcW w:w="1609"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PO4</w:t>
            </w:r>
            <w:r w:rsidR="00C77AC6">
              <w:rPr>
                <w:rStyle w:val="Strong"/>
                <w:rFonts w:ascii="Arial" w:hAnsi="Arial" w:cs="Arial"/>
                <w:sz w:val="20"/>
                <w:szCs w:val="20"/>
              </w:rPr>
              <w:t>4</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Development ensures that overland flow is not conveyed from a road or public open space onto a private lot</w:t>
            </w:r>
            <w:r w:rsidR="00C77AC6">
              <w:rPr>
                <w:rFonts w:ascii="Arial" w:hAnsi="Arial" w:cs="Arial"/>
                <w:sz w:val="20"/>
                <w:szCs w:val="20"/>
              </w:rPr>
              <w:t>.</w:t>
            </w:r>
          </w:p>
        </w:tc>
        <w:tc>
          <w:tcPr>
            <w:tcW w:w="1718"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E4</w:t>
            </w:r>
            <w:r w:rsidR="00C77AC6">
              <w:rPr>
                <w:rStyle w:val="Strong"/>
                <w:rFonts w:ascii="Arial" w:hAnsi="Arial" w:cs="Arial"/>
                <w:sz w:val="20"/>
                <w:szCs w:val="20"/>
              </w:rPr>
              <w:t>4</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Development ensures that overland flow paths and drainage infrastructure is provided to convey overland flow from a road or public open space area away from a private lot.</w:t>
            </w:r>
          </w:p>
        </w:tc>
        <w:tc>
          <w:tcPr>
            <w:tcW w:w="574"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0"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0BC9" w:rsidRPr="00B50BC9" w:rsidTr="000A3D33">
        <w:trPr>
          <w:tblCellSpacing w:w="15" w:type="dxa"/>
        </w:trPr>
        <w:tc>
          <w:tcPr>
            <w:tcW w:w="1609" w:type="pct"/>
            <w:vMerge w:val="restart"/>
            <w:hideMark/>
          </w:tcPr>
          <w:p w:rsidR="005E5EF5" w:rsidRPr="005E5EF5" w:rsidRDefault="005E5EF5" w:rsidP="005E5EF5">
            <w:pPr>
              <w:shd w:val="clear" w:color="auto" w:fill="FFFFFF"/>
              <w:spacing w:before="150" w:after="150" w:line="240" w:lineRule="auto"/>
              <w:ind w:left="150" w:right="150"/>
              <w:rPr>
                <w:rFonts w:ascii="Arial" w:eastAsia="Times New Roman" w:hAnsi="Arial" w:cs="Arial"/>
                <w:sz w:val="20"/>
                <w:szCs w:val="20"/>
                <w:lang w:eastAsia="en-AU"/>
              </w:rPr>
            </w:pPr>
            <w:r w:rsidRPr="005E5EF5">
              <w:rPr>
                <w:rFonts w:ascii="Arial" w:eastAsia="Times New Roman" w:hAnsi="Arial" w:cs="Arial"/>
                <w:b/>
                <w:bCs/>
                <w:sz w:val="20"/>
                <w:szCs w:val="20"/>
                <w:lang w:eastAsia="en-AU"/>
              </w:rPr>
              <w:t>PO4</w:t>
            </w:r>
            <w:r w:rsidR="00C77AC6">
              <w:rPr>
                <w:rFonts w:ascii="Arial" w:eastAsia="Times New Roman" w:hAnsi="Arial" w:cs="Arial"/>
                <w:b/>
                <w:bCs/>
                <w:sz w:val="20"/>
                <w:szCs w:val="20"/>
                <w:lang w:eastAsia="en-AU"/>
              </w:rPr>
              <w:t>5</w:t>
            </w:r>
          </w:p>
          <w:p w:rsidR="005E5EF5" w:rsidRPr="00B50BC9" w:rsidRDefault="005E5EF5" w:rsidP="005E5EF5">
            <w:pPr>
              <w:shd w:val="clear" w:color="auto" w:fill="FFFFFF"/>
              <w:spacing w:before="150" w:after="150" w:line="240" w:lineRule="auto"/>
              <w:ind w:left="150" w:right="150"/>
              <w:rPr>
                <w:rFonts w:ascii="Arial" w:eastAsia="Times New Roman" w:hAnsi="Arial" w:cs="Arial"/>
                <w:sz w:val="20"/>
                <w:szCs w:val="20"/>
                <w:lang w:eastAsia="en-AU"/>
              </w:rPr>
            </w:pPr>
            <w:r w:rsidRPr="005E5EF5">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5E5EF5">
              <w:rPr>
                <w:rFonts w:ascii="Arial" w:eastAsia="Times New Roman" w:hAnsi="Arial" w:cs="Arial"/>
                <w:sz w:val="20"/>
                <w:szCs w:val="20"/>
                <w:lang w:eastAsia="en-AU"/>
              </w:rPr>
              <w:t>are able to</w:t>
            </w:r>
            <w:proofErr w:type="gramEnd"/>
            <w:r w:rsidRPr="005E5EF5">
              <w:rPr>
                <w:rFonts w:ascii="Arial" w:eastAsia="Times New Roman" w:hAnsi="Arial" w:cs="Arial"/>
                <w:sz w:val="20"/>
                <w:szCs w:val="20"/>
                <w:lang w:eastAsia="en-AU"/>
              </w:rPr>
              <w:t xml:space="preserve"> be easily maintained.</w:t>
            </w:r>
          </w:p>
          <w:p w:rsidR="005E5EF5" w:rsidRPr="00031EC8" w:rsidRDefault="005E5EF5" w:rsidP="005E5EF5">
            <w:pPr>
              <w:shd w:val="clear" w:color="auto" w:fill="FFFFFF"/>
              <w:spacing w:before="150" w:after="150" w:line="240" w:lineRule="auto"/>
              <w:ind w:left="150" w:right="150"/>
              <w:rPr>
                <w:rFonts w:ascii="Arial" w:hAnsi="Arial" w:cs="Arial"/>
                <w:sz w:val="18"/>
                <w:szCs w:val="20"/>
                <w:shd w:val="clear" w:color="auto" w:fill="FFFFFF"/>
              </w:rPr>
            </w:pPr>
            <w:r w:rsidRPr="00031EC8">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031EC8">
              <w:rPr>
                <w:rFonts w:ascii="Arial" w:hAnsi="Arial" w:cs="Arial"/>
                <w:sz w:val="18"/>
                <w:szCs w:val="20"/>
                <w:shd w:val="clear" w:color="auto" w:fill="FFFFFF"/>
              </w:rPr>
              <w:t>upstream, downstream or surrounding premises</w:t>
            </w:r>
            <w:proofErr w:type="gramEnd"/>
            <w:r w:rsidRPr="00031EC8">
              <w:rPr>
                <w:rFonts w:ascii="Arial" w:hAnsi="Arial" w:cs="Arial"/>
                <w:sz w:val="18"/>
                <w:szCs w:val="20"/>
                <w:shd w:val="clear" w:color="auto" w:fill="FFFFFF"/>
              </w:rPr>
              <w:t>.</w:t>
            </w:r>
          </w:p>
          <w:p w:rsidR="005E5EF5" w:rsidRPr="00B50BC9" w:rsidRDefault="005E5EF5" w:rsidP="005E5EF5">
            <w:pPr>
              <w:shd w:val="clear" w:color="auto" w:fill="FFFFFF"/>
              <w:spacing w:before="150" w:after="150" w:line="240" w:lineRule="auto"/>
              <w:ind w:left="150" w:right="150"/>
              <w:rPr>
                <w:rFonts w:ascii="Arial" w:eastAsia="Times New Roman" w:hAnsi="Arial" w:cs="Arial"/>
                <w:sz w:val="20"/>
                <w:szCs w:val="20"/>
                <w:lang w:eastAsia="en-AU"/>
              </w:rPr>
            </w:pPr>
            <w:r w:rsidRPr="00031EC8">
              <w:rPr>
                <w:rFonts w:ascii="Arial" w:hAnsi="Arial" w:cs="Arial"/>
                <w:sz w:val="18"/>
                <w:szCs w:val="20"/>
                <w:shd w:val="clear" w:color="auto" w:fill="FFFFFF"/>
              </w:rPr>
              <w:t>Note - Reporting to be prepared in accordance with Planning scheme policy – Flood hazard, Coastal hazard and Overland flow</w:t>
            </w:r>
          </w:p>
        </w:tc>
        <w:tc>
          <w:tcPr>
            <w:tcW w:w="1718" w:type="pct"/>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E4</w:t>
            </w:r>
            <w:r w:rsidR="00C77AC6">
              <w:rPr>
                <w:rStyle w:val="Strong"/>
                <w:rFonts w:ascii="Arial" w:hAnsi="Arial" w:cs="Arial"/>
                <w:sz w:val="20"/>
                <w:szCs w:val="20"/>
              </w:rPr>
              <w:t>5</w:t>
            </w:r>
            <w:r w:rsidRPr="00B50BC9">
              <w:rPr>
                <w:rStyle w:val="Strong"/>
                <w:rFonts w:ascii="Arial" w:hAnsi="Arial" w:cs="Arial"/>
                <w:sz w:val="20"/>
                <w:szCs w:val="20"/>
              </w:rPr>
              <w:t>.1</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Development ensures that roof and allotment drainage infrastructure is provided in accordance with the following relevant level as identified in QUDM:</w:t>
            </w:r>
          </w:p>
          <w:p w:rsidR="005E5EF5" w:rsidRPr="00B50BC9" w:rsidRDefault="005E5EF5" w:rsidP="005E5EF5">
            <w:pPr>
              <w:numPr>
                <w:ilvl w:val="0"/>
                <w:numId w:val="38"/>
              </w:numPr>
              <w:spacing w:before="100" w:beforeAutospacing="1" w:after="100" w:afterAutospacing="1" w:line="240" w:lineRule="auto"/>
              <w:ind w:left="450"/>
              <w:rPr>
                <w:rFonts w:ascii="Arial" w:hAnsi="Arial" w:cs="Arial"/>
                <w:sz w:val="20"/>
                <w:szCs w:val="20"/>
              </w:rPr>
            </w:pPr>
            <w:r w:rsidRPr="00B50BC9">
              <w:rPr>
                <w:rFonts w:ascii="Arial" w:hAnsi="Arial" w:cs="Arial"/>
                <w:sz w:val="20"/>
                <w:szCs w:val="20"/>
              </w:rPr>
              <w:t>Urban area – Level III;</w:t>
            </w:r>
          </w:p>
          <w:p w:rsidR="005E5EF5" w:rsidRPr="00B50BC9" w:rsidRDefault="005E5EF5" w:rsidP="005E5EF5">
            <w:pPr>
              <w:numPr>
                <w:ilvl w:val="0"/>
                <w:numId w:val="38"/>
              </w:numPr>
              <w:spacing w:before="100" w:beforeAutospacing="1" w:after="100" w:afterAutospacing="1" w:line="240" w:lineRule="auto"/>
              <w:ind w:left="450"/>
              <w:rPr>
                <w:rFonts w:ascii="Arial" w:hAnsi="Arial" w:cs="Arial"/>
                <w:sz w:val="20"/>
                <w:szCs w:val="20"/>
              </w:rPr>
            </w:pPr>
            <w:r w:rsidRPr="00B50BC9">
              <w:rPr>
                <w:rFonts w:ascii="Arial" w:hAnsi="Arial" w:cs="Arial"/>
                <w:sz w:val="20"/>
                <w:szCs w:val="20"/>
              </w:rPr>
              <w:t>Rural area – N/A;</w:t>
            </w:r>
          </w:p>
          <w:p w:rsidR="005E5EF5" w:rsidRPr="00B50BC9" w:rsidRDefault="005E5EF5" w:rsidP="005E5EF5">
            <w:pPr>
              <w:numPr>
                <w:ilvl w:val="0"/>
                <w:numId w:val="38"/>
              </w:numPr>
              <w:spacing w:before="100" w:beforeAutospacing="1" w:after="100" w:afterAutospacing="1" w:line="240" w:lineRule="auto"/>
              <w:ind w:left="450"/>
              <w:rPr>
                <w:rFonts w:ascii="Arial" w:hAnsi="Arial" w:cs="Arial"/>
                <w:sz w:val="20"/>
                <w:szCs w:val="20"/>
              </w:rPr>
            </w:pPr>
            <w:r w:rsidRPr="00B50BC9">
              <w:rPr>
                <w:rFonts w:ascii="Arial" w:hAnsi="Arial" w:cs="Arial"/>
                <w:sz w:val="20"/>
                <w:szCs w:val="20"/>
              </w:rPr>
              <w:t>Industrial area – Level V;</w:t>
            </w:r>
          </w:p>
          <w:p w:rsidR="005E5EF5" w:rsidRPr="00B50BC9" w:rsidRDefault="005E5EF5" w:rsidP="005E5EF5">
            <w:pPr>
              <w:numPr>
                <w:ilvl w:val="0"/>
                <w:numId w:val="38"/>
              </w:numPr>
              <w:spacing w:before="100" w:beforeAutospacing="1" w:after="100" w:afterAutospacing="1" w:line="240" w:lineRule="auto"/>
              <w:ind w:left="450"/>
              <w:rPr>
                <w:rFonts w:ascii="Arial" w:hAnsi="Arial" w:cs="Arial"/>
                <w:sz w:val="20"/>
                <w:szCs w:val="20"/>
              </w:rPr>
            </w:pPr>
            <w:r w:rsidRPr="00B50BC9">
              <w:rPr>
                <w:rFonts w:ascii="Arial" w:hAnsi="Arial" w:cs="Arial"/>
                <w:sz w:val="20"/>
                <w:szCs w:val="20"/>
              </w:rPr>
              <w:t>Commercial area – Level V.</w:t>
            </w:r>
          </w:p>
        </w:tc>
        <w:tc>
          <w:tcPr>
            <w:tcW w:w="574"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0"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0BC9" w:rsidRPr="00B50BC9" w:rsidTr="000A3D33">
        <w:trPr>
          <w:tblCellSpacing w:w="15" w:type="dxa"/>
        </w:trPr>
        <w:tc>
          <w:tcPr>
            <w:tcW w:w="1609" w:type="pct"/>
            <w:vMerge/>
            <w:vAlign w:val="center"/>
            <w:hideMark/>
          </w:tcPr>
          <w:p w:rsidR="005E5EF5" w:rsidRPr="00B50BC9" w:rsidRDefault="005E5EF5" w:rsidP="005E5EF5">
            <w:pPr>
              <w:spacing w:before="100" w:beforeAutospacing="1" w:after="100" w:afterAutospacing="1" w:line="240" w:lineRule="auto"/>
              <w:rPr>
                <w:rFonts w:ascii="Arial" w:eastAsia="Times New Roman" w:hAnsi="Arial" w:cs="Arial"/>
                <w:sz w:val="20"/>
                <w:szCs w:val="20"/>
                <w:lang w:eastAsia="en-AU"/>
              </w:rPr>
            </w:pPr>
          </w:p>
        </w:tc>
        <w:tc>
          <w:tcPr>
            <w:tcW w:w="1718" w:type="pct"/>
            <w:vAlign w:val="center"/>
            <w:hideMark/>
          </w:tcPr>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E4</w:t>
            </w:r>
            <w:r w:rsidR="00C77AC6">
              <w:rPr>
                <w:rStyle w:val="Strong"/>
                <w:rFonts w:ascii="Arial" w:hAnsi="Arial" w:cs="Arial"/>
                <w:sz w:val="20"/>
                <w:szCs w:val="20"/>
              </w:rPr>
              <w:t>5</w:t>
            </w:r>
            <w:r w:rsidRPr="00B50BC9">
              <w:rPr>
                <w:rStyle w:val="Strong"/>
                <w:rFonts w:ascii="Arial" w:hAnsi="Arial" w:cs="Arial"/>
                <w:sz w:val="20"/>
                <w:szCs w:val="20"/>
              </w:rPr>
              <w:t>.2</w:t>
            </w:r>
          </w:p>
          <w:p w:rsidR="005E5EF5" w:rsidRPr="00B50BC9" w:rsidRDefault="005E5EF5" w:rsidP="005E5EF5">
            <w:pPr>
              <w:pStyle w:val="NormalWeb"/>
              <w:spacing w:before="150" w:beforeAutospacing="0" w:after="150" w:afterAutospacing="0"/>
              <w:ind w:left="150" w:right="150"/>
              <w:rPr>
                <w:rFonts w:ascii="Arial" w:hAnsi="Arial" w:cs="Arial"/>
                <w:sz w:val="20"/>
                <w:szCs w:val="20"/>
              </w:rPr>
            </w:pPr>
            <w:r w:rsidRPr="00B50BC9">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574"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0" w:type="pct"/>
          </w:tcPr>
          <w:p w:rsidR="005E5EF5" w:rsidRPr="00B50BC9" w:rsidRDefault="005E5EF5" w:rsidP="005E5E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0BC9" w:rsidRPr="00B50BC9" w:rsidTr="000A3D33">
        <w:trPr>
          <w:trHeight w:val="3510"/>
          <w:tblCellSpacing w:w="15" w:type="dxa"/>
        </w:trPr>
        <w:tc>
          <w:tcPr>
            <w:tcW w:w="1609" w:type="pct"/>
            <w:hideMark/>
          </w:tcPr>
          <w:p w:rsidR="005E5EF5" w:rsidRPr="00B50BC9" w:rsidRDefault="005E5EF5" w:rsidP="005E5EF5">
            <w:pPr>
              <w:pStyle w:val="NormalWeb"/>
              <w:shd w:val="clear" w:color="auto" w:fill="FFFFFF"/>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lastRenderedPageBreak/>
              <w:t>PO4</w:t>
            </w:r>
            <w:r w:rsidR="00C77AC6">
              <w:rPr>
                <w:rStyle w:val="Strong"/>
                <w:rFonts w:ascii="Arial" w:hAnsi="Arial" w:cs="Arial"/>
                <w:sz w:val="20"/>
                <w:szCs w:val="20"/>
              </w:rPr>
              <w:t>6</w:t>
            </w:r>
          </w:p>
          <w:p w:rsidR="005E5EF5" w:rsidRPr="00B50BC9" w:rsidRDefault="005E5EF5" w:rsidP="005E5EF5">
            <w:pPr>
              <w:pStyle w:val="NormalWeb"/>
              <w:shd w:val="clear" w:color="auto" w:fill="FFFFFF"/>
              <w:spacing w:before="150" w:beforeAutospacing="0" w:after="150" w:afterAutospacing="0"/>
              <w:ind w:left="150" w:right="150"/>
              <w:rPr>
                <w:rFonts w:ascii="Arial" w:hAnsi="Arial" w:cs="Arial"/>
                <w:sz w:val="20"/>
                <w:szCs w:val="20"/>
              </w:rPr>
            </w:pPr>
            <w:r w:rsidRPr="00B50BC9">
              <w:rPr>
                <w:rFonts w:ascii="Arial" w:hAnsi="Arial" w:cs="Arial"/>
                <w:sz w:val="20"/>
                <w:szCs w:val="20"/>
              </w:rPr>
              <w:t>Development protects the conveyance of overland flow such that easements for drainage purposes are provided over:</w:t>
            </w:r>
          </w:p>
          <w:p w:rsidR="005E5EF5" w:rsidRPr="00B50BC9" w:rsidRDefault="005E5EF5" w:rsidP="005E5EF5">
            <w:pPr>
              <w:pStyle w:val="NormalWeb"/>
              <w:numPr>
                <w:ilvl w:val="0"/>
                <w:numId w:val="39"/>
              </w:numPr>
              <w:shd w:val="clear" w:color="auto" w:fill="FFFFFF"/>
              <w:spacing w:before="150" w:beforeAutospacing="0" w:after="150" w:afterAutospacing="0"/>
              <w:ind w:left="600" w:right="150"/>
              <w:rPr>
                <w:rFonts w:ascii="Arial" w:hAnsi="Arial" w:cs="Arial"/>
                <w:sz w:val="20"/>
                <w:szCs w:val="20"/>
              </w:rPr>
            </w:pPr>
            <w:r w:rsidRPr="00B50BC9">
              <w:rPr>
                <w:rFonts w:ascii="Arial" w:hAnsi="Arial" w:cs="Arial"/>
                <w:sz w:val="20"/>
                <w:szCs w:val="20"/>
              </w:rPr>
              <w:t>a stormwater pipe if the nominal pipe diameter exceeds 300mm;</w:t>
            </w:r>
          </w:p>
          <w:p w:rsidR="005E5EF5" w:rsidRPr="00B50BC9" w:rsidRDefault="005E5EF5" w:rsidP="005E5EF5">
            <w:pPr>
              <w:pStyle w:val="NormalWeb"/>
              <w:numPr>
                <w:ilvl w:val="0"/>
                <w:numId w:val="39"/>
              </w:numPr>
              <w:shd w:val="clear" w:color="auto" w:fill="FFFFFF"/>
              <w:spacing w:before="150" w:beforeAutospacing="0" w:after="150" w:afterAutospacing="0"/>
              <w:ind w:left="600" w:right="150"/>
              <w:rPr>
                <w:rFonts w:ascii="Arial" w:hAnsi="Arial" w:cs="Arial"/>
                <w:sz w:val="20"/>
                <w:szCs w:val="20"/>
              </w:rPr>
            </w:pPr>
            <w:r w:rsidRPr="00B50BC9">
              <w:rPr>
                <w:rFonts w:ascii="Arial" w:hAnsi="Arial" w:cs="Arial"/>
                <w:sz w:val="20"/>
                <w:szCs w:val="20"/>
              </w:rPr>
              <w:t>an overland flow path where it crosses more than one property; and</w:t>
            </w:r>
          </w:p>
          <w:p w:rsidR="00D42FF7" w:rsidRPr="00B50BC9" w:rsidRDefault="005E5EF5" w:rsidP="005E5EF5">
            <w:pPr>
              <w:pStyle w:val="NormalWeb"/>
              <w:numPr>
                <w:ilvl w:val="0"/>
                <w:numId w:val="39"/>
              </w:numPr>
              <w:shd w:val="clear" w:color="auto" w:fill="FFFFFF"/>
              <w:spacing w:before="150" w:beforeAutospacing="0" w:after="150" w:afterAutospacing="0"/>
              <w:ind w:left="600" w:right="150"/>
              <w:rPr>
                <w:rFonts w:ascii="Arial" w:hAnsi="Arial" w:cs="Arial"/>
                <w:sz w:val="20"/>
                <w:szCs w:val="20"/>
              </w:rPr>
            </w:pPr>
            <w:r w:rsidRPr="00B50BC9">
              <w:rPr>
                <w:rFonts w:ascii="Arial" w:hAnsi="Arial" w:cs="Arial"/>
                <w:sz w:val="20"/>
                <w:szCs w:val="20"/>
              </w:rPr>
              <w:t>inter-allotment drainage infrastructure.</w:t>
            </w:r>
          </w:p>
          <w:p w:rsidR="005E5EF5" w:rsidRPr="00031EC8" w:rsidRDefault="005E5EF5" w:rsidP="005E5EF5">
            <w:pPr>
              <w:pStyle w:val="NormalWeb"/>
              <w:shd w:val="clear" w:color="auto" w:fill="FFFFFF"/>
              <w:spacing w:before="150" w:beforeAutospacing="0" w:after="150" w:afterAutospacing="0"/>
              <w:ind w:left="240" w:right="150"/>
              <w:rPr>
                <w:rFonts w:ascii="Arial" w:hAnsi="Arial" w:cs="Arial"/>
                <w:sz w:val="18"/>
                <w:szCs w:val="20"/>
                <w:shd w:val="clear" w:color="auto" w:fill="FFFFFF"/>
              </w:rPr>
            </w:pPr>
            <w:r w:rsidRPr="00031EC8">
              <w:rPr>
                <w:rFonts w:ascii="Arial" w:hAnsi="Arial" w:cs="Arial"/>
                <w:sz w:val="18"/>
                <w:szCs w:val="20"/>
                <w:shd w:val="clear" w:color="auto" w:fill="FFFFFF"/>
              </w:rPr>
              <w:t>Note - Refer to Planning scheme policy - Integrated design for details and examples.</w:t>
            </w:r>
          </w:p>
          <w:p w:rsidR="005E5EF5" w:rsidRPr="00B50BC9" w:rsidRDefault="005E5EF5" w:rsidP="005E5EF5">
            <w:pPr>
              <w:pStyle w:val="NormalWeb"/>
              <w:shd w:val="clear" w:color="auto" w:fill="FFFFFF"/>
              <w:spacing w:before="150" w:beforeAutospacing="0" w:after="150" w:afterAutospacing="0"/>
              <w:ind w:left="240" w:right="150"/>
              <w:rPr>
                <w:rFonts w:ascii="Arial" w:hAnsi="Arial" w:cs="Arial"/>
                <w:sz w:val="20"/>
                <w:szCs w:val="20"/>
              </w:rPr>
            </w:pPr>
            <w:r w:rsidRPr="00031EC8">
              <w:rPr>
                <w:rFonts w:ascii="Arial" w:hAnsi="Arial" w:cs="Arial"/>
                <w:sz w:val="18"/>
                <w:szCs w:val="20"/>
                <w:shd w:val="clear" w:color="auto" w:fill="FFFFFF"/>
              </w:rPr>
              <w:t>Note - Stormwater drainage easement dimensions are provided in accordance with Section 3.8.5 of QUDM.</w:t>
            </w:r>
          </w:p>
        </w:tc>
        <w:tc>
          <w:tcPr>
            <w:tcW w:w="1718" w:type="pct"/>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sz w:val="20"/>
                <w:szCs w:val="20"/>
                <w:lang w:eastAsia="en-AU"/>
              </w:rPr>
              <w:t>No example provided</w:t>
            </w:r>
            <w:r w:rsidR="0053664F">
              <w:rPr>
                <w:rFonts w:ascii="Arial" w:eastAsia="Times New Roman" w:hAnsi="Arial" w:cs="Arial"/>
                <w:sz w:val="20"/>
                <w:szCs w:val="20"/>
                <w:lang w:eastAsia="en-AU"/>
              </w:rPr>
              <w:t>.</w:t>
            </w:r>
          </w:p>
        </w:tc>
        <w:tc>
          <w:tcPr>
            <w:tcW w:w="574"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c>
          <w:tcPr>
            <w:tcW w:w="1050"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p>
        </w:tc>
      </w:tr>
      <w:tr w:rsidR="00B50BC9" w:rsidRPr="00B50BC9" w:rsidTr="005F3D15">
        <w:trPr>
          <w:trHeight w:val="398"/>
          <w:tblCellSpacing w:w="15" w:type="dxa"/>
        </w:trPr>
        <w:tc>
          <w:tcPr>
            <w:tcW w:w="3337" w:type="pct"/>
            <w:gridSpan w:val="2"/>
            <w:vAlign w:val="center"/>
            <w:hideMark/>
          </w:tcPr>
          <w:p w:rsidR="00D42FF7" w:rsidRPr="00B50BC9" w:rsidRDefault="00D42FF7" w:rsidP="00D42FF7">
            <w:pPr>
              <w:spacing w:before="100" w:beforeAutospacing="1" w:after="100" w:afterAutospacing="1" w:line="240" w:lineRule="auto"/>
              <w:ind w:left="150" w:right="150"/>
              <w:rPr>
                <w:rFonts w:ascii="Arial" w:eastAsia="Times New Roman" w:hAnsi="Arial" w:cs="Arial"/>
                <w:sz w:val="20"/>
                <w:szCs w:val="20"/>
                <w:lang w:eastAsia="en-AU"/>
              </w:rPr>
            </w:pPr>
            <w:r w:rsidRPr="00B50BC9">
              <w:rPr>
                <w:rFonts w:ascii="Arial" w:eastAsia="Times New Roman" w:hAnsi="Arial" w:cs="Arial"/>
                <w:b/>
                <w:bCs/>
                <w:sz w:val="20"/>
                <w:szCs w:val="20"/>
                <w:lang w:eastAsia="en-AU"/>
              </w:rPr>
              <w:t>Additional criteria for development for a Park</w:t>
            </w:r>
            <w:r w:rsidRPr="00B50BC9">
              <w:rPr>
                <w:rFonts w:ascii="Arial" w:eastAsia="Times New Roman" w:hAnsi="Arial" w:cs="Arial"/>
                <w:b/>
                <w:bCs/>
                <w:sz w:val="20"/>
                <w:szCs w:val="20"/>
                <w:vertAlign w:val="superscript"/>
                <w:lang w:eastAsia="en-AU"/>
              </w:rPr>
              <w:t>(</w:t>
            </w:r>
            <w:hyperlink r:id="rId15"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50BC9">
                <w:rPr>
                  <w:rFonts w:ascii="Arial" w:eastAsia="Times New Roman" w:hAnsi="Arial" w:cs="Arial"/>
                  <w:sz w:val="20"/>
                  <w:szCs w:val="20"/>
                  <w:vertAlign w:val="superscript"/>
                  <w:lang w:eastAsia="en-AU"/>
                </w:rPr>
                <w:t>57</w:t>
              </w:r>
            </w:hyperlink>
            <w:r w:rsidRPr="00B50BC9">
              <w:rPr>
                <w:rFonts w:ascii="Arial" w:eastAsia="Times New Roman" w:hAnsi="Arial" w:cs="Arial"/>
                <w:b/>
                <w:bCs/>
                <w:sz w:val="20"/>
                <w:szCs w:val="20"/>
                <w:vertAlign w:val="superscript"/>
                <w:lang w:eastAsia="en-AU"/>
              </w:rPr>
              <w:t>)</w:t>
            </w:r>
          </w:p>
        </w:tc>
        <w:tc>
          <w:tcPr>
            <w:tcW w:w="574"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0"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0BC9" w:rsidRPr="00B50BC9" w:rsidTr="000A3D33">
        <w:trPr>
          <w:tblCellSpacing w:w="15" w:type="dxa"/>
        </w:trPr>
        <w:tc>
          <w:tcPr>
            <w:tcW w:w="1609" w:type="pct"/>
            <w:hideMark/>
          </w:tcPr>
          <w:p w:rsidR="005E5EF5" w:rsidRPr="00B50BC9" w:rsidRDefault="005E5EF5" w:rsidP="005E5EF5">
            <w:pPr>
              <w:pStyle w:val="NormalWeb"/>
              <w:shd w:val="clear" w:color="auto" w:fill="FFFFFF"/>
              <w:spacing w:before="150" w:beforeAutospacing="0" w:after="150" w:afterAutospacing="0"/>
              <w:ind w:left="150" w:right="150"/>
              <w:rPr>
                <w:rFonts w:ascii="Arial" w:hAnsi="Arial" w:cs="Arial"/>
                <w:sz w:val="20"/>
                <w:szCs w:val="20"/>
              </w:rPr>
            </w:pPr>
            <w:r w:rsidRPr="00B50BC9">
              <w:rPr>
                <w:rStyle w:val="Strong"/>
                <w:rFonts w:ascii="Arial" w:hAnsi="Arial" w:cs="Arial"/>
                <w:sz w:val="20"/>
                <w:szCs w:val="20"/>
              </w:rPr>
              <w:t>PO4</w:t>
            </w:r>
            <w:r w:rsidR="00C77AC6">
              <w:rPr>
                <w:rStyle w:val="Strong"/>
                <w:rFonts w:ascii="Arial" w:hAnsi="Arial" w:cs="Arial"/>
                <w:sz w:val="20"/>
                <w:szCs w:val="20"/>
              </w:rPr>
              <w:t>7</w:t>
            </w:r>
          </w:p>
          <w:p w:rsidR="005E5EF5" w:rsidRPr="00B50BC9" w:rsidRDefault="005E5EF5" w:rsidP="005E5EF5">
            <w:pPr>
              <w:pStyle w:val="NormalWeb"/>
              <w:shd w:val="clear" w:color="auto" w:fill="FFFFFF"/>
              <w:spacing w:before="150" w:beforeAutospacing="0" w:after="150" w:afterAutospacing="0"/>
              <w:ind w:left="150" w:right="150"/>
              <w:rPr>
                <w:rFonts w:ascii="Arial" w:hAnsi="Arial" w:cs="Arial"/>
                <w:sz w:val="20"/>
                <w:szCs w:val="20"/>
              </w:rPr>
            </w:pPr>
            <w:r w:rsidRPr="00B50BC9">
              <w:rPr>
                <w:rFonts w:ascii="Arial" w:hAnsi="Arial" w:cs="Arial"/>
                <w:sz w:val="20"/>
                <w:szCs w:val="20"/>
              </w:rPr>
              <w:t>Development for a Park</w:t>
            </w:r>
            <w:r w:rsidRPr="00B50BC9">
              <w:rPr>
                <w:rFonts w:ascii="Arial" w:hAnsi="Arial" w:cs="Arial"/>
                <w:sz w:val="20"/>
                <w:szCs w:val="20"/>
                <w:vertAlign w:val="superscript"/>
              </w:rPr>
              <w:t>(</w:t>
            </w:r>
            <w:hyperlink r:id="rId16"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50BC9">
                <w:rPr>
                  <w:rStyle w:val="Hyperlink"/>
                  <w:rFonts w:ascii="Arial" w:hAnsi="Arial" w:cs="Arial"/>
                  <w:color w:val="auto"/>
                  <w:sz w:val="20"/>
                  <w:szCs w:val="20"/>
                  <w:vertAlign w:val="superscript"/>
                </w:rPr>
                <w:t>57</w:t>
              </w:r>
            </w:hyperlink>
            <w:r w:rsidRPr="00B50BC9">
              <w:rPr>
                <w:rFonts w:ascii="Arial" w:hAnsi="Arial" w:cs="Arial"/>
                <w:sz w:val="20"/>
                <w:szCs w:val="20"/>
                <w:vertAlign w:val="superscript"/>
              </w:rPr>
              <w:t>)</w:t>
            </w:r>
            <w:r w:rsidRPr="00B50BC9">
              <w:rPr>
                <w:rFonts w:ascii="Arial" w:hAnsi="Arial" w:cs="Arial"/>
                <w:sz w:val="20"/>
                <w:szCs w:val="20"/>
              </w:rPr>
              <w:t> ensures that the design and layout responds to the nature of the overland flow affecting the premises such that:</w:t>
            </w:r>
          </w:p>
          <w:p w:rsidR="005E5EF5" w:rsidRPr="00B50BC9" w:rsidRDefault="005E5EF5" w:rsidP="005E5EF5">
            <w:pPr>
              <w:pStyle w:val="NormalWeb"/>
              <w:numPr>
                <w:ilvl w:val="0"/>
                <w:numId w:val="20"/>
              </w:numPr>
              <w:shd w:val="clear" w:color="auto" w:fill="FFFFFF"/>
              <w:spacing w:before="150" w:beforeAutospacing="0" w:after="150" w:afterAutospacing="0"/>
              <w:ind w:right="150"/>
              <w:rPr>
                <w:rFonts w:ascii="Arial" w:hAnsi="Arial" w:cs="Arial"/>
                <w:sz w:val="20"/>
                <w:szCs w:val="20"/>
              </w:rPr>
            </w:pPr>
            <w:r w:rsidRPr="00B50BC9">
              <w:rPr>
                <w:rFonts w:ascii="Arial" w:hAnsi="Arial" w:cs="Arial"/>
                <w:sz w:val="20"/>
                <w:szCs w:val="20"/>
              </w:rPr>
              <w:t xml:space="preserve">public benefit and enjoyment </w:t>
            </w:r>
            <w:proofErr w:type="gramStart"/>
            <w:r w:rsidRPr="00B50BC9">
              <w:rPr>
                <w:rFonts w:ascii="Arial" w:hAnsi="Arial" w:cs="Arial"/>
                <w:sz w:val="20"/>
                <w:szCs w:val="20"/>
              </w:rPr>
              <w:t>is</w:t>
            </w:r>
            <w:proofErr w:type="gramEnd"/>
            <w:r w:rsidRPr="00B50BC9">
              <w:rPr>
                <w:rFonts w:ascii="Arial" w:hAnsi="Arial" w:cs="Arial"/>
                <w:sz w:val="20"/>
                <w:szCs w:val="20"/>
              </w:rPr>
              <w:t xml:space="preserve"> maximised;</w:t>
            </w:r>
          </w:p>
          <w:p w:rsidR="005E5EF5" w:rsidRPr="00B50BC9" w:rsidRDefault="005E5EF5" w:rsidP="005E5EF5">
            <w:pPr>
              <w:pStyle w:val="NormalWeb"/>
              <w:numPr>
                <w:ilvl w:val="0"/>
                <w:numId w:val="20"/>
              </w:numPr>
              <w:shd w:val="clear" w:color="auto" w:fill="FFFFFF"/>
              <w:spacing w:before="150" w:beforeAutospacing="0" w:after="150" w:afterAutospacing="0"/>
              <w:ind w:right="150"/>
              <w:rPr>
                <w:rFonts w:ascii="Arial" w:hAnsi="Arial" w:cs="Arial"/>
                <w:sz w:val="20"/>
                <w:szCs w:val="20"/>
              </w:rPr>
            </w:pPr>
            <w:r w:rsidRPr="00B50BC9">
              <w:rPr>
                <w:rFonts w:ascii="Arial" w:hAnsi="Arial" w:cs="Arial"/>
                <w:sz w:val="20"/>
                <w:szCs w:val="20"/>
              </w:rPr>
              <w:t>impacts on the asset life and integrity of park structures is minimised;</w:t>
            </w:r>
          </w:p>
          <w:p w:rsidR="00D42FF7" w:rsidRPr="00B50BC9" w:rsidRDefault="005E5EF5" w:rsidP="005E5EF5">
            <w:pPr>
              <w:pStyle w:val="NormalWeb"/>
              <w:numPr>
                <w:ilvl w:val="0"/>
                <w:numId w:val="20"/>
              </w:numPr>
              <w:shd w:val="clear" w:color="auto" w:fill="FFFFFF"/>
              <w:spacing w:before="150" w:beforeAutospacing="0" w:after="150" w:afterAutospacing="0"/>
              <w:ind w:right="150"/>
              <w:rPr>
                <w:rFonts w:ascii="Arial" w:hAnsi="Arial" w:cs="Arial"/>
                <w:sz w:val="20"/>
                <w:szCs w:val="20"/>
              </w:rPr>
            </w:pPr>
            <w:r w:rsidRPr="00B50BC9">
              <w:rPr>
                <w:rFonts w:ascii="Arial" w:hAnsi="Arial" w:cs="Arial"/>
                <w:sz w:val="20"/>
                <w:szCs w:val="20"/>
              </w:rPr>
              <w:t>maintenance and replacement costs are minimised.</w:t>
            </w:r>
          </w:p>
        </w:tc>
        <w:tc>
          <w:tcPr>
            <w:tcW w:w="1718" w:type="pct"/>
            <w:hideMark/>
          </w:tcPr>
          <w:p w:rsidR="005E5EF5" w:rsidRPr="005E5EF5" w:rsidRDefault="005E5EF5" w:rsidP="005E5EF5">
            <w:pPr>
              <w:shd w:val="clear" w:color="auto" w:fill="FFFFFF"/>
              <w:spacing w:before="150" w:after="150" w:line="240" w:lineRule="auto"/>
              <w:ind w:left="150" w:right="150"/>
              <w:rPr>
                <w:rFonts w:ascii="Arial" w:eastAsia="Times New Roman" w:hAnsi="Arial" w:cs="Arial"/>
                <w:sz w:val="20"/>
                <w:szCs w:val="20"/>
                <w:lang w:eastAsia="en-AU"/>
              </w:rPr>
            </w:pPr>
            <w:r w:rsidRPr="005E5EF5">
              <w:rPr>
                <w:rFonts w:ascii="Arial" w:eastAsia="Times New Roman" w:hAnsi="Arial" w:cs="Arial"/>
                <w:b/>
                <w:bCs/>
                <w:sz w:val="20"/>
                <w:szCs w:val="20"/>
                <w:lang w:eastAsia="en-AU"/>
              </w:rPr>
              <w:t>E4</w:t>
            </w:r>
            <w:r w:rsidR="00C77AC6">
              <w:rPr>
                <w:rFonts w:ascii="Arial" w:eastAsia="Times New Roman" w:hAnsi="Arial" w:cs="Arial"/>
                <w:b/>
                <w:bCs/>
                <w:sz w:val="20"/>
                <w:szCs w:val="20"/>
                <w:lang w:eastAsia="en-AU"/>
              </w:rPr>
              <w:t>7</w:t>
            </w:r>
          </w:p>
          <w:p w:rsidR="00D42FF7" w:rsidRPr="00B50BC9" w:rsidRDefault="005E5EF5" w:rsidP="00D603C1">
            <w:pPr>
              <w:shd w:val="clear" w:color="auto" w:fill="FFFFFF"/>
              <w:spacing w:before="150" w:after="150" w:line="240" w:lineRule="auto"/>
              <w:ind w:left="150" w:right="150"/>
              <w:rPr>
                <w:rFonts w:ascii="Arial" w:eastAsia="Times New Roman" w:hAnsi="Arial" w:cs="Arial"/>
                <w:sz w:val="20"/>
                <w:szCs w:val="20"/>
                <w:lang w:eastAsia="en-AU"/>
              </w:rPr>
            </w:pPr>
            <w:r w:rsidRPr="005E5EF5">
              <w:rPr>
                <w:rFonts w:ascii="Arial" w:eastAsia="Times New Roman" w:hAnsi="Arial" w:cs="Arial"/>
                <w:sz w:val="20"/>
                <w:szCs w:val="20"/>
                <w:lang w:eastAsia="en-AU"/>
              </w:rPr>
              <w:t>Development for a Park</w:t>
            </w:r>
            <w:r w:rsidRPr="005E5EF5">
              <w:rPr>
                <w:rFonts w:ascii="Arial" w:eastAsia="Times New Roman" w:hAnsi="Arial" w:cs="Arial"/>
                <w:sz w:val="20"/>
                <w:szCs w:val="20"/>
                <w:vertAlign w:val="superscript"/>
                <w:lang w:eastAsia="en-AU"/>
              </w:rPr>
              <w:t>(</w:t>
            </w:r>
            <w:hyperlink r:id="rId17"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5EF5">
                <w:rPr>
                  <w:rFonts w:ascii="Arial" w:eastAsia="Times New Roman" w:hAnsi="Arial" w:cs="Arial"/>
                  <w:sz w:val="20"/>
                  <w:szCs w:val="20"/>
                  <w:u w:val="single"/>
                  <w:vertAlign w:val="superscript"/>
                  <w:lang w:eastAsia="en-AU"/>
                </w:rPr>
                <w:t>57</w:t>
              </w:r>
            </w:hyperlink>
            <w:r w:rsidRPr="005E5EF5">
              <w:rPr>
                <w:rFonts w:ascii="Arial" w:eastAsia="Times New Roman" w:hAnsi="Arial" w:cs="Arial"/>
                <w:sz w:val="20"/>
                <w:szCs w:val="20"/>
                <w:vertAlign w:val="superscript"/>
                <w:lang w:eastAsia="en-AU"/>
              </w:rPr>
              <w:t>)</w:t>
            </w:r>
            <w:r w:rsidRPr="005E5EF5">
              <w:rPr>
                <w:rFonts w:ascii="Arial" w:eastAsia="Times New Roman" w:hAnsi="Arial" w:cs="Arial"/>
                <w:sz w:val="20"/>
                <w:szCs w:val="20"/>
                <w:lang w:eastAsia="en-AU"/>
              </w:rPr>
              <w:t> ensures works are provided in accordance with the requirements set out in Appendix B of the Planning scheme policy - Integrated Design.</w:t>
            </w:r>
          </w:p>
        </w:tc>
        <w:tc>
          <w:tcPr>
            <w:tcW w:w="574"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0" w:type="pct"/>
          </w:tcPr>
          <w:p w:rsidR="00D42FF7" w:rsidRPr="00B50BC9" w:rsidRDefault="00D42FF7" w:rsidP="00D42FF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77AC6" w:rsidRPr="00C77AC6" w:rsidRDefault="00C77AC6" w:rsidP="00C77AC6">
      <w:pPr>
        <w:rPr>
          <w:rFonts w:ascii="Arial" w:hAnsi="Arial" w:cs="Arial"/>
          <w:sz w:val="20"/>
          <w:szCs w:val="20"/>
        </w:rPr>
      </w:pPr>
    </w:p>
    <w:p w:rsidR="00C77AC6" w:rsidRPr="00C77AC6" w:rsidRDefault="00C77AC6" w:rsidP="00C77AC6">
      <w:pPr>
        <w:rPr>
          <w:rFonts w:ascii="Arial" w:hAnsi="Arial" w:cs="Arial"/>
          <w:sz w:val="20"/>
          <w:szCs w:val="20"/>
        </w:rPr>
      </w:pPr>
    </w:p>
    <w:p w:rsidR="00C77AC6" w:rsidRPr="00C77AC6" w:rsidRDefault="00C77AC6" w:rsidP="00C77AC6">
      <w:pPr>
        <w:tabs>
          <w:tab w:val="left" w:pos="2530"/>
        </w:tabs>
        <w:rPr>
          <w:rFonts w:ascii="Arial" w:hAnsi="Arial" w:cs="Arial"/>
          <w:sz w:val="20"/>
          <w:szCs w:val="20"/>
        </w:rPr>
      </w:pPr>
      <w:r>
        <w:rPr>
          <w:rFonts w:ascii="Arial" w:hAnsi="Arial" w:cs="Arial"/>
          <w:sz w:val="20"/>
          <w:szCs w:val="20"/>
        </w:rPr>
        <w:tab/>
      </w:r>
      <w:bookmarkStart w:id="0" w:name="_GoBack"/>
      <w:bookmarkEnd w:id="0"/>
    </w:p>
    <w:sectPr w:rsidR="00C77AC6" w:rsidRPr="00C77AC6" w:rsidSect="00D42FF7">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16E" w:rsidRDefault="005C316E" w:rsidP="00D42FF7">
      <w:pPr>
        <w:spacing w:after="0" w:line="240" w:lineRule="auto"/>
      </w:pPr>
      <w:r>
        <w:separator/>
      </w:r>
    </w:p>
  </w:endnote>
  <w:endnote w:type="continuationSeparator" w:id="0">
    <w:p w:rsidR="005C316E" w:rsidRDefault="005C316E" w:rsidP="00D4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D42FF7" w:rsidRPr="00D42FF7" w:rsidRDefault="00D42FF7">
        <w:pPr>
          <w:pStyle w:val="Footer"/>
          <w:rPr>
            <w:rFonts w:ascii="Arial" w:hAnsi="Arial" w:cs="Arial"/>
            <w:i/>
            <w:sz w:val="20"/>
            <w:szCs w:val="20"/>
          </w:rPr>
        </w:pPr>
        <w:r w:rsidRPr="00F65D35">
          <w:rPr>
            <w:rFonts w:ascii="Arial" w:hAnsi="Arial" w:cs="Arial"/>
            <w:i/>
            <w:sz w:val="20"/>
            <w:szCs w:val="20"/>
          </w:rPr>
          <w:t xml:space="preserve">MBRC Planning Scheme </w:t>
        </w:r>
        <w:r w:rsidR="00993DBF">
          <w:rPr>
            <w:rFonts w:ascii="Arial" w:hAnsi="Arial" w:cs="Arial"/>
            <w:i/>
            <w:sz w:val="20"/>
            <w:szCs w:val="20"/>
          </w:rPr>
          <w:t>V</w:t>
        </w:r>
        <w:r w:rsidR="00F56487">
          <w:rPr>
            <w:rFonts w:ascii="Arial" w:hAnsi="Arial" w:cs="Arial"/>
            <w:i/>
            <w:sz w:val="20"/>
            <w:szCs w:val="20"/>
          </w:rPr>
          <w:t>ersion 6</w:t>
        </w:r>
        <w:r w:rsidR="00993DBF">
          <w:rPr>
            <w:rFonts w:ascii="Arial" w:hAnsi="Arial" w:cs="Arial"/>
            <w:i/>
            <w:sz w:val="20"/>
            <w:szCs w:val="20"/>
          </w:rPr>
          <w:t xml:space="preserve"> </w:t>
        </w:r>
        <w:r w:rsidRPr="00F65D35">
          <w:rPr>
            <w:rFonts w:ascii="Arial" w:hAnsi="Arial" w:cs="Arial"/>
            <w:i/>
            <w:sz w:val="20"/>
            <w:szCs w:val="20"/>
          </w:rPr>
          <w:t xml:space="preserve">- </w:t>
        </w:r>
        <w:r>
          <w:rPr>
            <w:rFonts w:ascii="Arial" w:hAnsi="Arial" w:cs="Arial"/>
            <w:i/>
            <w:sz w:val="20"/>
            <w:szCs w:val="20"/>
          </w:rPr>
          <w:t>Caboolture West local plan</w:t>
        </w:r>
        <w:r w:rsidRPr="00F65D35">
          <w:rPr>
            <w:rFonts w:ascii="Arial" w:hAnsi="Arial" w:cs="Arial"/>
            <w:i/>
            <w:sz w:val="20"/>
            <w:szCs w:val="20"/>
          </w:rPr>
          <w:t xml:space="preserve"> -</w:t>
        </w:r>
        <w:r>
          <w:rPr>
            <w:rFonts w:ascii="Arial" w:hAnsi="Arial" w:cs="Arial"/>
            <w:i/>
            <w:sz w:val="20"/>
            <w:szCs w:val="20"/>
          </w:rPr>
          <w:t xml:space="preserve"> Reconfiguring a lot code - Green network precinct</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w:t>
        </w:r>
        <w:r>
          <w:rPr>
            <w:rFonts w:ascii="Arial" w:hAnsi="Arial" w:cs="Arial"/>
            <w:i/>
            <w:sz w:val="20"/>
            <w:szCs w:val="20"/>
          </w:rPr>
          <w:tab/>
        </w:r>
        <w:r w:rsidR="00993DBF">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ED11BE">
          <w:rPr>
            <w:rFonts w:ascii="Arial" w:hAnsi="Arial" w:cs="Arial"/>
            <w:noProof/>
            <w:sz w:val="20"/>
            <w:szCs w:val="20"/>
          </w:rPr>
          <w:t>11</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16E" w:rsidRDefault="005C316E" w:rsidP="00D42FF7">
      <w:pPr>
        <w:spacing w:after="0" w:line="240" w:lineRule="auto"/>
      </w:pPr>
      <w:r>
        <w:separator/>
      </w:r>
    </w:p>
  </w:footnote>
  <w:footnote w:type="continuationSeparator" w:id="0">
    <w:p w:rsidR="005C316E" w:rsidRDefault="005C316E" w:rsidP="00D42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1C86"/>
    <w:multiLevelType w:val="multilevel"/>
    <w:tmpl w:val="043CD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0F3D18"/>
    <w:multiLevelType w:val="multilevel"/>
    <w:tmpl w:val="0666D3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DD3DA9"/>
    <w:multiLevelType w:val="multilevel"/>
    <w:tmpl w:val="6A500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0B187B"/>
    <w:multiLevelType w:val="multilevel"/>
    <w:tmpl w:val="D52EF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D72A25"/>
    <w:multiLevelType w:val="multilevel"/>
    <w:tmpl w:val="23FE2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7813FD"/>
    <w:multiLevelType w:val="multilevel"/>
    <w:tmpl w:val="EBD86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5B5A15"/>
    <w:multiLevelType w:val="multilevel"/>
    <w:tmpl w:val="304C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7B94468"/>
    <w:multiLevelType w:val="multilevel"/>
    <w:tmpl w:val="0CD0FC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FD6FE8"/>
    <w:multiLevelType w:val="multilevel"/>
    <w:tmpl w:val="C6AE98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A1375AA"/>
    <w:multiLevelType w:val="multilevel"/>
    <w:tmpl w:val="AA66B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DDD6173"/>
    <w:multiLevelType w:val="multilevel"/>
    <w:tmpl w:val="9634B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E387806"/>
    <w:multiLevelType w:val="multilevel"/>
    <w:tmpl w:val="C10686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132D7A"/>
    <w:multiLevelType w:val="multilevel"/>
    <w:tmpl w:val="CAE2B8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4BC0B0A"/>
    <w:multiLevelType w:val="multilevel"/>
    <w:tmpl w:val="830A8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312218"/>
    <w:multiLevelType w:val="multilevel"/>
    <w:tmpl w:val="34E0F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4765F1"/>
    <w:multiLevelType w:val="multilevel"/>
    <w:tmpl w:val="5C742C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FA9305B"/>
    <w:multiLevelType w:val="multilevel"/>
    <w:tmpl w:val="AB66D6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827472"/>
    <w:multiLevelType w:val="multilevel"/>
    <w:tmpl w:val="324CD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E3B1A51"/>
    <w:multiLevelType w:val="multilevel"/>
    <w:tmpl w:val="BC4682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E754679"/>
    <w:multiLevelType w:val="multilevel"/>
    <w:tmpl w:val="C76CF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D77E16"/>
    <w:multiLevelType w:val="multilevel"/>
    <w:tmpl w:val="B36E2F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95F107E"/>
    <w:multiLevelType w:val="multilevel"/>
    <w:tmpl w:val="CD549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9883612"/>
    <w:multiLevelType w:val="multilevel"/>
    <w:tmpl w:val="FC70F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097A73"/>
    <w:multiLevelType w:val="multilevel"/>
    <w:tmpl w:val="AB906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B443C3C"/>
    <w:multiLevelType w:val="multilevel"/>
    <w:tmpl w:val="309C52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DAE5561"/>
    <w:multiLevelType w:val="multilevel"/>
    <w:tmpl w:val="880A52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E3A5948"/>
    <w:multiLevelType w:val="multilevel"/>
    <w:tmpl w:val="B7A0E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1814A6"/>
    <w:multiLevelType w:val="multilevel"/>
    <w:tmpl w:val="B9CC6D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FD72A7A"/>
    <w:multiLevelType w:val="multilevel"/>
    <w:tmpl w:val="AF82C42C"/>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30" w15:restartNumberingAfterBreak="0">
    <w:nsid w:val="56A07BBA"/>
    <w:multiLevelType w:val="multilevel"/>
    <w:tmpl w:val="DDE41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E06DA9"/>
    <w:multiLevelType w:val="multilevel"/>
    <w:tmpl w:val="70B8A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89055C5"/>
    <w:multiLevelType w:val="multilevel"/>
    <w:tmpl w:val="74DA3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91179F8"/>
    <w:multiLevelType w:val="multilevel"/>
    <w:tmpl w:val="D9EE3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004065D"/>
    <w:multiLevelType w:val="multilevel"/>
    <w:tmpl w:val="7BEC9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34D2199"/>
    <w:multiLevelType w:val="multilevel"/>
    <w:tmpl w:val="450A0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54F2753"/>
    <w:multiLevelType w:val="multilevel"/>
    <w:tmpl w:val="A2F62D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7CBA38F7"/>
    <w:multiLevelType w:val="multilevel"/>
    <w:tmpl w:val="3A369A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7D464150"/>
    <w:multiLevelType w:val="multilevel"/>
    <w:tmpl w:val="A6BAB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FAF2942"/>
    <w:multiLevelType w:val="multilevel"/>
    <w:tmpl w:val="06A2B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8"/>
  </w:num>
  <w:num w:numId="3">
    <w:abstractNumId w:val="30"/>
  </w:num>
  <w:num w:numId="4">
    <w:abstractNumId w:val="0"/>
  </w:num>
  <w:num w:numId="5">
    <w:abstractNumId w:val="16"/>
  </w:num>
  <w:num w:numId="6">
    <w:abstractNumId w:val="13"/>
  </w:num>
  <w:num w:numId="7">
    <w:abstractNumId w:val="31"/>
  </w:num>
  <w:num w:numId="8">
    <w:abstractNumId w:val="34"/>
  </w:num>
  <w:num w:numId="9">
    <w:abstractNumId w:val="32"/>
  </w:num>
  <w:num w:numId="10">
    <w:abstractNumId w:val="27"/>
  </w:num>
  <w:num w:numId="11">
    <w:abstractNumId w:val="19"/>
  </w:num>
  <w:num w:numId="12">
    <w:abstractNumId w:val="1"/>
  </w:num>
  <w:num w:numId="13">
    <w:abstractNumId w:val="26"/>
  </w:num>
  <w:num w:numId="14">
    <w:abstractNumId w:val="37"/>
  </w:num>
  <w:num w:numId="15">
    <w:abstractNumId w:val="10"/>
  </w:num>
  <w:num w:numId="16">
    <w:abstractNumId w:val="8"/>
  </w:num>
  <w:num w:numId="17">
    <w:abstractNumId w:val="11"/>
  </w:num>
  <w:num w:numId="18">
    <w:abstractNumId w:val="23"/>
  </w:num>
  <w:num w:numId="19">
    <w:abstractNumId w:val="18"/>
  </w:num>
  <w:num w:numId="20">
    <w:abstractNumId w:val="38"/>
  </w:num>
  <w:num w:numId="21">
    <w:abstractNumId w:val="6"/>
  </w:num>
  <w:num w:numId="22">
    <w:abstractNumId w:val="7"/>
  </w:num>
  <w:num w:numId="23">
    <w:abstractNumId w:val="35"/>
  </w:num>
  <w:num w:numId="24">
    <w:abstractNumId w:val="15"/>
  </w:num>
  <w:num w:numId="25">
    <w:abstractNumId w:val="9"/>
  </w:num>
  <w:num w:numId="26">
    <w:abstractNumId w:val="24"/>
  </w:num>
  <w:num w:numId="27">
    <w:abstractNumId w:val="20"/>
  </w:num>
  <w:num w:numId="28">
    <w:abstractNumId w:val="2"/>
  </w:num>
  <w:num w:numId="29">
    <w:abstractNumId w:val="5"/>
  </w:num>
  <w:num w:numId="30">
    <w:abstractNumId w:val="36"/>
  </w:num>
  <w:num w:numId="31">
    <w:abstractNumId w:val="12"/>
  </w:num>
  <w:num w:numId="32">
    <w:abstractNumId w:val="29"/>
  </w:num>
  <w:num w:numId="33">
    <w:abstractNumId w:val="21"/>
  </w:num>
  <w:num w:numId="34">
    <w:abstractNumId w:val="25"/>
  </w:num>
  <w:num w:numId="35">
    <w:abstractNumId w:val="3"/>
  </w:num>
  <w:num w:numId="36">
    <w:abstractNumId w:val="33"/>
  </w:num>
  <w:num w:numId="37">
    <w:abstractNumId w:val="4"/>
  </w:num>
  <w:num w:numId="38">
    <w:abstractNumId w:val="39"/>
  </w:num>
  <w:num w:numId="39">
    <w:abstractNumId w:val="1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F7"/>
    <w:rsid w:val="00031EC8"/>
    <w:rsid w:val="000A3D33"/>
    <w:rsid w:val="000E131B"/>
    <w:rsid w:val="000F19DA"/>
    <w:rsid w:val="000F6816"/>
    <w:rsid w:val="003A551F"/>
    <w:rsid w:val="004048A9"/>
    <w:rsid w:val="00423D8E"/>
    <w:rsid w:val="0045589B"/>
    <w:rsid w:val="004E0E41"/>
    <w:rsid w:val="0053664F"/>
    <w:rsid w:val="005C316E"/>
    <w:rsid w:val="005E5EF5"/>
    <w:rsid w:val="005F3D15"/>
    <w:rsid w:val="00641E2E"/>
    <w:rsid w:val="008A1BB1"/>
    <w:rsid w:val="009556C7"/>
    <w:rsid w:val="00993DBF"/>
    <w:rsid w:val="009C0EC5"/>
    <w:rsid w:val="00A00419"/>
    <w:rsid w:val="00B442F6"/>
    <w:rsid w:val="00B50BC9"/>
    <w:rsid w:val="00C77AC6"/>
    <w:rsid w:val="00D42FF7"/>
    <w:rsid w:val="00D603C1"/>
    <w:rsid w:val="00DE4D2A"/>
    <w:rsid w:val="00ED11BE"/>
    <w:rsid w:val="00F56487"/>
    <w:rsid w:val="00FB6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BBE8"/>
  <w15:chartTrackingRefBased/>
  <w15:docId w15:val="{54836EA8-2235-44A9-BE25-ECB58E08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42FF7"/>
    <w:rPr>
      <w:i/>
      <w:iCs/>
    </w:rPr>
  </w:style>
  <w:style w:type="character" w:styleId="Strong">
    <w:name w:val="Strong"/>
    <w:basedOn w:val="DefaultParagraphFont"/>
    <w:uiPriority w:val="22"/>
    <w:qFormat/>
    <w:rsid w:val="00D42FF7"/>
    <w:rPr>
      <w:b/>
      <w:bCs/>
    </w:rPr>
  </w:style>
  <w:style w:type="paragraph" w:styleId="ListParagraph">
    <w:name w:val="List Paragraph"/>
    <w:basedOn w:val="Normal"/>
    <w:uiPriority w:val="34"/>
    <w:qFormat/>
    <w:rsid w:val="00D42FF7"/>
    <w:pPr>
      <w:spacing w:after="200" w:line="276" w:lineRule="auto"/>
      <w:ind w:left="720"/>
      <w:contextualSpacing/>
    </w:pPr>
    <w:rPr>
      <w:rFonts w:ascii="Arial" w:hAnsi="Arial"/>
    </w:rPr>
  </w:style>
  <w:style w:type="paragraph" w:styleId="Header">
    <w:name w:val="header"/>
    <w:basedOn w:val="Normal"/>
    <w:link w:val="HeaderChar"/>
    <w:uiPriority w:val="99"/>
    <w:unhideWhenUsed/>
    <w:rsid w:val="00D42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FF7"/>
  </w:style>
  <w:style w:type="paragraph" w:styleId="Footer">
    <w:name w:val="footer"/>
    <w:basedOn w:val="Normal"/>
    <w:link w:val="FooterChar"/>
    <w:uiPriority w:val="99"/>
    <w:unhideWhenUsed/>
    <w:rsid w:val="00D42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FF7"/>
  </w:style>
  <w:style w:type="paragraph" w:styleId="NormalWeb">
    <w:name w:val="Normal (Web)"/>
    <w:basedOn w:val="Normal"/>
    <w:uiPriority w:val="99"/>
    <w:unhideWhenUsed/>
    <w:rsid w:val="0045589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45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E5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5363">
      <w:bodyDiv w:val="1"/>
      <w:marLeft w:val="0"/>
      <w:marRight w:val="0"/>
      <w:marTop w:val="0"/>
      <w:marBottom w:val="0"/>
      <w:divBdr>
        <w:top w:val="none" w:sz="0" w:space="0" w:color="auto"/>
        <w:left w:val="none" w:sz="0" w:space="0" w:color="auto"/>
        <w:bottom w:val="none" w:sz="0" w:space="0" w:color="auto"/>
        <w:right w:val="none" w:sz="0" w:space="0" w:color="auto"/>
      </w:divBdr>
    </w:div>
    <w:div w:id="232475332">
      <w:bodyDiv w:val="1"/>
      <w:marLeft w:val="0"/>
      <w:marRight w:val="0"/>
      <w:marTop w:val="0"/>
      <w:marBottom w:val="0"/>
      <w:divBdr>
        <w:top w:val="none" w:sz="0" w:space="0" w:color="auto"/>
        <w:left w:val="none" w:sz="0" w:space="0" w:color="auto"/>
        <w:bottom w:val="none" w:sz="0" w:space="0" w:color="auto"/>
        <w:right w:val="none" w:sz="0" w:space="0" w:color="auto"/>
      </w:divBdr>
    </w:div>
    <w:div w:id="457573927">
      <w:bodyDiv w:val="1"/>
      <w:marLeft w:val="0"/>
      <w:marRight w:val="0"/>
      <w:marTop w:val="0"/>
      <w:marBottom w:val="0"/>
      <w:divBdr>
        <w:top w:val="none" w:sz="0" w:space="0" w:color="auto"/>
        <w:left w:val="none" w:sz="0" w:space="0" w:color="auto"/>
        <w:bottom w:val="none" w:sz="0" w:space="0" w:color="auto"/>
        <w:right w:val="none" w:sz="0" w:space="0" w:color="auto"/>
      </w:divBdr>
    </w:div>
    <w:div w:id="638656989">
      <w:bodyDiv w:val="1"/>
      <w:marLeft w:val="0"/>
      <w:marRight w:val="0"/>
      <w:marTop w:val="0"/>
      <w:marBottom w:val="0"/>
      <w:divBdr>
        <w:top w:val="none" w:sz="0" w:space="0" w:color="auto"/>
        <w:left w:val="none" w:sz="0" w:space="0" w:color="auto"/>
        <w:bottom w:val="none" w:sz="0" w:space="0" w:color="auto"/>
        <w:right w:val="none" w:sz="0" w:space="0" w:color="auto"/>
      </w:divBdr>
    </w:div>
    <w:div w:id="705712839">
      <w:bodyDiv w:val="1"/>
      <w:marLeft w:val="0"/>
      <w:marRight w:val="0"/>
      <w:marTop w:val="0"/>
      <w:marBottom w:val="0"/>
      <w:divBdr>
        <w:top w:val="none" w:sz="0" w:space="0" w:color="auto"/>
        <w:left w:val="none" w:sz="0" w:space="0" w:color="auto"/>
        <w:bottom w:val="none" w:sz="0" w:space="0" w:color="auto"/>
        <w:right w:val="none" w:sz="0" w:space="0" w:color="auto"/>
      </w:divBdr>
    </w:div>
    <w:div w:id="735977202">
      <w:bodyDiv w:val="1"/>
      <w:marLeft w:val="0"/>
      <w:marRight w:val="0"/>
      <w:marTop w:val="0"/>
      <w:marBottom w:val="0"/>
      <w:divBdr>
        <w:top w:val="none" w:sz="0" w:space="0" w:color="auto"/>
        <w:left w:val="none" w:sz="0" w:space="0" w:color="auto"/>
        <w:bottom w:val="none" w:sz="0" w:space="0" w:color="auto"/>
        <w:right w:val="none" w:sz="0" w:space="0" w:color="auto"/>
      </w:divBdr>
    </w:div>
    <w:div w:id="891815568">
      <w:bodyDiv w:val="1"/>
      <w:marLeft w:val="0"/>
      <w:marRight w:val="0"/>
      <w:marTop w:val="0"/>
      <w:marBottom w:val="0"/>
      <w:divBdr>
        <w:top w:val="none" w:sz="0" w:space="0" w:color="auto"/>
        <w:left w:val="none" w:sz="0" w:space="0" w:color="auto"/>
        <w:bottom w:val="none" w:sz="0" w:space="0" w:color="auto"/>
        <w:right w:val="none" w:sz="0" w:space="0" w:color="auto"/>
      </w:divBdr>
    </w:div>
    <w:div w:id="964770041">
      <w:bodyDiv w:val="1"/>
      <w:marLeft w:val="0"/>
      <w:marRight w:val="0"/>
      <w:marTop w:val="0"/>
      <w:marBottom w:val="0"/>
      <w:divBdr>
        <w:top w:val="none" w:sz="0" w:space="0" w:color="auto"/>
        <w:left w:val="none" w:sz="0" w:space="0" w:color="auto"/>
        <w:bottom w:val="none" w:sz="0" w:space="0" w:color="auto"/>
        <w:right w:val="none" w:sz="0" w:space="0" w:color="auto"/>
      </w:divBdr>
    </w:div>
    <w:div w:id="1014185715">
      <w:bodyDiv w:val="1"/>
      <w:marLeft w:val="0"/>
      <w:marRight w:val="0"/>
      <w:marTop w:val="0"/>
      <w:marBottom w:val="0"/>
      <w:divBdr>
        <w:top w:val="none" w:sz="0" w:space="0" w:color="auto"/>
        <w:left w:val="none" w:sz="0" w:space="0" w:color="auto"/>
        <w:bottom w:val="none" w:sz="0" w:space="0" w:color="auto"/>
        <w:right w:val="none" w:sz="0" w:space="0" w:color="auto"/>
      </w:divBdr>
    </w:div>
    <w:div w:id="1164128204">
      <w:bodyDiv w:val="1"/>
      <w:marLeft w:val="0"/>
      <w:marRight w:val="0"/>
      <w:marTop w:val="0"/>
      <w:marBottom w:val="0"/>
      <w:divBdr>
        <w:top w:val="none" w:sz="0" w:space="0" w:color="auto"/>
        <w:left w:val="none" w:sz="0" w:space="0" w:color="auto"/>
        <w:bottom w:val="none" w:sz="0" w:space="0" w:color="auto"/>
        <w:right w:val="none" w:sz="0" w:space="0" w:color="auto"/>
      </w:divBdr>
    </w:div>
    <w:div w:id="1320883713">
      <w:bodyDiv w:val="1"/>
      <w:marLeft w:val="0"/>
      <w:marRight w:val="0"/>
      <w:marTop w:val="0"/>
      <w:marBottom w:val="0"/>
      <w:divBdr>
        <w:top w:val="none" w:sz="0" w:space="0" w:color="auto"/>
        <w:left w:val="none" w:sz="0" w:space="0" w:color="auto"/>
        <w:bottom w:val="none" w:sz="0" w:space="0" w:color="auto"/>
        <w:right w:val="none" w:sz="0" w:space="0" w:color="auto"/>
      </w:divBdr>
      <w:divsChild>
        <w:div w:id="476843077">
          <w:marLeft w:val="0"/>
          <w:marRight w:val="0"/>
          <w:marTop w:val="0"/>
          <w:marBottom w:val="0"/>
          <w:divBdr>
            <w:top w:val="none" w:sz="0" w:space="0" w:color="auto"/>
            <w:left w:val="none" w:sz="0" w:space="0" w:color="auto"/>
            <w:bottom w:val="none" w:sz="0" w:space="0" w:color="auto"/>
            <w:right w:val="none" w:sz="0" w:space="0" w:color="auto"/>
          </w:divBdr>
          <w:divsChild>
            <w:div w:id="2041665363">
              <w:marLeft w:val="0"/>
              <w:marRight w:val="0"/>
              <w:marTop w:val="150"/>
              <w:marBottom w:val="0"/>
              <w:divBdr>
                <w:top w:val="none" w:sz="0" w:space="0" w:color="auto"/>
                <w:left w:val="none" w:sz="0" w:space="0" w:color="auto"/>
                <w:bottom w:val="none" w:sz="0" w:space="0" w:color="auto"/>
                <w:right w:val="none" w:sz="0" w:space="0" w:color="auto"/>
              </w:divBdr>
              <w:divsChild>
                <w:div w:id="679504290">
                  <w:marLeft w:val="3300"/>
                  <w:marRight w:val="0"/>
                  <w:marTop w:val="0"/>
                  <w:marBottom w:val="0"/>
                  <w:divBdr>
                    <w:top w:val="none" w:sz="0" w:space="0" w:color="auto"/>
                    <w:left w:val="none" w:sz="0" w:space="0" w:color="auto"/>
                    <w:bottom w:val="none" w:sz="0" w:space="0" w:color="auto"/>
                    <w:right w:val="none" w:sz="0" w:space="0" w:color="auto"/>
                  </w:divBdr>
                  <w:divsChild>
                    <w:div w:id="721565958">
                      <w:marLeft w:val="0"/>
                      <w:marRight w:val="0"/>
                      <w:marTop w:val="0"/>
                      <w:marBottom w:val="0"/>
                      <w:divBdr>
                        <w:top w:val="single" w:sz="6" w:space="7" w:color="A8A8A8"/>
                        <w:left w:val="single" w:sz="2" w:space="14" w:color="A8A8A8"/>
                        <w:bottom w:val="single" w:sz="6" w:space="7" w:color="A8A8A8"/>
                        <w:right w:val="single" w:sz="2" w:space="14" w:color="A8A8A8"/>
                      </w:divBdr>
                      <w:divsChild>
                        <w:div w:id="2142454443">
                          <w:marLeft w:val="0"/>
                          <w:marRight w:val="0"/>
                          <w:marTop w:val="0"/>
                          <w:marBottom w:val="0"/>
                          <w:divBdr>
                            <w:top w:val="none" w:sz="0" w:space="0" w:color="auto"/>
                            <w:left w:val="none" w:sz="0" w:space="0" w:color="auto"/>
                            <w:bottom w:val="none" w:sz="0" w:space="0" w:color="auto"/>
                            <w:right w:val="none" w:sz="0" w:space="0" w:color="auto"/>
                          </w:divBdr>
                          <w:divsChild>
                            <w:div w:id="1055352332">
                              <w:marLeft w:val="0"/>
                              <w:marRight w:val="0"/>
                              <w:marTop w:val="0"/>
                              <w:marBottom w:val="0"/>
                              <w:divBdr>
                                <w:top w:val="none" w:sz="0" w:space="0" w:color="auto"/>
                                <w:left w:val="none" w:sz="0" w:space="0" w:color="auto"/>
                                <w:bottom w:val="none" w:sz="0" w:space="0" w:color="auto"/>
                                <w:right w:val="none" w:sz="0" w:space="0" w:color="auto"/>
                              </w:divBdr>
                              <w:divsChild>
                                <w:div w:id="81489766">
                                  <w:marLeft w:val="0"/>
                                  <w:marRight w:val="0"/>
                                  <w:marTop w:val="0"/>
                                  <w:marBottom w:val="0"/>
                                  <w:divBdr>
                                    <w:top w:val="none" w:sz="0" w:space="0" w:color="auto"/>
                                    <w:left w:val="none" w:sz="0" w:space="0" w:color="auto"/>
                                    <w:bottom w:val="none" w:sz="0" w:space="0" w:color="auto"/>
                                    <w:right w:val="none" w:sz="0" w:space="0" w:color="auto"/>
                                  </w:divBdr>
                                  <w:divsChild>
                                    <w:div w:id="510798567">
                                      <w:marLeft w:val="0"/>
                                      <w:marRight w:val="0"/>
                                      <w:marTop w:val="0"/>
                                      <w:marBottom w:val="0"/>
                                      <w:divBdr>
                                        <w:top w:val="none" w:sz="0" w:space="0" w:color="auto"/>
                                        <w:left w:val="none" w:sz="0" w:space="0" w:color="auto"/>
                                        <w:bottom w:val="none" w:sz="0" w:space="0" w:color="auto"/>
                                        <w:right w:val="none" w:sz="0" w:space="0" w:color="auto"/>
                                      </w:divBdr>
                                      <w:divsChild>
                                        <w:div w:id="1040982820">
                                          <w:marLeft w:val="0"/>
                                          <w:marRight w:val="0"/>
                                          <w:marTop w:val="0"/>
                                          <w:marBottom w:val="0"/>
                                          <w:divBdr>
                                            <w:top w:val="none" w:sz="0" w:space="0" w:color="auto"/>
                                            <w:left w:val="none" w:sz="0" w:space="0" w:color="auto"/>
                                            <w:bottom w:val="none" w:sz="0" w:space="0" w:color="auto"/>
                                            <w:right w:val="none" w:sz="0" w:space="0" w:color="auto"/>
                                          </w:divBdr>
                                          <w:divsChild>
                                            <w:div w:id="412358372">
                                              <w:marLeft w:val="0"/>
                                              <w:marRight w:val="0"/>
                                              <w:marTop w:val="0"/>
                                              <w:marBottom w:val="0"/>
                                              <w:divBdr>
                                                <w:top w:val="none" w:sz="0" w:space="0" w:color="auto"/>
                                                <w:left w:val="none" w:sz="0" w:space="0" w:color="auto"/>
                                                <w:bottom w:val="none" w:sz="0" w:space="0" w:color="auto"/>
                                                <w:right w:val="none" w:sz="0" w:space="0" w:color="auto"/>
                                              </w:divBdr>
                                              <w:divsChild>
                                                <w:div w:id="1781142161">
                                                  <w:marLeft w:val="0"/>
                                                  <w:marRight w:val="0"/>
                                                  <w:marTop w:val="0"/>
                                                  <w:marBottom w:val="0"/>
                                                  <w:divBdr>
                                                    <w:top w:val="none" w:sz="0" w:space="0" w:color="auto"/>
                                                    <w:left w:val="none" w:sz="0" w:space="0" w:color="auto"/>
                                                    <w:bottom w:val="none" w:sz="0" w:space="0" w:color="auto"/>
                                                    <w:right w:val="none" w:sz="0" w:space="0" w:color="auto"/>
                                                  </w:divBdr>
                                                  <w:divsChild>
                                                    <w:div w:id="1741096199">
                                                      <w:marLeft w:val="0"/>
                                                      <w:marRight w:val="0"/>
                                                      <w:marTop w:val="0"/>
                                                      <w:marBottom w:val="0"/>
                                                      <w:divBdr>
                                                        <w:top w:val="none" w:sz="0" w:space="0" w:color="auto"/>
                                                        <w:left w:val="none" w:sz="0" w:space="0" w:color="auto"/>
                                                        <w:bottom w:val="none" w:sz="0" w:space="0" w:color="auto"/>
                                                        <w:right w:val="none" w:sz="0" w:space="0" w:color="auto"/>
                                                      </w:divBdr>
                                                    </w:div>
                                                  </w:divsChild>
                                                </w:div>
                                                <w:div w:id="855539229">
                                                  <w:marLeft w:val="0"/>
                                                  <w:marRight w:val="0"/>
                                                  <w:marTop w:val="0"/>
                                                  <w:marBottom w:val="0"/>
                                                  <w:divBdr>
                                                    <w:top w:val="none" w:sz="0" w:space="0" w:color="auto"/>
                                                    <w:left w:val="none" w:sz="0" w:space="0" w:color="auto"/>
                                                    <w:bottom w:val="none" w:sz="0" w:space="0" w:color="auto"/>
                                                    <w:right w:val="none" w:sz="0" w:space="0" w:color="auto"/>
                                                  </w:divBdr>
                                                  <w:divsChild>
                                                    <w:div w:id="1011417626">
                                                      <w:marLeft w:val="0"/>
                                                      <w:marRight w:val="0"/>
                                                      <w:marTop w:val="0"/>
                                                      <w:marBottom w:val="0"/>
                                                      <w:divBdr>
                                                        <w:top w:val="none" w:sz="0" w:space="0" w:color="auto"/>
                                                        <w:left w:val="none" w:sz="0" w:space="0" w:color="auto"/>
                                                        <w:bottom w:val="none" w:sz="0" w:space="0" w:color="auto"/>
                                                        <w:right w:val="none" w:sz="0" w:space="0" w:color="auto"/>
                                                      </w:divBdr>
                                                    </w:div>
                                                  </w:divsChild>
                                                </w:div>
                                                <w:div w:id="580912143">
                                                  <w:marLeft w:val="0"/>
                                                  <w:marRight w:val="0"/>
                                                  <w:marTop w:val="0"/>
                                                  <w:marBottom w:val="0"/>
                                                  <w:divBdr>
                                                    <w:top w:val="none" w:sz="0" w:space="0" w:color="auto"/>
                                                    <w:left w:val="none" w:sz="0" w:space="0" w:color="auto"/>
                                                    <w:bottom w:val="none" w:sz="0" w:space="0" w:color="auto"/>
                                                    <w:right w:val="none" w:sz="0" w:space="0" w:color="auto"/>
                                                  </w:divBdr>
                                                  <w:divsChild>
                                                    <w:div w:id="896890332">
                                                      <w:marLeft w:val="0"/>
                                                      <w:marRight w:val="0"/>
                                                      <w:marTop w:val="0"/>
                                                      <w:marBottom w:val="0"/>
                                                      <w:divBdr>
                                                        <w:top w:val="none" w:sz="0" w:space="0" w:color="auto"/>
                                                        <w:left w:val="none" w:sz="0" w:space="0" w:color="auto"/>
                                                        <w:bottom w:val="none" w:sz="0" w:space="0" w:color="auto"/>
                                                        <w:right w:val="none" w:sz="0" w:space="0" w:color="auto"/>
                                                      </w:divBdr>
                                                    </w:div>
                                                  </w:divsChild>
                                                </w:div>
                                                <w:div w:id="982194180">
                                                  <w:marLeft w:val="0"/>
                                                  <w:marRight w:val="0"/>
                                                  <w:marTop w:val="0"/>
                                                  <w:marBottom w:val="0"/>
                                                  <w:divBdr>
                                                    <w:top w:val="none" w:sz="0" w:space="0" w:color="auto"/>
                                                    <w:left w:val="none" w:sz="0" w:space="0" w:color="auto"/>
                                                    <w:bottom w:val="none" w:sz="0" w:space="0" w:color="auto"/>
                                                    <w:right w:val="none" w:sz="0" w:space="0" w:color="auto"/>
                                                  </w:divBdr>
                                                  <w:divsChild>
                                                    <w:div w:id="349646636">
                                                      <w:marLeft w:val="0"/>
                                                      <w:marRight w:val="0"/>
                                                      <w:marTop w:val="0"/>
                                                      <w:marBottom w:val="0"/>
                                                      <w:divBdr>
                                                        <w:top w:val="none" w:sz="0" w:space="0" w:color="auto"/>
                                                        <w:left w:val="none" w:sz="0" w:space="0" w:color="auto"/>
                                                        <w:bottom w:val="none" w:sz="0" w:space="0" w:color="auto"/>
                                                        <w:right w:val="none" w:sz="0" w:space="0" w:color="auto"/>
                                                      </w:divBdr>
                                                    </w:div>
                                                  </w:divsChild>
                                                </w:div>
                                                <w:div w:id="562833153">
                                                  <w:marLeft w:val="0"/>
                                                  <w:marRight w:val="0"/>
                                                  <w:marTop w:val="0"/>
                                                  <w:marBottom w:val="0"/>
                                                  <w:divBdr>
                                                    <w:top w:val="none" w:sz="0" w:space="0" w:color="auto"/>
                                                    <w:left w:val="none" w:sz="0" w:space="0" w:color="auto"/>
                                                    <w:bottom w:val="none" w:sz="0" w:space="0" w:color="auto"/>
                                                    <w:right w:val="none" w:sz="0" w:space="0" w:color="auto"/>
                                                  </w:divBdr>
                                                  <w:divsChild>
                                                    <w:div w:id="313607207">
                                                      <w:marLeft w:val="0"/>
                                                      <w:marRight w:val="0"/>
                                                      <w:marTop w:val="0"/>
                                                      <w:marBottom w:val="0"/>
                                                      <w:divBdr>
                                                        <w:top w:val="none" w:sz="0" w:space="0" w:color="auto"/>
                                                        <w:left w:val="none" w:sz="0" w:space="0" w:color="auto"/>
                                                        <w:bottom w:val="none" w:sz="0" w:space="0" w:color="auto"/>
                                                        <w:right w:val="none" w:sz="0" w:space="0" w:color="auto"/>
                                                      </w:divBdr>
                                                    </w:div>
                                                  </w:divsChild>
                                                </w:div>
                                                <w:div w:id="1439251795">
                                                  <w:marLeft w:val="0"/>
                                                  <w:marRight w:val="0"/>
                                                  <w:marTop w:val="0"/>
                                                  <w:marBottom w:val="0"/>
                                                  <w:divBdr>
                                                    <w:top w:val="none" w:sz="0" w:space="0" w:color="auto"/>
                                                    <w:left w:val="none" w:sz="0" w:space="0" w:color="auto"/>
                                                    <w:bottom w:val="none" w:sz="0" w:space="0" w:color="auto"/>
                                                    <w:right w:val="none" w:sz="0" w:space="0" w:color="auto"/>
                                                  </w:divBdr>
                                                  <w:divsChild>
                                                    <w:div w:id="1568372987">
                                                      <w:marLeft w:val="0"/>
                                                      <w:marRight w:val="0"/>
                                                      <w:marTop w:val="0"/>
                                                      <w:marBottom w:val="0"/>
                                                      <w:divBdr>
                                                        <w:top w:val="none" w:sz="0" w:space="0" w:color="auto"/>
                                                        <w:left w:val="none" w:sz="0" w:space="0" w:color="auto"/>
                                                        <w:bottom w:val="none" w:sz="0" w:space="0" w:color="auto"/>
                                                        <w:right w:val="none" w:sz="0" w:space="0" w:color="auto"/>
                                                      </w:divBdr>
                                                    </w:div>
                                                  </w:divsChild>
                                                </w:div>
                                                <w:div w:id="1134056856">
                                                  <w:marLeft w:val="0"/>
                                                  <w:marRight w:val="0"/>
                                                  <w:marTop w:val="0"/>
                                                  <w:marBottom w:val="0"/>
                                                  <w:divBdr>
                                                    <w:top w:val="none" w:sz="0" w:space="0" w:color="auto"/>
                                                    <w:left w:val="none" w:sz="0" w:space="0" w:color="auto"/>
                                                    <w:bottom w:val="none" w:sz="0" w:space="0" w:color="auto"/>
                                                    <w:right w:val="none" w:sz="0" w:space="0" w:color="auto"/>
                                                  </w:divBdr>
                                                  <w:divsChild>
                                                    <w:div w:id="1206605698">
                                                      <w:marLeft w:val="0"/>
                                                      <w:marRight w:val="0"/>
                                                      <w:marTop w:val="0"/>
                                                      <w:marBottom w:val="0"/>
                                                      <w:divBdr>
                                                        <w:top w:val="none" w:sz="0" w:space="0" w:color="auto"/>
                                                        <w:left w:val="none" w:sz="0" w:space="0" w:color="auto"/>
                                                        <w:bottom w:val="none" w:sz="0" w:space="0" w:color="auto"/>
                                                        <w:right w:val="none" w:sz="0" w:space="0" w:color="auto"/>
                                                      </w:divBdr>
                                                    </w:div>
                                                  </w:divsChild>
                                                </w:div>
                                                <w:div w:id="1564178147">
                                                  <w:marLeft w:val="0"/>
                                                  <w:marRight w:val="0"/>
                                                  <w:marTop w:val="0"/>
                                                  <w:marBottom w:val="0"/>
                                                  <w:divBdr>
                                                    <w:top w:val="none" w:sz="0" w:space="0" w:color="auto"/>
                                                    <w:left w:val="none" w:sz="0" w:space="0" w:color="auto"/>
                                                    <w:bottom w:val="none" w:sz="0" w:space="0" w:color="auto"/>
                                                    <w:right w:val="none" w:sz="0" w:space="0" w:color="auto"/>
                                                  </w:divBdr>
                                                  <w:divsChild>
                                                    <w:div w:id="70663251">
                                                      <w:marLeft w:val="0"/>
                                                      <w:marRight w:val="0"/>
                                                      <w:marTop w:val="0"/>
                                                      <w:marBottom w:val="0"/>
                                                      <w:divBdr>
                                                        <w:top w:val="none" w:sz="0" w:space="0" w:color="auto"/>
                                                        <w:left w:val="none" w:sz="0" w:space="0" w:color="auto"/>
                                                        <w:bottom w:val="none" w:sz="0" w:space="0" w:color="auto"/>
                                                        <w:right w:val="none" w:sz="0" w:space="0" w:color="auto"/>
                                                      </w:divBdr>
                                                    </w:div>
                                                  </w:divsChild>
                                                </w:div>
                                                <w:div w:id="436220111">
                                                  <w:marLeft w:val="0"/>
                                                  <w:marRight w:val="0"/>
                                                  <w:marTop w:val="0"/>
                                                  <w:marBottom w:val="0"/>
                                                  <w:divBdr>
                                                    <w:top w:val="none" w:sz="0" w:space="0" w:color="auto"/>
                                                    <w:left w:val="none" w:sz="0" w:space="0" w:color="auto"/>
                                                    <w:bottom w:val="none" w:sz="0" w:space="0" w:color="auto"/>
                                                    <w:right w:val="none" w:sz="0" w:space="0" w:color="auto"/>
                                                  </w:divBdr>
                                                  <w:divsChild>
                                                    <w:div w:id="948467040">
                                                      <w:marLeft w:val="0"/>
                                                      <w:marRight w:val="0"/>
                                                      <w:marTop w:val="0"/>
                                                      <w:marBottom w:val="0"/>
                                                      <w:divBdr>
                                                        <w:top w:val="none" w:sz="0" w:space="0" w:color="auto"/>
                                                        <w:left w:val="none" w:sz="0" w:space="0" w:color="auto"/>
                                                        <w:bottom w:val="none" w:sz="0" w:space="0" w:color="auto"/>
                                                        <w:right w:val="none" w:sz="0" w:space="0" w:color="auto"/>
                                                      </w:divBdr>
                                                    </w:div>
                                                  </w:divsChild>
                                                </w:div>
                                                <w:div w:id="1942184383">
                                                  <w:marLeft w:val="0"/>
                                                  <w:marRight w:val="0"/>
                                                  <w:marTop w:val="0"/>
                                                  <w:marBottom w:val="0"/>
                                                  <w:divBdr>
                                                    <w:top w:val="none" w:sz="0" w:space="0" w:color="auto"/>
                                                    <w:left w:val="none" w:sz="0" w:space="0" w:color="auto"/>
                                                    <w:bottom w:val="none" w:sz="0" w:space="0" w:color="auto"/>
                                                    <w:right w:val="none" w:sz="0" w:space="0" w:color="auto"/>
                                                  </w:divBdr>
                                                  <w:divsChild>
                                                    <w:div w:id="2047750691">
                                                      <w:marLeft w:val="0"/>
                                                      <w:marRight w:val="0"/>
                                                      <w:marTop w:val="0"/>
                                                      <w:marBottom w:val="0"/>
                                                      <w:divBdr>
                                                        <w:top w:val="none" w:sz="0" w:space="0" w:color="auto"/>
                                                        <w:left w:val="none" w:sz="0" w:space="0" w:color="auto"/>
                                                        <w:bottom w:val="none" w:sz="0" w:space="0" w:color="auto"/>
                                                        <w:right w:val="none" w:sz="0" w:space="0" w:color="auto"/>
                                                      </w:divBdr>
                                                    </w:div>
                                                  </w:divsChild>
                                                </w:div>
                                                <w:div w:id="133640446">
                                                  <w:marLeft w:val="0"/>
                                                  <w:marRight w:val="0"/>
                                                  <w:marTop w:val="0"/>
                                                  <w:marBottom w:val="0"/>
                                                  <w:divBdr>
                                                    <w:top w:val="none" w:sz="0" w:space="0" w:color="auto"/>
                                                    <w:left w:val="none" w:sz="0" w:space="0" w:color="auto"/>
                                                    <w:bottom w:val="none" w:sz="0" w:space="0" w:color="auto"/>
                                                    <w:right w:val="none" w:sz="0" w:space="0" w:color="auto"/>
                                                  </w:divBdr>
                                                  <w:divsChild>
                                                    <w:div w:id="1367834269">
                                                      <w:marLeft w:val="0"/>
                                                      <w:marRight w:val="0"/>
                                                      <w:marTop w:val="0"/>
                                                      <w:marBottom w:val="0"/>
                                                      <w:divBdr>
                                                        <w:top w:val="none" w:sz="0" w:space="0" w:color="auto"/>
                                                        <w:left w:val="none" w:sz="0" w:space="0" w:color="auto"/>
                                                        <w:bottom w:val="none" w:sz="0" w:space="0" w:color="auto"/>
                                                        <w:right w:val="none" w:sz="0" w:space="0" w:color="auto"/>
                                                      </w:divBdr>
                                                    </w:div>
                                                  </w:divsChild>
                                                </w:div>
                                                <w:div w:id="1233851335">
                                                  <w:marLeft w:val="0"/>
                                                  <w:marRight w:val="0"/>
                                                  <w:marTop w:val="0"/>
                                                  <w:marBottom w:val="0"/>
                                                  <w:divBdr>
                                                    <w:top w:val="none" w:sz="0" w:space="0" w:color="auto"/>
                                                    <w:left w:val="none" w:sz="0" w:space="0" w:color="auto"/>
                                                    <w:bottom w:val="none" w:sz="0" w:space="0" w:color="auto"/>
                                                    <w:right w:val="none" w:sz="0" w:space="0" w:color="auto"/>
                                                  </w:divBdr>
                                                  <w:divsChild>
                                                    <w:div w:id="134838843">
                                                      <w:marLeft w:val="0"/>
                                                      <w:marRight w:val="0"/>
                                                      <w:marTop w:val="0"/>
                                                      <w:marBottom w:val="0"/>
                                                      <w:divBdr>
                                                        <w:top w:val="none" w:sz="0" w:space="0" w:color="auto"/>
                                                        <w:left w:val="none" w:sz="0" w:space="0" w:color="auto"/>
                                                        <w:bottom w:val="none" w:sz="0" w:space="0" w:color="auto"/>
                                                        <w:right w:val="none" w:sz="0" w:space="0" w:color="auto"/>
                                                      </w:divBdr>
                                                    </w:div>
                                                  </w:divsChild>
                                                </w:div>
                                                <w:div w:id="894780731">
                                                  <w:marLeft w:val="0"/>
                                                  <w:marRight w:val="0"/>
                                                  <w:marTop w:val="0"/>
                                                  <w:marBottom w:val="0"/>
                                                  <w:divBdr>
                                                    <w:top w:val="none" w:sz="0" w:space="0" w:color="auto"/>
                                                    <w:left w:val="none" w:sz="0" w:space="0" w:color="auto"/>
                                                    <w:bottom w:val="none" w:sz="0" w:space="0" w:color="auto"/>
                                                    <w:right w:val="none" w:sz="0" w:space="0" w:color="auto"/>
                                                  </w:divBdr>
                                                  <w:divsChild>
                                                    <w:div w:id="429666806">
                                                      <w:marLeft w:val="0"/>
                                                      <w:marRight w:val="0"/>
                                                      <w:marTop w:val="0"/>
                                                      <w:marBottom w:val="0"/>
                                                      <w:divBdr>
                                                        <w:top w:val="none" w:sz="0" w:space="0" w:color="auto"/>
                                                        <w:left w:val="none" w:sz="0" w:space="0" w:color="auto"/>
                                                        <w:bottom w:val="none" w:sz="0" w:space="0" w:color="auto"/>
                                                        <w:right w:val="none" w:sz="0" w:space="0" w:color="auto"/>
                                                      </w:divBdr>
                                                    </w:div>
                                                  </w:divsChild>
                                                </w:div>
                                                <w:div w:id="613249630">
                                                  <w:marLeft w:val="0"/>
                                                  <w:marRight w:val="0"/>
                                                  <w:marTop w:val="0"/>
                                                  <w:marBottom w:val="0"/>
                                                  <w:divBdr>
                                                    <w:top w:val="none" w:sz="0" w:space="0" w:color="auto"/>
                                                    <w:left w:val="none" w:sz="0" w:space="0" w:color="auto"/>
                                                    <w:bottom w:val="none" w:sz="0" w:space="0" w:color="auto"/>
                                                    <w:right w:val="none" w:sz="0" w:space="0" w:color="auto"/>
                                                  </w:divBdr>
                                                  <w:divsChild>
                                                    <w:div w:id="2129639">
                                                      <w:marLeft w:val="0"/>
                                                      <w:marRight w:val="0"/>
                                                      <w:marTop w:val="0"/>
                                                      <w:marBottom w:val="0"/>
                                                      <w:divBdr>
                                                        <w:top w:val="none" w:sz="0" w:space="0" w:color="auto"/>
                                                        <w:left w:val="none" w:sz="0" w:space="0" w:color="auto"/>
                                                        <w:bottom w:val="none" w:sz="0" w:space="0" w:color="auto"/>
                                                        <w:right w:val="none" w:sz="0" w:space="0" w:color="auto"/>
                                                      </w:divBdr>
                                                    </w:div>
                                                  </w:divsChild>
                                                </w:div>
                                                <w:div w:id="2058893975">
                                                  <w:marLeft w:val="0"/>
                                                  <w:marRight w:val="0"/>
                                                  <w:marTop w:val="0"/>
                                                  <w:marBottom w:val="0"/>
                                                  <w:divBdr>
                                                    <w:top w:val="none" w:sz="0" w:space="0" w:color="auto"/>
                                                    <w:left w:val="none" w:sz="0" w:space="0" w:color="auto"/>
                                                    <w:bottom w:val="none" w:sz="0" w:space="0" w:color="auto"/>
                                                    <w:right w:val="none" w:sz="0" w:space="0" w:color="auto"/>
                                                  </w:divBdr>
                                                  <w:divsChild>
                                                    <w:div w:id="15810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959236">
                  <w:marLeft w:val="3300"/>
                  <w:marRight w:val="0"/>
                  <w:marTop w:val="0"/>
                  <w:marBottom w:val="0"/>
                  <w:divBdr>
                    <w:top w:val="single" w:sz="2" w:space="0" w:color="A8A8A8"/>
                    <w:left w:val="single" w:sz="6" w:space="0" w:color="A8A8A8"/>
                    <w:bottom w:val="single" w:sz="2" w:space="0" w:color="A8A8A8"/>
                    <w:right w:val="single" w:sz="6" w:space="0" w:color="A8A8A8"/>
                  </w:divBdr>
                  <w:divsChild>
                    <w:div w:id="646082562">
                      <w:marLeft w:val="-15"/>
                      <w:marRight w:val="-15"/>
                      <w:marTop w:val="0"/>
                      <w:marBottom w:val="0"/>
                      <w:divBdr>
                        <w:top w:val="none" w:sz="0" w:space="0" w:color="auto"/>
                        <w:left w:val="none" w:sz="0" w:space="0" w:color="auto"/>
                        <w:bottom w:val="none" w:sz="0" w:space="0" w:color="auto"/>
                        <w:right w:val="none" w:sz="0" w:space="0" w:color="auto"/>
                      </w:divBdr>
                      <w:divsChild>
                        <w:div w:id="17107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52329">
      <w:bodyDiv w:val="1"/>
      <w:marLeft w:val="0"/>
      <w:marRight w:val="0"/>
      <w:marTop w:val="0"/>
      <w:marBottom w:val="0"/>
      <w:divBdr>
        <w:top w:val="none" w:sz="0" w:space="0" w:color="auto"/>
        <w:left w:val="none" w:sz="0" w:space="0" w:color="auto"/>
        <w:bottom w:val="none" w:sz="0" w:space="0" w:color="auto"/>
        <w:right w:val="none" w:sz="0" w:space="0" w:color="auto"/>
      </w:divBdr>
    </w:div>
    <w:div w:id="1611467600">
      <w:bodyDiv w:val="1"/>
      <w:marLeft w:val="0"/>
      <w:marRight w:val="0"/>
      <w:marTop w:val="0"/>
      <w:marBottom w:val="0"/>
      <w:divBdr>
        <w:top w:val="none" w:sz="0" w:space="0" w:color="auto"/>
        <w:left w:val="none" w:sz="0" w:space="0" w:color="auto"/>
        <w:bottom w:val="none" w:sz="0" w:space="0" w:color="auto"/>
        <w:right w:val="none" w:sz="0" w:space="0" w:color="auto"/>
      </w:divBdr>
    </w:div>
    <w:div w:id="1611666756">
      <w:bodyDiv w:val="1"/>
      <w:marLeft w:val="0"/>
      <w:marRight w:val="0"/>
      <w:marTop w:val="0"/>
      <w:marBottom w:val="0"/>
      <w:divBdr>
        <w:top w:val="none" w:sz="0" w:space="0" w:color="auto"/>
        <w:left w:val="none" w:sz="0" w:space="0" w:color="auto"/>
        <w:bottom w:val="none" w:sz="0" w:space="0" w:color="auto"/>
        <w:right w:val="none" w:sz="0" w:space="0" w:color="auto"/>
      </w:divBdr>
    </w:div>
    <w:div w:id="1692994936">
      <w:bodyDiv w:val="1"/>
      <w:marLeft w:val="0"/>
      <w:marRight w:val="0"/>
      <w:marTop w:val="0"/>
      <w:marBottom w:val="0"/>
      <w:divBdr>
        <w:top w:val="none" w:sz="0" w:space="0" w:color="auto"/>
        <w:left w:val="none" w:sz="0" w:space="0" w:color="auto"/>
        <w:bottom w:val="none" w:sz="0" w:space="0" w:color="auto"/>
        <w:right w:val="none" w:sz="0" w:space="0" w:color="auto"/>
      </w:divBdr>
    </w:div>
    <w:div w:id="1739287420">
      <w:bodyDiv w:val="1"/>
      <w:marLeft w:val="0"/>
      <w:marRight w:val="0"/>
      <w:marTop w:val="0"/>
      <w:marBottom w:val="0"/>
      <w:divBdr>
        <w:top w:val="none" w:sz="0" w:space="0" w:color="auto"/>
        <w:left w:val="none" w:sz="0" w:space="0" w:color="auto"/>
        <w:bottom w:val="none" w:sz="0" w:space="0" w:color="auto"/>
        <w:right w:val="none" w:sz="0" w:space="0" w:color="auto"/>
      </w:divBdr>
    </w:div>
    <w:div w:id="1772553307">
      <w:bodyDiv w:val="1"/>
      <w:marLeft w:val="0"/>
      <w:marRight w:val="0"/>
      <w:marTop w:val="0"/>
      <w:marBottom w:val="0"/>
      <w:divBdr>
        <w:top w:val="none" w:sz="0" w:space="0" w:color="auto"/>
        <w:left w:val="none" w:sz="0" w:space="0" w:color="auto"/>
        <w:bottom w:val="none" w:sz="0" w:space="0" w:color="auto"/>
        <w:right w:val="none" w:sz="0" w:space="0" w:color="auto"/>
      </w:divBdr>
    </w:div>
    <w:div w:id="1799377112">
      <w:bodyDiv w:val="1"/>
      <w:marLeft w:val="0"/>
      <w:marRight w:val="0"/>
      <w:marTop w:val="0"/>
      <w:marBottom w:val="0"/>
      <w:divBdr>
        <w:top w:val="none" w:sz="0" w:space="0" w:color="auto"/>
        <w:left w:val="none" w:sz="0" w:space="0" w:color="auto"/>
        <w:bottom w:val="none" w:sz="0" w:space="0" w:color="auto"/>
        <w:right w:val="none" w:sz="0" w:space="0" w:color="auto"/>
      </w:divBdr>
    </w:div>
    <w:div w:id="1972202801">
      <w:bodyDiv w:val="1"/>
      <w:marLeft w:val="0"/>
      <w:marRight w:val="0"/>
      <w:marTop w:val="0"/>
      <w:marBottom w:val="0"/>
      <w:divBdr>
        <w:top w:val="none" w:sz="0" w:space="0" w:color="auto"/>
        <w:left w:val="none" w:sz="0" w:space="0" w:color="auto"/>
        <w:bottom w:val="none" w:sz="0" w:space="0" w:color="auto"/>
        <w:right w:val="none" w:sz="0" w:space="0" w:color="auto"/>
      </w:divBdr>
    </w:div>
    <w:div w:id="19868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hyperlink" Target="https://consult-moretonbay.objective.com/kse/event/4190/section/s13327436581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17</Pages>
  <Words>4038</Words>
  <Characters>23018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dcterms:created xsi:type="dcterms:W3CDTF">2019-12-16T02:32:00Z</dcterms:created>
  <dcterms:modified xsi:type="dcterms:W3CDTF">2021-11-11T02:55:00Z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A19477702</vt:lpwstr>
  </property>
  <property fmtid="{D5CDD505-2E9C-101B-9397-08002B2CF9AE}" pid="4" name="Objective-Title">
    <vt:lpwstr>7.2.3.7.4 Reconfiguring a lot code - Green network precinct - Assessable - UPDATED</vt:lpwstr>
  </property>
  <property fmtid="{D5CDD505-2E9C-101B-9397-08002B2CF9AE}" pid="5" name="Objective-Comment">
    <vt:lpwstr/>
  </property>
  <property fmtid="{D5CDD505-2E9C-101B-9397-08002B2CF9AE}" pid="6" name="Objective-CreationStamp">
    <vt:filetime>2019-12-16T03:37:29Z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2020-01-23T01:22:01Z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