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49"/>
        <w:gridCol w:w="5158"/>
        <w:gridCol w:w="1806"/>
        <w:gridCol w:w="3885"/>
      </w:tblGrid>
      <w:tr w:rsidR="009473E5" w:rsidRPr="00500EB3" w:rsidTr="009473E5">
        <w:trPr>
          <w:tblCellSpacing w:w="15" w:type="dxa"/>
        </w:trPr>
        <w:tc>
          <w:tcPr>
            <w:tcW w:w="15338" w:type="dxa"/>
            <w:gridSpan w:val="4"/>
            <w:tcBorders>
              <w:top w:val="nil"/>
              <w:left w:val="nil"/>
              <w:bottom w:val="nil"/>
              <w:right w:val="nil"/>
            </w:tcBorders>
            <w:shd w:val="clear" w:color="auto" w:fill="CCCCCC"/>
            <w:vAlign w:val="center"/>
            <w:hideMark/>
          </w:tcPr>
          <w:p w:rsidR="009473E5" w:rsidRPr="00500EB3" w:rsidRDefault="009473E5" w:rsidP="009473E5">
            <w:pPr>
              <w:jc w:val="center"/>
              <w:rPr>
                <w:rFonts w:ascii="Arial" w:hAnsi="Arial" w:cs="Arial"/>
                <w:b/>
                <w:bCs/>
                <w:sz w:val="20"/>
                <w:szCs w:val="20"/>
              </w:rPr>
            </w:pPr>
            <w:r w:rsidRPr="00500EB3">
              <w:rPr>
                <w:rFonts w:ascii="Arial" w:hAnsi="Arial" w:cs="Arial"/>
                <w:b/>
                <w:bCs/>
                <w:sz w:val="20"/>
                <w:szCs w:val="20"/>
              </w:rPr>
              <w:t>Assessable development - Extractive industry zone</w:t>
            </w: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jc w:val="center"/>
              <w:rPr>
                <w:rFonts w:ascii="Arial" w:hAnsi="Arial" w:cs="Arial"/>
                <w:b/>
                <w:sz w:val="20"/>
                <w:szCs w:val="20"/>
              </w:rPr>
            </w:pPr>
            <w:r w:rsidRPr="00500EB3">
              <w:rPr>
                <w:rFonts w:ascii="Arial" w:hAnsi="Arial" w:cs="Arial"/>
                <w:b/>
                <w:sz w:val="20"/>
                <w:szCs w:val="20"/>
              </w:rPr>
              <w:t>Performance outcomes</w:t>
            </w:r>
          </w:p>
        </w:tc>
        <w:tc>
          <w:tcPr>
            <w:tcW w:w="5128" w:type="dxa"/>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jc w:val="center"/>
              <w:rPr>
                <w:rFonts w:ascii="Arial" w:hAnsi="Arial" w:cs="Arial"/>
                <w:b/>
                <w:sz w:val="20"/>
                <w:szCs w:val="20"/>
              </w:rPr>
            </w:pPr>
            <w:r w:rsidRPr="00500EB3">
              <w:rPr>
                <w:rFonts w:ascii="Arial" w:hAnsi="Arial" w:cs="Arial"/>
                <w:b/>
                <w:sz w:val="20"/>
                <w:szCs w:val="20"/>
              </w:rPr>
              <w:t>Examples that achieve aspects of the Performance Outcomes</w:t>
            </w:r>
          </w:p>
        </w:tc>
        <w:tc>
          <w:tcPr>
            <w:tcW w:w="1776" w:type="dxa"/>
            <w:shd w:val="clear" w:color="auto" w:fill="CCCCCC"/>
          </w:tcPr>
          <w:p w:rsidR="00DA2A37" w:rsidRPr="00500EB3" w:rsidRDefault="00DA2A37" w:rsidP="00DA2A37">
            <w:pPr>
              <w:spacing w:after="0" w:line="240" w:lineRule="auto"/>
              <w:rPr>
                <w:rFonts w:ascii="Arial" w:eastAsia="Times New Roman" w:hAnsi="Arial" w:cs="Arial"/>
                <w:b/>
                <w:bCs/>
                <w:sz w:val="20"/>
                <w:szCs w:val="20"/>
                <w:lang w:eastAsia="en-AU"/>
              </w:rPr>
            </w:pPr>
            <w:r w:rsidRPr="00500EB3">
              <w:rPr>
                <w:rFonts w:ascii="Arial" w:eastAsia="Times New Roman" w:hAnsi="Arial" w:cs="Arial"/>
                <w:b/>
                <w:bCs/>
                <w:sz w:val="20"/>
                <w:szCs w:val="20"/>
                <w:lang w:eastAsia="en-AU"/>
              </w:rPr>
              <w:t>E Compliance</w:t>
            </w:r>
          </w:p>
          <w:p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Yes</w:t>
            </w:r>
          </w:p>
          <w:p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No See PO or</w:t>
            </w:r>
          </w:p>
          <w:p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NA</w:t>
            </w:r>
          </w:p>
        </w:tc>
        <w:tc>
          <w:tcPr>
            <w:tcW w:w="3840" w:type="dxa"/>
            <w:shd w:val="clear" w:color="auto" w:fill="CCCCCC"/>
          </w:tcPr>
          <w:p w:rsidR="00DA2A37" w:rsidRPr="00500EB3" w:rsidRDefault="00DA2A37" w:rsidP="00DA2A3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00EB3">
              <w:rPr>
                <w:rFonts w:ascii="Arial" w:eastAsia="Times New Roman" w:hAnsi="Arial" w:cs="Arial"/>
                <w:b/>
                <w:bCs/>
                <w:sz w:val="20"/>
                <w:szCs w:val="20"/>
                <w:lang w:eastAsia="en-AU"/>
              </w:rPr>
              <w:t>Justification for compliance</w:t>
            </w:r>
          </w:p>
        </w:tc>
      </w:tr>
      <w:tr w:rsidR="00DA2A37" w:rsidRPr="00500EB3"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Lot Size</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w:t>
            </w:r>
          </w:p>
          <w:p w:rsidR="00DA2A37" w:rsidRPr="00500EB3" w:rsidRDefault="00DA2A37" w:rsidP="00DA2A37">
            <w:pPr>
              <w:rPr>
                <w:rFonts w:ascii="Arial" w:hAnsi="Arial" w:cs="Arial"/>
                <w:sz w:val="20"/>
                <w:szCs w:val="20"/>
              </w:rPr>
            </w:pPr>
            <w:r w:rsidRPr="00500EB3">
              <w:rPr>
                <w:rFonts w:ascii="Arial" w:hAnsi="Arial" w:cs="Arial"/>
                <w:sz w:val="20"/>
                <w:szCs w:val="20"/>
              </w:rPr>
              <w:t xml:space="preserve">Lots are of </w:t>
            </w:r>
            <w:proofErr w:type="gramStart"/>
            <w:r w:rsidRPr="00500EB3">
              <w:rPr>
                <w:rFonts w:ascii="Arial" w:hAnsi="Arial" w:cs="Arial"/>
                <w:sz w:val="20"/>
                <w:szCs w:val="20"/>
              </w:rPr>
              <w:t>sufficient</w:t>
            </w:r>
            <w:proofErr w:type="gramEnd"/>
            <w:r w:rsidRPr="00500EB3">
              <w:rPr>
                <w:rFonts w:ascii="Arial" w:hAnsi="Arial" w:cs="Arial"/>
                <w:sz w:val="20"/>
                <w:szCs w:val="20"/>
              </w:rPr>
              <w:t xml:space="preserve"> size to accommodate land uses consistent in the zone and do not compromise extraction in the key resource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rsidTr="00DA2A37">
              <w:trPr>
                <w:tblCellSpacing w:w="15" w:type="dxa"/>
              </w:trPr>
              <w:tc>
                <w:tcPr>
                  <w:tcW w:w="7518" w:type="dxa"/>
                  <w:vAlign w:val="center"/>
                  <w:hideMark/>
                </w:tcPr>
                <w:p w:rsidR="00DA2A37" w:rsidRPr="00500EB3" w:rsidRDefault="00DA2A37" w:rsidP="00DA2A37">
                  <w:pPr>
                    <w:rPr>
                      <w:rFonts w:ascii="Arial" w:hAnsi="Arial" w:cs="Arial"/>
                      <w:sz w:val="20"/>
                      <w:szCs w:val="20"/>
                    </w:rPr>
                  </w:pPr>
                  <w:r w:rsidRPr="00EB3EC5">
                    <w:rPr>
                      <w:rFonts w:ascii="Arial" w:hAnsi="Arial" w:cs="Arial"/>
                      <w:sz w:val="18"/>
                      <w:szCs w:val="20"/>
                    </w:rPr>
                    <w:t>Note - Refer to the overall outcomes of Extractive industry zone for a list of consistent uses.</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bookmarkStart w:id="0" w:name="_GoBack"/>
            <w:bookmarkEnd w:id="0"/>
          </w:p>
        </w:tc>
      </w:tr>
      <w:tr w:rsidR="00DA2A37" w:rsidRPr="00500EB3" w:rsidTr="00DA2A37">
        <w:trPr>
          <w:trHeight w:val="10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PO2</w:t>
            </w:r>
          </w:p>
          <w:p w:rsidR="00DA2A37" w:rsidRPr="00500EB3" w:rsidRDefault="00DA2A37" w:rsidP="00DA2A37">
            <w:pPr>
              <w:rPr>
                <w:rFonts w:ascii="Arial" w:hAnsi="Arial" w:cs="Arial"/>
                <w:sz w:val="20"/>
                <w:szCs w:val="20"/>
              </w:rPr>
            </w:pPr>
            <w:r w:rsidRPr="00500EB3">
              <w:rPr>
                <w:rFonts w:ascii="Arial" w:hAnsi="Arial" w:cs="Arial"/>
                <w:sz w:val="20"/>
                <w:szCs w:val="20"/>
              </w:rPr>
              <w:t>All new lots created for the purpose of extractive resources have direct access to the Extractive resources transport route.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Access Easements</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PO3</w:t>
            </w:r>
          </w:p>
          <w:p w:rsidR="00DA2A37" w:rsidRPr="00500EB3" w:rsidRDefault="00DA2A37" w:rsidP="00DA2A37">
            <w:pPr>
              <w:rPr>
                <w:rFonts w:ascii="Arial" w:hAnsi="Arial" w:cs="Arial"/>
                <w:sz w:val="20"/>
                <w:szCs w:val="20"/>
              </w:rPr>
            </w:pPr>
            <w:r w:rsidRPr="00500EB3">
              <w:rPr>
                <w:rFonts w:ascii="Arial" w:hAnsi="Arial" w:cs="Arial"/>
                <w:sz w:val="20"/>
                <w:szCs w:val="20"/>
              </w:rPr>
              <w:t>Access easements contain a driveway constructed to an appropriate standard for the intended use.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PO4</w:t>
            </w:r>
          </w:p>
          <w:p w:rsidR="00DA2A37" w:rsidRDefault="00DA2A37" w:rsidP="00DA2A37">
            <w:pPr>
              <w:rPr>
                <w:rFonts w:ascii="Arial" w:hAnsi="Arial" w:cs="Arial"/>
                <w:sz w:val="20"/>
                <w:szCs w:val="20"/>
              </w:rPr>
            </w:pPr>
            <w:r w:rsidRPr="00500EB3">
              <w:rPr>
                <w:rFonts w:ascii="Arial" w:hAnsi="Arial" w:cs="Arial"/>
                <w:sz w:val="20"/>
                <w:szCs w:val="20"/>
              </w:rPr>
              <w:t>Where the access easement adjoins a constructed road, it has appropriate grade, verge cross section and safe sight distance for accessing vehicles, through traffic, and active transport users.</w:t>
            </w:r>
          </w:p>
          <w:p w:rsidR="004955E9" w:rsidRPr="004955E9" w:rsidRDefault="004955E9" w:rsidP="004955E9">
            <w:pPr>
              <w:jc w:val="right"/>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PO5</w:t>
            </w:r>
          </w:p>
          <w:p w:rsidR="00DA2A37" w:rsidRPr="00500EB3" w:rsidRDefault="00DA2A37" w:rsidP="00DA2A37">
            <w:pPr>
              <w:rPr>
                <w:rFonts w:ascii="Arial" w:hAnsi="Arial" w:cs="Arial"/>
                <w:sz w:val="20"/>
                <w:szCs w:val="20"/>
              </w:rPr>
            </w:pPr>
            <w:r w:rsidRPr="00500EB3">
              <w:rPr>
                <w:rFonts w:ascii="Arial" w:hAnsi="Arial" w:cs="Arial"/>
                <w:sz w:val="20"/>
                <w:szCs w:val="20"/>
              </w:rPr>
              <w:t>The easement covers all works associated with the access.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E5</w:t>
            </w:r>
          </w:p>
          <w:p w:rsidR="00DA2A37" w:rsidRPr="00500EB3" w:rsidRDefault="00DA2A37" w:rsidP="00DA2A37">
            <w:pPr>
              <w:rPr>
                <w:rFonts w:ascii="Arial" w:hAnsi="Arial" w:cs="Arial"/>
                <w:sz w:val="20"/>
                <w:szCs w:val="20"/>
              </w:rPr>
            </w:pPr>
            <w:r w:rsidRPr="00500EB3">
              <w:rPr>
                <w:rFonts w:ascii="Arial" w:hAnsi="Arial" w:cs="Arial"/>
                <w:sz w:val="20"/>
                <w:szCs w:val="20"/>
              </w:rPr>
              <w:t>The easement covers all driveway construction including cut and fill batters, drainage works and utility services.</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PO6</w:t>
            </w:r>
          </w:p>
          <w:p w:rsidR="00DA2A37" w:rsidRPr="00500EB3" w:rsidRDefault="00DA2A37" w:rsidP="00DA2A37">
            <w:pPr>
              <w:rPr>
                <w:rFonts w:ascii="Arial" w:hAnsi="Arial" w:cs="Arial"/>
                <w:sz w:val="20"/>
                <w:szCs w:val="20"/>
              </w:rPr>
            </w:pPr>
            <w:r w:rsidRPr="00500EB3">
              <w:rPr>
                <w:rFonts w:ascii="Arial" w:hAnsi="Arial" w:cs="Arial"/>
                <w:sz w:val="20"/>
                <w:szCs w:val="20"/>
              </w:rPr>
              <w:t>Relocation or alteration of existing services are undertaken as a result of the access easement.</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Noise</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r>
      <w:tr w:rsidR="00DA2A37" w:rsidRPr="00500EB3" w:rsidTr="00DA2A37">
        <w:trPr>
          <w:trHeight w:val="10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PO7</w:t>
            </w:r>
          </w:p>
          <w:p w:rsidR="00DA2A37" w:rsidRPr="00500EB3" w:rsidRDefault="00DA2A37" w:rsidP="00DA2A37">
            <w:pPr>
              <w:rPr>
                <w:rFonts w:ascii="Arial" w:hAnsi="Arial" w:cs="Arial"/>
                <w:sz w:val="20"/>
                <w:szCs w:val="20"/>
              </w:rPr>
            </w:pPr>
            <w:r w:rsidRPr="00500EB3">
              <w:rPr>
                <w:rFonts w:ascii="Arial" w:hAnsi="Arial" w:cs="Arial"/>
                <w:sz w:val="20"/>
                <w:szCs w:val="20"/>
              </w:rPr>
              <w:t>Noise attenuation structure (e.g. walls, barriers or fences):</w:t>
            </w:r>
          </w:p>
          <w:p w:rsidR="00DA2A37" w:rsidRPr="00500EB3" w:rsidRDefault="00DA2A37" w:rsidP="00DA2A37">
            <w:pPr>
              <w:numPr>
                <w:ilvl w:val="0"/>
                <w:numId w:val="1"/>
              </w:numPr>
              <w:rPr>
                <w:rFonts w:ascii="Arial" w:hAnsi="Arial" w:cs="Arial"/>
                <w:sz w:val="20"/>
                <w:szCs w:val="20"/>
              </w:rPr>
            </w:pPr>
            <w:r w:rsidRPr="00500EB3">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DA2A37" w:rsidRPr="00500EB3" w:rsidRDefault="00DA2A37" w:rsidP="00DA2A37">
            <w:pPr>
              <w:numPr>
                <w:ilvl w:val="0"/>
                <w:numId w:val="1"/>
              </w:numPr>
              <w:rPr>
                <w:rFonts w:ascii="Arial" w:hAnsi="Arial" w:cs="Arial"/>
                <w:sz w:val="20"/>
                <w:szCs w:val="20"/>
              </w:rPr>
            </w:pPr>
            <w:r w:rsidRPr="00500EB3">
              <w:rPr>
                <w:rFonts w:ascii="Arial" w:hAnsi="Arial" w:cs="Arial"/>
                <w:sz w:val="20"/>
                <w:szCs w:val="20"/>
              </w:rPr>
              <w:t>maintain the amenity of the streetscape.</w:t>
            </w:r>
          </w:p>
          <w:tbl>
            <w:tblPr>
              <w:tblW w:w="43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5"/>
            </w:tblGrid>
            <w:tr w:rsidR="00DA2A37" w:rsidRPr="00500EB3" w:rsidTr="00EB3EC5">
              <w:trPr>
                <w:tblCellSpacing w:w="15" w:type="dxa"/>
              </w:trPr>
              <w:tc>
                <w:tcPr>
                  <w:tcW w:w="4255"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DA2A37" w:rsidRPr="00500EB3" w:rsidTr="00EB3EC5">
              <w:trPr>
                <w:tblCellSpacing w:w="15" w:type="dxa"/>
              </w:trPr>
              <w:tc>
                <w:tcPr>
                  <w:tcW w:w="4255"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 of noise attenuation structures.</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E7</w:t>
            </w:r>
          </w:p>
          <w:p w:rsidR="00DA2A37" w:rsidRPr="00500EB3" w:rsidRDefault="00DA2A37" w:rsidP="00DA2A37">
            <w:pPr>
              <w:rPr>
                <w:rFonts w:ascii="Arial" w:hAnsi="Arial" w:cs="Arial"/>
                <w:sz w:val="20"/>
                <w:szCs w:val="20"/>
              </w:rPr>
            </w:pPr>
            <w:r w:rsidRPr="00500EB3">
              <w:rPr>
                <w:rFonts w:ascii="Arial" w:hAnsi="Arial" w:cs="Arial"/>
                <w:sz w:val="20"/>
                <w:szCs w:val="20"/>
              </w:rPr>
              <w:t>Noise attenuation structures (e.g. walls, barriers or fences):</w:t>
            </w:r>
          </w:p>
          <w:p w:rsidR="00DA2A37" w:rsidRPr="00500EB3" w:rsidRDefault="00DA2A37" w:rsidP="00DA2A37">
            <w:pPr>
              <w:numPr>
                <w:ilvl w:val="0"/>
                <w:numId w:val="2"/>
              </w:numPr>
              <w:rPr>
                <w:rFonts w:ascii="Arial" w:hAnsi="Arial" w:cs="Arial"/>
                <w:sz w:val="20"/>
                <w:szCs w:val="20"/>
              </w:rPr>
            </w:pPr>
            <w:r w:rsidRPr="00500EB3">
              <w:rPr>
                <w:rFonts w:ascii="Arial" w:hAnsi="Arial" w:cs="Arial"/>
                <w:sz w:val="20"/>
                <w:szCs w:val="20"/>
              </w:rPr>
              <w:t>are not visible from an adjoining road or public area unless;</w:t>
            </w:r>
          </w:p>
          <w:p w:rsidR="00DA2A37" w:rsidRPr="00500EB3" w:rsidRDefault="00DA2A37" w:rsidP="00DA2A37">
            <w:pPr>
              <w:numPr>
                <w:ilvl w:val="0"/>
                <w:numId w:val="3"/>
              </w:numPr>
              <w:rPr>
                <w:rFonts w:ascii="Arial" w:hAnsi="Arial" w:cs="Arial"/>
                <w:sz w:val="20"/>
                <w:szCs w:val="20"/>
              </w:rPr>
            </w:pPr>
            <w:r w:rsidRPr="00500EB3">
              <w:rPr>
                <w:rFonts w:ascii="Arial" w:hAnsi="Arial" w:cs="Arial"/>
                <w:sz w:val="20"/>
                <w:szCs w:val="20"/>
              </w:rPr>
              <w:t>adjoining a motorway or rail line; or</w:t>
            </w:r>
          </w:p>
          <w:p w:rsidR="00DA2A37" w:rsidRPr="00500EB3" w:rsidRDefault="00DA2A37" w:rsidP="00DA2A37">
            <w:pPr>
              <w:numPr>
                <w:ilvl w:val="0"/>
                <w:numId w:val="3"/>
              </w:numPr>
              <w:rPr>
                <w:rFonts w:ascii="Arial" w:hAnsi="Arial" w:cs="Arial"/>
                <w:sz w:val="20"/>
                <w:szCs w:val="20"/>
              </w:rPr>
            </w:pPr>
            <w:r w:rsidRPr="00500EB3">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DA2A37" w:rsidRPr="00500EB3" w:rsidRDefault="00DA2A37" w:rsidP="00DA2A37">
            <w:pPr>
              <w:numPr>
                <w:ilvl w:val="0"/>
                <w:numId w:val="4"/>
              </w:numPr>
              <w:rPr>
                <w:rFonts w:ascii="Arial" w:hAnsi="Arial" w:cs="Arial"/>
                <w:sz w:val="20"/>
                <w:szCs w:val="20"/>
              </w:rPr>
            </w:pPr>
            <w:r w:rsidRPr="00500EB3">
              <w:rPr>
                <w:rFonts w:ascii="Arial" w:hAnsi="Arial" w:cs="Arial"/>
                <w:sz w:val="20"/>
                <w:szCs w:val="20"/>
              </w:rPr>
              <w:t>do not remove existing or prevent future active transport routes or connections to the street network;</w:t>
            </w:r>
          </w:p>
          <w:p w:rsidR="00DA2A37" w:rsidRPr="00500EB3" w:rsidRDefault="00DA2A37" w:rsidP="00DA2A37">
            <w:pPr>
              <w:numPr>
                <w:ilvl w:val="0"/>
                <w:numId w:val="4"/>
              </w:numPr>
              <w:rPr>
                <w:rFonts w:ascii="Arial" w:hAnsi="Arial" w:cs="Arial"/>
                <w:sz w:val="20"/>
                <w:szCs w:val="20"/>
              </w:rPr>
            </w:pPr>
            <w:r w:rsidRPr="00500EB3">
              <w:rPr>
                <w:rFonts w:ascii="Arial" w:hAnsi="Arial" w:cs="Arial"/>
                <w:sz w:val="20"/>
                <w:szCs w:val="20"/>
              </w:rPr>
              <w:t>are located, constructed and landscaped in accordance with Planning scheme policy - Integrated design.</w:t>
            </w:r>
          </w:p>
          <w:tbl>
            <w:tblPr>
              <w:tblW w:w="50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29"/>
            </w:tblGrid>
            <w:tr w:rsidR="00DA2A37" w:rsidRPr="00500EB3" w:rsidTr="00EB3EC5">
              <w:trPr>
                <w:tblCellSpacing w:w="15" w:type="dxa"/>
              </w:trPr>
              <w:tc>
                <w:tcPr>
                  <w:tcW w:w="4969"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 of noise attenuation structures.</w:t>
                  </w:r>
                </w:p>
              </w:tc>
            </w:tr>
            <w:tr w:rsidR="00DA2A37" w:rsidRPr="00500EB3" w:rsidTr="00EB3EC5">
              <w:trPr>
                <w:tblCellSpacing w:w="15" w:type="dxa"/>
              </w:trPr>
              <w:tc>
                <w:tcPr>
                  <w:tcW w:w="4969"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Refer to Overlay map – Active transport for future active transport routes.</w:t>
                  </w:r>
                </w:p>
              </w:tc>
            </w:tr>
          </w:tbl>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shd w:val="clear" w:color="auto" w:fill="CCCCCC"/>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Environmental areas (refer Overlay map - Environmental areas to be determined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identification of a development footprint will assist in demonstrating compliance with the following performance standards.</w:t>
                  </w:r>
                </w:p>
                <w:p w:rsidR="00DA2A37" w:rsidRPr="00500EB3" w:rsidRDefault="00DA2A37" w:rsidP="00DA2A37">
                  <w:pPr>
                    <w:rPr>
                      <w:rFonts w:ascii="Arial" w:hAnsi="Arial" w:cs="Arial"/>
                      <w:sz w:val="20"/>
                      <w:szCs w:val="20"/>
                    </w:rPr>
                  </w:pPr>
                  <w:r w:rsidRPr="00500EB3">
                    <w:rPr>
                      <w:rFonts w:ascii="Arial" w:hAnsi="Arial" w:cs="Arial"/>
                      <w:sz w:val="20"/>
                      <w:szCs w:val="20"/>
                    </w:rPr>
                    <w:br/>
                  </w:r>
                </w:p>
                <w:p w:rsidR="00DA2A37" w:rsidRPr="00500EB3" w:rsidRDefault="00DA2A37" w:rsidP="00DA2A37">
                  <w:pPr>
                    <w:rPr>
                      <w:rFonts w:ascii="Arial" w:hAnsi="Arial" w:cs="Arial"/>
                      <w:sz w:val="20"/>
                      <w:szCs w:val="20"/>
                    </w:rPr>
                  </w:pPr>
                  <w:r w:rsidRPr="00500EB3">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PO8</w:t>
            </w:r>
          </w:p>
          <w:p w:rsidR="00DA2A37" w:rsidRPr="00500EB3" w:rsidRDefault="00DA2A37" w:rsidP="00DA2A37">
            <w:pPr>
              <w:rPr>
                <w:rFonts w:ascii="Arial" w:hAnsi="Arial" w:cs="Arial"/>
                <w:sz w:val="20"/>
                <w:szCs w:val="20"/>
              </w:rPr>
            </w:pPr>
            <w:r w:rsidRPr="00500EB3">
              <w:rPr>
                <w:rFonts w:ascii="Arial" w:hAnsi="Arial" w:cs="Arial"/>
                <w:sz w:val="20"/>
                <w:szCs w:val="20"/>
              </w:rPr>
              <w:t>No new boundaries are located within 4m of High Value Areas.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PO9</w:t>
            </w:r>
          </w:p>
          <w:p w:rsidR="00DA2A37" w:rsidRPr="00500EB3" w:rsidRDefault="00DA2A37" w:rsidP="00DA2A37">
            <w:pPr>
              <w:rPr>
                <w:rFonts w:ascii="Arial" w:hAnsi="Arial" w:cs="Arial"/>
                <w:sz w:val="20"/>
                <w:szCs w:val="20"/>
              </w:rPr>
            </w:pPr>
            <w:r w:rsidRPr="00500EB3">
              <w:rPr>
                <w:rFonts w:ascii="Arial" w:hAnsi="Arial" w:cs="Arial"/>
                <w:sz w:val="20"/>
                <w:szCs w:val="20"/>
              </w:rPr>
              <w:t>Lots are designed to:</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minimise the extent of encroachment into the MLES waterway buffer or a MLES wetland buffer;</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ensure quality and integrity of biodiversity and ecological values is not adversely impacted upon but are maintained and protected;</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incorporate native vegetation and habitat trees into the overall subdivision design, development layout, on-street amenity and landscaping where practicable;</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provide safe, unimpeded, convenient and ongoing wildlife movement;</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lastRenderedPageBreak/>
              <w:t>avoid creating fragmented and isolated patches of native vegetation;</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ensuring that soil erosion and land degradation does not occur;</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ensuring that quality of surface water is not adversely impacted upon by providing effective vegetated buffers to water bodies.</w:t>
            </w:r>
          </w:p>
          <w:p w:rsidR="00DA2A37" w:rsidRPr="00500EB3" w:rsidRDefault="00DA2A37" w:rsidP="00DA2A37">
            <w:pPr>
              <w:rPr>
                <w:rFonts w:ascii="Arial" w:hAnsi="Arial" w:cs="Arial"/>
                <w:sz w:val="20"/>
                <w:szCs w:val="20"/>
              </w:rPr>
            </w:pPr>
            <w:r w:rsidRPr="00500EB3">
              <w:rPr>
                <w:rFonts w:ascii="Arial" w:hAnsi="Arial" w:cs="Arial"/>
                <w:sz w:val="20"/>
                <w:szCs w:val="20"/>
              </w:rPr>
              <w:t>AND</w:t>
            </w:r>
          </w:p>
          <w:p w:rsidR="00DA2A37" w:rsidRPr="00500EB3" w:rsidRDefault="00DA2A37" w:rsidP="00DA2A37">
            <w:pPr>
              <w:rPr>
                <w:rFonts w:ascii="Arial" w:hAnsi="Arial" w:cs="Arial"/>
                <w:sz w:val="20"/>
                <w:szCs w:val="20"/>
              </w:rPr>
            </w:pPr>
            <w:r w:rsidRPr="00500EB3">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E9</w:t>
            </w:r>
          </w:p>
          <w:p w:rsidR="00DA2A37" w:rsidRPr="00500EB3" w:rsidRDefault="00DA2A37" w:rsidP="00DA2A37">
            <w:pPr>
              <w:rPr>
                <w:rFonts w:ascii="Arial" w:hAnsi="Arial" w:cs="Arial"/>
                <w:sz w:val="20"/>
                <w:szCs w:val="20"/>
              </w:rPr>
            </w:pPr>
            <w:r w:rsidRPr="00500EB3">
              <w:rPr>
                <w:rFonts w:ascii="Arial" w:hAnsi="Arial" w:cs="Arial"/>
                <w:sz w:val="20"/>
                <w:szCs w:val="20"/>
              </w:rPr>
              <w:t>Reconfiguring a lot ensures that no additional lots are created within a Value Offset Area.</w:t>
            </w:r>
          </w:p>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A2A37" w:rsidRPr="00500EB3" w:rsidTr="00DA2A37">
              <w:trPr>
                <w:tblCellSpacing w:w="15" w:type="dxa"/>
              </w:trPr>
              <w:tc>
                <w:tcPr>
                  <w:tcW w:w="1189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identification of a development footprint will assist in demonstrating compliance with the following performance criteria.</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High voltage electricity line buffer</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PO10</w:t>
            </w:r>
          </w:p>
          <w:p w:rsidR="00DA2A37" w:rsidRPr="00500EB3" w:rsidRDefault="00DA2A37" w:rsidP="00DA2A37">
            <w:pPr>
              <w:rPr>
                <w:rFonts w:ascii="Arial" w:hAnsi="Arial" w:cs="Arial"/>
                <w:sz w:val="20"/>
                <w:szCs w:val="20"/>
              </w:rPr>
            </w:pPr>
            <w:r w:rsidRPr="00500EB3">
              <w:rPr>
                <w:rFonts w:ascii="Arial" w:hAnsi="Arial" w:cs="Arial"/>
                <w:sz w:val="20"/>
                <w:szCs w:val="20"/>
              </w:rPr>
              <w:t>New lots provide a development footprint outside of the buffer.</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PO11</w:t>
            </w:r>
          </w:p>
          <w:p w:rsidR="00DA2A37" w:rsidRPr="00500EB3" w:rsidRDefault="00DA2A37" w:rsidP="00DA2A37">
            <w:pPr>
              <w:rPr>
                <w:rFonts w:ascii="Arial" w:hAnsi="Arial" w:cs="Arial"/>
                <w:sz w:val="20"/>
                <w:szCs w:val="20"/>
              </w:rPr>
            </w:pPr>
            <w:r w:rsidRPr="00500EB3">
              <w:rPr>
                <w:rFonts w:ascii="Arial" w:hAnsi="Arial" w:cs="Arial"/>
                <w:sz w:val="20"/>
                <w:szCs w:val="20"/>
              </w:rPr>
              <w:t>Adequate buffers are provided between utilities and dwellings (e.g. Caretaker's accommodation</w:t>
            </w:r>
            <w:r w:rsidRPr="00500EB3">
              <w:rPr>
                <w:rFonts w:ascii="Arial" w:hAnsi="Arial" w:cs="Arial"/>
                <w:sz w:val="20"/>
                <w:szCs w:val="20"/>
                <w:vertAlign w:val="superscript"/>
              </w:rPr>
              <w:t>(</w:t>
            </w:r>
            <w:hyperlink r:id="rId7" w:anchor="target-d768251e570643" w:tooltip="Caretaker’s accommodation - A dwelling provided for a caretaker of a non-residential use on the same premises." w:history="1">
              <w:r w:rsidRPr="00500EB3">
                <w:rPr>
                  <w:rStyle w:val="Hyperlink"/>
                  <w:rFonts w:ascii="Arial" w:hAnsi="Arial" w:cs="Arial"/>
                  <w:sz w:val="20"/>
                  <w:szCs w:val="20"/>
                  <w:vertAlign w:val="superscript"/>
                </w:rPr>
                <w:t>10</w:t>
              </w:r>
            </w:hyperlink>
            <w:r w:rsidRPr="00500EB3">
              <w:rPr>
                <w:rFonts w:ascii="Arial" w:hAnsi="Arial" w:cs="Arial"/>
                <w:sz w:val="20"/>
                <w:szCs w:val="20"/>
                <w:vertAlign w:val="superscript"/>
              </w:rPr>
              <w:t>)</w:t>
            </w:r>
            <w:r w:rsidRPr="00500EB3">
              <w:rPr>
                <w:rFonts w:ascii="Arial" w:hAnsi="Arial" w:cs="Arial"/>
                <w:sz w:val="20"/>
                <w:szCs w:val="20"/>
              </w:rPr>
              <w:t>) to protect residential amenity and health.</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E11</w:t>
            </w:r>
          </w:p>
          <w:p w:rsidR="00DA2A37" w:rsidRPr="00500EB3" w:rsidRDefault="00DA2A37" w:rsidP="00DA2A37">
            <w:pPr>
              <w:rPr>
                <w:rFonts w:ascii="Arial" w:hAnsi="Arial" w:cs="Arial"/>
                <w:sz w:val="20"/>
                <w:szCs w:val="20"/>
              </w:rPr>
            </w:pPr>
            <w:r w:rsidRPr="00500EB3">
              <w:rPr>
                <w:rFonts w:ascii="Arial" w:hAnsi="Arial" w:cs="Arial"/>
                <w:sz w:val="20"/>
                <w:szCs w:val="20"/>
              </w:rPr>
              <w:t>New lots provide a development footprint for utilities and dwellings (</w:t>
            </w:r>
            <w:proofErr w:type="spellStart"/>
            <w:r w:rsidRPr="00500EB3">
              <w:rPr>
                <w:rFonts w:ascii="Arial" w:hAnsi="Arial" w:cs="Arial"/>
                <w:sz w:val="20"/>
                <w:szCs w:val="20"/>
              </w:rPr>
              <w:t>e.g</w:t>
            </w:r>
            <w:proofErr w:type="spellEnd"/>
            <w:r w:rsidRPr="00500EB3">
              <w:rPr>
                <w:rFonts w:ascii="Arial" w:hAnsi="Arial" w:cs="Arial"/>
                <w:sz w:val="20"/>
                <w:szCs w:val="20"/>
              </w:rPr>
              <w:t xml:space="preserve"> Caretaker's accommodation</w:t>
            </w:r>
            <w:r w:rsidRPr="00500EB3">
              <w:rPr>
                <w:rFonts w:ascii="Arial" w:hAnsi="Arial" w:cs="Arial"/>
                <w:sz w:val="20"/>
                <w:szCs w:val="20"/>
                <w:vertAlign w:val="superscript"/>
              </w:rPr>
              <w:t>(</w:t>
            </w:r>
            <w:hyperlink r:id="rId8" w:anchor="target-d768251e570643" w:tooltip="Caretaker’s accommodation - A dwelling provided for a caretaker of a non-residential use on the same premises." w:history="1">
              <w:r w:rsidRPr="00500EB3">
                <w:rPr>
                  <w:rStyle w:val="Hyperlink"/>
                  <w:rFonts w:ascii="Arial" w:hAnsi="Arial" w:cs="Arial"/>
                  <w:sz w:val="20"/>
                  <w:szCs w:val="20"/>
                  <w:vertAlign w:val="superscript"/>
                </w:rPr>
                <w:t>10</w:t>
              </w:r>
            </w:hyperlink>
            <w:r w:rsidRPr="00500EB3">
              <w:rPr>
                <w:rFonts w:ascii="Arial" w:hAnsi="Arial" w:cs="Arial"/>
                <w:sz w:val="20"/>
                <w:szCs w:val="20"/>
                <w:vertAlign w:val="superscript"/>
              </w:rPr>
              <w:t>)</w:t>
            </w:r>
            <w:r w:rsidRPr="00500EB3">
              <w:rPr>
                <w:rFonts w:ascii="Arial" w:hAnsi="Arial" w:cs="Arial"/>
                <w:sz w:val="20"/>
                <w:szCs w:val="20"/>
              </w:rPr>
              <w:t>) outside of the buffer.</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PO12</w:t>
            </w:r>
          </w:p>
          <w:p w:rsidR="00DA2A37" w:rsidRPr="00500EB3" w:rsidRDefault="00DA2A37" w:rsidP="00DA2A37">
            <w:pPr>
              <w:rPr>
                <w:rFonts w:ascii="Arial" w:hAnsi="Arial" w:cs="Arial"/>
                <w:sz w:val="20"/>
                <w:szCs w:val="20"/>
              </w:rPr>
            </w:pPr>
            <w:r w:rsidRPr="00500EB3">
              <w:rPr>
                <w:rFonts w:ascii="Arial" w:hAnsi="Arial" w:cs="Arial"/>
                <w:sz w:val="20"/>
                <w:szCs w:val="20"/>
              </w:rPr>
              <w:lastRenderedPageBreak/>
              <w:t>The creation of new lots does not compromise or adversely impact upon the efficiency and integrity of supply.</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E12</w:t>
            </w:r>
          </w:p>
          <w:p w:rsidR="00DA2A37" w:rsidRPr="00500EB3" w:rsidRDefault="00DA2A37" w:rsidP="00DA2A37">
            <w:pPr>
              <w:rPr>
                <w:rFonts w:ascii="Arial" w:hAnsi="Arial" w:cs="Arial"/>
                <w:sz w:val="20"/>
                <w:szCs w:val="20"/>
              </w:rPr>
            </w:pPr>
            <w:r w:rsidRPr="00500EB3">
              <w:rPr>
                <w:rFonts w:ascii="Arial" w:hAnsi="Arial" w:cs="Arial"/>
                <w:sz w:val="20"/>
                <w:szCs w:val="20"/>
              </w:rPr>
              <w:lastRenderedPageBreak/>
              <w:t>No new lots are created within the buffer area.</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PO13</w:t>
            </w:r>
          </w:p>
          <w:p w:rsidR="00DA2A37" w:rsidRPr="00500EB3" w:rsidRDefault="00DA2A37" w:rsidP="00DA2A37">
            <w:pPr>
              <w:rPr>
                <w:rFonts w:ascii="Arial" w:hAnsi="Arial" w:cs="Arial"/>
                <w:sz w:val="20"/>
                <w:szCs w:val="20"/>
              </w:rPr>
            </w:pPr>
            <w:r w:rsidRPr="00500EB3">
              <w:rPr>
                <w:rFonts w:ascii="Arial" w:hAnsi="Arial" w:cs="Arial"/>
                <w:sz w:val="20"/>
                <w:szCs w:val="20"/>
              </w:rPr>
              <w:t>The creation of new lots does not compromise or adversely impact upon access to the supply line for any required maintenance or upgrading work.</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E13</w:t>
            </w:r>
          </w:p>
          <w:p w:rsidR="00DA2A37" w:rsidRPr="00500EB3" w:rsidRDefault="00DA2A37" w:rsidP="00DA2A37">
            <w:pPr>
              <w:rPr>
                <w:rFonts w:ascii="Arial" w:hAnsi="Arial" w:cs="Arial"/>
                <w:sz w:val="20"/>
                <w:szCs w:val="20"/>
              </w:rPr>
            </w:pPr>
            <w:r w:rsidRPr="00500EB3">
              <w:rPr>
                <w:rFonts w:ascii="Arial" w:hAnsi="Arial" w:cs="Arial"/>
                <w:sz w:val="20"/>
                <w:szCs w:val="20"/>
              </w:rPr>
              <w:t>No new lots are created within the buffer area.</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PO14</w:t>
            </w:r>
          </w:p>
          <w:p w:rsidR="00DA2A37" w:rsidRPr="00500EB3" w:rsidRDefault="00DA2A37" w:rsidP="00DA2A37">
            <w:pPr>
              <w:rPr>
                <w:rFonts w:ascii="Arial" w:hAnsi="Arial" w:cs="Arial"/>
                <w:sz w:val="20"/>
                <w:szCs w:val="20"/>
              </w:rPr>
            </w:pPr>
            <w:r w:rsidRPr="00500EB3">
              <w:rPr>
                <w:rFonts w:ascii="Arial" w:hAnsi="Arial" w:cs="Arial"/>
                <w:sz w:val="20"/>
                <w:szCs w:val="20"/>
              </w:rPr>
              <w:t>Boundary realignments:</w:t>
            </w:r>
          </w:p>
          <w:p w:rsidR="00DA2A37" w:rsidRPr="00500EB3" w:rsidRDefault="00DA2A37" w:rsidP="00DA2A37">
            <w:pPr>
              <w:numPr>
                <w:ilvl w:val="0"/>
                <w:numId w:val="6"/>
              </w:numPr>
              <w:rPr>
                <w:rFonts w:ascii="Arial" w:hAnsi="Arial" w:cs="Arial"/>
                <w:sz w:val="20"/>
                <w:szCs w:val="20"/>
              </w:rPr>
            </w:pPr>
            <w:r w:rsidRPr="00500EB3">
              <w:rPr>
                <w:rFonts w:ascii="Arial" w:hAnsi="Arial" w:cs="Arial"/>
                <w:sz w:val="20"/>
                <w:szCs w:val="20"/>
              </w:rPr>
              <w:t>do not result in the creation of additional building development opportunities within the buffer;</w:t>
            </w:r>
          </w:p>
          <w:p w:rsidR="00DA2A37" w:rsidRPr="00500EB3" w:rsidRDefault="00DA2A37" w:rsidP="00DA2A37">
            <w:pPr>
              <w:numPr>
                <w:ilvl w:val="0"/>
                <w:numId w:val="6"/>
              </w:numPr>
              <w:rPr>
                <w:rFonts w:ascii="Arial" w:hAnsi="Arial" w:cs="Arial"/>
                <w:sz w:val="20"/>
                <w:szCs w:val="20"/>
              </w:rPr>
            </w:pPr>
            <w:r w:rsidRPr="00500EB3">
              <w:rPr>
                <w:rFonts w:ascii="Arial" w:hAnsi="Arial" w:cs="Arial"/>
                <w:sz w:val="20"/>
                <w:szCs w:val="20"/>
              </w:rPr>
              <w:t>result in the reduction of building development opportunities within the buffer.</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PO15</w:t>
            </w:r>
          </w:p>
          <w:p w:rsidR="00DA2A37" w:rsidRPr="00500EB3" w:rsidRDefault="00DA2A37" w:rsidP="00DA2A37">
            <w:pPr>
              <w:rPr>
                <w:rFonts w:ascii="Arial" w:hAnsi="Arial" w:cs="Arial"/>
                <w:sz w:val="20"/>
                <w:szCs w:val="20"/>
              </w:rPr>
            </w:pPr>
            <w:r w:rsidRPr="00500EB3">
              <w:rPr>
                <w:rFonts w:ascii="Arial" w:hAnsi="Arial" w:cs="Arial"/>
                <w:sz w:val="20"/>
                <w:szCs w:val="20"/>
              </w:rPr>
              <w:t>Development:</w:t>
            </w:r>
          </w:p>
          <w:p w:rsidR="00DA2A37" w:rsidRPr="00500EB3" w:rsidRDefault="00DA2A37" w:rsidP="00DA2A37">
            <w:pPr>
              <w:numPr>
                <w:ilvl w:val="0"/>
                <w:numId w:val="7"/>
              </w:numPr>
              <w:rPr>
                <w:rFonts w:ascii="Arial" w:hAnsi="Arial" w:cs="Arial"/>
                <w:sz w:val="20"/>
                <w:szCs w:val="20"/>
              </w:rPr>
            </w:pPr>
            <w:r w:rsidRPr="00500EB3">
              <w:rPr>
                <w:rFonts w:ascii="Arial" w:hAnsi="Arial" w:cs="Arial"/>
                <w:sz w:val="20"/>
                <w:szCs w:val="20"/>
              </w:rPr>
              <w:t>minimises the risk to persons from overland flow;</w:t>
            </w:r>
          </w:p>
          <w:p w:rsidR="00DA2A37" w:rsidRPr="00500EB3" w:rsidRDefault="00DA2A37" w:rsidP="00DA2A37">
            <w:pPr>
              <w:numPr>
                <w:ilvl w:val="0"/>
                <w:numId w:val="7"/>
              </w:numPr>
              <w:rPr>
                <w:rFonts w:ascii="Arial" w:hAnsi="Arial" w:cs="Arial"/>
                <w:sz w:val="20"/>
                <w:szCs w:val="20"/>
              </w:rPr>
            </w:pPr>
            <w:r w:rsidRPr="00500EB3">
              <w:rPr>
                <w:rFonts w:ascii="Arial" w:hAnsi="Arial" w:cs="Arial"/>
                <w:sz w:val="20"/>
                <w:szCs w:val="20"/>
              </w:rPr>
              <w:t>does not increase the potential for damage from overland flow either on the premises or on a surrounding property, public land, road or infrastructure.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PO16</w:t>
            </w:r>
          </w:p>
          <w:p w:rsidR="00DA2A37" w:rsidRPr="00500EB3" w:rsidRDefault="00DA2A37" w:rsidP="00DA2A37">
            <w:pPr>
              <w:rPr>
                <w:rFonts w:ascii="Arial" w:hAnsi="Arial" w:cs="Arial"/>
                <w:sz w:val="20"/>
                <w:szCs w:val="20"/>
              </w:rPr>
            </w:pPr>
            <w:r w:rsidRPr="00500EB3">
              <w:rPr>
                <w:rFonts w:ascii="Arial" w:hAnsi="Arial" w:cs="Arial"/>
                <w:sz w:val="20"/>
                <w:szCs w:val="20"/>
              </w:rPr>
              <w:t>Development:</w:t>
            </w:r>
          </w:p>
          <w:p w:rsidR="00DA2A37" w:rsidRPr="00500EB3" w:rsidRDefault="00DA2A37" w:rsidP="00DA2A37">
            <w:pPr>
              <w:numPr>
                <w:ilvl w:val="0"/>
                <w:numId w:val="8"/>
              </w:numPr>
              <w:rPr>
                <w:rFonts w:ascii="Arial" w:hAnsi="Arial" w:cs="Arial"/>
                <w:sz w:val="20"/>
                <w:szCs w:val="20"/>
              </w:rPr>
            </w:pPr>
            <w:r w:rsidRPr="00500EB3">
              <w:rPr>
                <w:rFonts w:ascii="Arial" w:hAnsi="Arial" w:cs="Arial"/>
                <w:sz w:val="20"/>
                <w:szCs w:val="20"/>
              </w:rPr>
              <w:lastRenderedPageBreak/>
              <w:t>maintains the conveyance of overland flow predominantly unimpeded through the premises for any event up to and including the 1% AEP for the fully developed upstream catchment;</w:t>
            </w:r>
          </w:p>
          <w:p w:rsidR="00DA2A37" w:rsidRPr="00500EB3" w:rsidRDefault="00DA2A37" w:rsidP="00DA2A37">
            <w:pPr>
              <w:numPr>
                <w:ilvl w:val="0"/>
                <w:numId w:val="8"/>
              </w:numPr>
              <w:rPr>
                <w:rFonts w:ascii="Arial" w:hAnsi="Arial" w:cs="Arial"/>
                <w:sz w:val="20"/>
                <w:szCs w:val="20"/>
              </w:rPr>
            </w:pPr>
            <w:r w:rsidRPr="00500EB3">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EB3EC5"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Reporting to be prepared in accordance with Planning scheme policy – Flood hazard, Coastal hazard and Overland flow.</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E16</w:t>
            </w:r>
          </w:p>
          <w:p w:rsidR="00DA2A37" w:rsidRPr="00500EB3" w:rsidRDefault="00DA2A37" w:rsidP="00DA2A37">
            <w:pPr>
              <w:rPr>
                <w:rFonts w:ascii="Arial" w:hAnsi="Arial" w:cs="Arial"/>
                <w:sz w:val="20"/>
                <w:szCs w:val="20"/>
              </w:rPr>
            </w:pPr>
            <w:r w:rsidRPr="00500EB3">
              <w:rPr>
                <w:rFonts w:ascii="Arial" w:hAnsi="Arial" w:cs="Arial"/>
                <w:sz w:val="20"/>
                <w:szCs w:val="20"/>
              </w:rPr>
              <w:lastRenderedPageBreak/>
              <w:t>Development ensures that any buildings are not located in an Overland flow path area.</w:t>
            </w:r>
          </w:p>
          <w:tbl>
            <w:tblPr>
              <w:tblW w:w="49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58"/>
            </w:tblGrid>
            <w:tr w:rsidR="00DA2A37" w:rsidRPr="00500EB3" w:rsidTr="00DA2A37">
              <w:trPr>
                <w:trHeight w:val="1459"/>
                <w:tblCellSpacing w:w="15" w:type="dxa"/>
              </w:trPr>
              <w:tc>
                <w:tcPr>
                  <w:tcW w:w="4898" w:type="dxa"/>
                  <w:vAlign w:val="center"/>
                  <w:hideMark/>
                </w:tcPr>
                <w:p w:rsidR="00DA2A37" w:rsidRPr="00500EB3" w:rsidRDefault="00DA2A37" w:rsidP="00DA2A37">
                  <w:pPr>
                    <w:rPr>
                      <w:rFonts w:ascii="Arial" w:hAnsi="Arial" w:cs="Arial"/>
                      <w:sz w:val="20"/>
                      <w:szCs w:val="20"/>
                    </w:rPr>
                  </w:pPr>
                  <w:r w:rsidRPr="00EB3EC5">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PO17</w:t>
            </w:r>
          </w:p>
          <w:p w:rsidR="00DA2A37" w:rsidRPr="00500EB3" w:rsidRDefault="00DA2A37" w:rsidP="00DA2A37">
            <w:pPr>
              <w:rPr>
                <w:rFonts w:ascii="Arial" w:hAnsi="Arial" w:cs="Arial"/>
                <w:sz w:val="20"/>
                <w:szCs w:val="20"/>
              </w:rPr>
            </w:pPr>
            <w:r w:rsidRPr="00500EB3">
              <w:rPr>
                <w:rFonts w:ascii="Arial" w:hAnsi="Arial" w:cs="Arial"/>
                <w:sz w:val="20"/>
                <w:szCs w:val="20"/>
              </w:rPr>
              <w:t>Development does not:</w:t>
            </w:r>
          </w:p>
          <w:p w:rsidR="00DA2A37" w:rsidRPr="00500EB3" w:rsidRDefault="00DA2A37" w:rsidP="00DA2A37">
            <w:pPr>
              <w:numPr>
                <w:ilvl w:val="0"/>
                <w:numId w:val="9"/>
              </w:numPr>
              <w:rPr>
                <w:rFonts w:ascii="Arial" w:hAnsi="Arial" w:cs="Arial"/>
                <w:sz w:val="20"/>
                <w:szCs w:val="20"/>
              </w:rPr>
            </w:pPr>
            <w:r w:rsidRPr="00500EB3">
              <w:rPr>
                <w:rFonts w:ascii="Arial" w:hAnsi="Arial" w:cs="Arial"/>
                <w:sz w:val="20"/>
                <w:szCs w:val="20"/>
              </w:rPr>
              <w:t>directly, indirectly or cumulatively cause any increase in overland flow velocity or level;</w:t>
            </w:r>
          </w:p>
          <w:p w:rsidR="00DA2A37" w:rsidRPr="00500EB3" w:rsidRDefault="00DA2A37" w:rsidP="00DA2A37">
            <w:pPr>
              <w:numPr>
                <w:ilvl w:val="0"/>
                <w:numId w:val="9"/>
              </w:numPr>
              <w:rPr>
                <w:rFonts w:ascii="Arial" w:hAnsi="Arial" w:cs="Arial"/>
                <w:sz w:val="20"/>
                <w:szCs w:val="20"/>
              </w:rPr>
            </w:pPr>
            <w:r w:rsidRPr="00500EB3">
              <w:rPr>
                <w:rFonts w:ascii="Arial" w:hAnsi="Arial" w:cs="Arial"/>
                <w:sz w:val="20"/>
                <w:szCs w:val="20"/>
              </w:rPr>
              <w:t>increase the potential for flood damage from overland flow either on the premises or on a surrounding property, public land, road or infrastructure.</w:t>
            </w:r>
          </w:p>
          <w:tbl>
            <w:tblPr>
              <w:tblW w:w="45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10"/>
            </w:tblGrid>
            <w:tr w:rsidR="00DA2A37" w:rsidRPr="00500EB3" w:rsidTr="00DA2A37">
              <w:trPr>
                <w:trHeight w:val="783"/>
                <w:tblCellSpacing w:w="15" w:type="dxa"/>
              </w:trPr>
              <w:tc>
                <w:tcPr>
                  <w:tcW w:w="4450"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Open concrete drains greater than 1m in width are not an acceptable outcome, nor are any other design options that may increase scouring.</w:t>
                  </w:r>
                </w:p>
              </w:tc>
            </w:tr>
            <w:tr w:rsidR="00DA2A37" w:rsidRPr="00500EB3" w:rsidTr="00DA2A37">
              <w:trPr>
                <w:trHeight w:val="1385"/>
                <w:tblCellSpacing w:w="15" w:type="dxa"/>
              </w:trPr>
              <w:tc>
                <w:tcPr>
                  <w:tcW w:w="4450"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EB3EC5">
                    <w:rPr>
                      <w:rFonts w:ascii="Arial" w:hAnsi="Arial" w:cs="Arial"/>
                      <w:sz w:val="18"/>
                      <w:szCs w:val="20"/>
                    </w:rPr>
                    <w:t>upstream, downstream or surrounding premises</w:t>
                  </w:r>
                  <w:proofErr w:type="gramEnd"/>
                  <w:r w:rsidRPr="00EB3EC5">
                    <w:rPr>
                      <w:rFonts w:ascii="Arial" w:hAnsi="Arial" w:cs="Arial"/>
                      <w:sz w:val="18"/>
                      <w:szCs w:val="20"/>
                    </w:rPr>
                    <w:t>.</w:t>
                  </w:r>
                </w:p>
              </w:tc>
            </w:tr>
          </w:tbl>
          <w:p w:rsidR="00DA2A37" w:rsidRPr="00500EB3" w:rsidRDefault="00DA2A37" w:rsidP="00DA2A37">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rsidTr="00DA2A37">
              <w:trPr>
                <w:tblCellSpacing w:w="15" w:type="dxa"/>
              </w:trPr>
              <w:tc>
                <w:tcPr>
                  <w:tcW w:w="7518" w:type="dxa"/>
                  <w:vAlign w:val="center"/>
                  <w:hideMark/>
                </w:tcPr>
                <w:p w:rsidR="00DA2A37" w:rsidRPr="00500EB3" w:rsidRDefault="00DA2A37" w:rsidP="00DA2A37">
                  <w:pPr>
                    <w:rPr>
                      <w:rFonts w:ascii="Arial" w:hAnsi="Arial" w:cs="Arial"/>
                      <w:sz w:val="20"/>
                      <w:szCs w:val="20"/>
                    </w:rPr>
                  </w:pPr>
                  <w:r w:rsidRPr="00EB3EC5">
                    <w:rPr>
                      <w:rFonts w:ascii="Arial" w:hAnsi="Arial" w:cs="Arial"/>
                      <w:sz w:val="18"/>
                      <w:szCs w:val="20"/>
                    </w:rPr>
                    <w:t>Note - Reporting to be prepared in accordance with Planning scheme policy – Flood hazard, Coastal hazard and Overland flow</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PO18</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overland flow is not conveyed from a road or public open space onto a private lot, unless the development is in a Rural zone.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E18</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vMerge w:val="restart"/>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PO19</w:t>
            </w:r>
          </w:p>
          <w:p w:rsidR="00DA2A37" w:rsidRPr="00500EB3" w:rsidRDefault="00DA2A37" w:rsidP="00DA2A37">
            <w:pPr>
              <w:rPr>
                <w:rFonts w:ascii="Arial" w:hAnsi="Arial" w:cs="Arial"/>
                <w:sz w:val="20"/>
                <w:szCs w:val="20"/>
              </w:rPr>
            </w:pPr>
            <w:r w:rsidRPr="00500EB3">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00EB3">
              <w:rPr>
                <w:rFonts w:ascii="Arial" w:hAnsi="Arial" w:cs="Arial"/>
                <w:sz w:val="20"/>
                <w:szCs w:val="20"/>
              </w:rPr>
              <w:t>are able to</w:t>
            </w:r>
            <w:proofErr w:type="gramEnd"/>
            <w:r w:rsidRPr="00500EB3">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EB3EC5">
                    <w:rPr>
                      <w:rFonts w:ascii="Arial" w:hAnsi="Arial" w:cs="Arial"/>
                      <w:sz w:val="18"/>
                      <w:szCs w:val="20"/>
                    </w:rPr>
                    <w:t>upstream, downstream or surrounding premises</w:t>
                  </w:r>
                  <w:proofErr w:type="gramEnd"/>
                  <w:r w:rsidRPr="00EB3EC5">
                    <w:rPr>
                      <w:rFonts w:ascii="Arial" w:hAnsi="Arial" w:cs="Arial"/>
                      <w:sz w:val="18"/>
                      <w:szCs w:val="20"/>
                    </w:rPr>
                    <w:t>.</w:t>
                  </w:r>
                </w:p>
              </w:tc>
            </w:tr>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Reporting to be prepared in accordance with Planning scheme policy – Flood hazard, Coastal hazard and Overland flow</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E19.1</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roof and allotment drainage infrastructure is provided in accordance with the following relevant level as identified in QUDM:</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Urban area – Level III;</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Rural area – N/A;</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Industrial area – Level V;</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Commercial area – Level V.</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vMerge/>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E19.2</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PO20</w:t>
            </w:r>
          </w:p>
          <w:p w:rsidR="00DA2A37" w:rsidRPr="00500EB3" w:rsidRDefault="00DA2A37" w:rsidP="00DA2A37">
            <w:pPr>
              <w:rPr>
                <w:rFonts w:ascii="Arial" w:hAnsi="Arial" w:cs="Arial"/>
                <w:sz w:val="20"/>
                <w:szCs w:val="20"/>
              </w:rPr>
            </w:pPr>
            <w:r w:rsidRPr="00500EB3">
              <w:rPr>
                <w:rFonts w:ascii="Arial" w:hAnsi="Arial" w:cs="Arial"/>
                <w:sz w:val="20"/>
                <w:szCs w:val="20"/>
              </w:rPr>
              <w:t>Development protects the conveyance of overland flow such that easements for drainage purposes are provided over:</w:t>
            </w:r>
          </w:p>
          <w:p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a stormwater pipe if the nominal pipe diameter exceeds 300mm;</w:t>
            </w:r>
          </w:p>
          <w:p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an overland flow path where it crosses more than one property; and</w:t>
            </w:r>
          </w:p>
          <w:p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inter-allotment drainage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78"/>
            </w:tblGrid>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w:t>
                  </w:r>
                </w:p>
              </w:tc>
            </w:tr>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lastRenderedPageBreak/>
                    <w:t>Note - Stormwater drainage easement dimensions are provided in accordance with Section 3.8.5 of QUDM.</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Additional criteria for development for a Park</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b/>
                <w:bCs/>
                <w:sz w:val="20"/>
                <w:szCs w:val="20"/>
              </w:rPr>
            </w:pPr>
            <w:r w:rsidRPr="00500EB3">
              <w:rPr>
                <w:rFonts w:ascii="Arial" w:hAnsi="Arial" w:cs="Arial"/>
                <w:b/>
                <w:bCs/>
                <w:sz w:val="20"/>
                <w:szCs w:val="20"/>
              </w:rPr>
              <w:t>PO21</w:t>
            </w:r>
          </w:p>
          <w:p w:rsidR="00DA2A37" w:rsidRPr="00500EB3" w:rsidRDefault="00DA2A37" w:rsidP="00DA2A37">
            <w:pPr>
              <w:rPr>
                <w:rFonts w:ascii="Arial" w:hAnsi="Arial" w:cs="Arial"/>
                <w:sz w:val="20"/>
                <w:szCs w:val="20"/>
              </w:rPr>
            </w:pPr>
            <w:r w:rsidRPr="00500EB3">
              <w:rPr>
                <w:rFonts w:ascii="Arial" w:hAnsi="Arial" w:cs="Arial"/>
                <w:sz w:val="20"/>
                <w:szCs w:val="20"/>
              </w:rPr>
              <w:t>Development for a Park</w:t>
            </w:r>
            <w:r w:rsidRPr="00500EB3">
              <w:rPr>
                <w:rFonts w:ascii="Arial" w:hAnsi="Arial" w:cs="Arial"/>
                <w:sz w:val="20"/>
                <w:szCs w:val="20"/>
                <w:vertAlign w:val="superscript"/>
              </w:rPr>
              <w:t>(</w:t>
            </w:r>
            <w:hyperlink r:id="rId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00EB3">
                <w:rPr>
                  <w:rStyle w:val="Hyperlink"/>
                  <w:rFonts w:ascii="Arial" w:hAnsi="Arial" w:cs="Arial"/>
                  <w:sz w:val="20"/>
                  <w:szCs w:val="20"/>
                  <w:vertAlign w:val="superscript"/>
                </w:rPr>
                <w:t>57</w:t>
              </w:r>
            </w:hyperlink>
            <w:r w:rsidRPr="00500EB3">
              <w:rPr>
                <w:rFonts w:ascii="Arial" w:hAnsi="Arial" w:cs="Arial"/>
                <w:sz w:val="20"/>
                <w:szCs w:val="20"/>
                <w:vertAlign w:val="superscript"/>
              </w:rPr>
              <w:t>)</w:t>
            </w:r>
            <w:r w:rsidRPr="00500EB3">
              <w:rPr>
                <w:rFonts w:ascii="Arial" w:hAnsi="Arial" w:cs="Arial"/>
                <w:sz w:val="20"/>
                <w:szCs w:val="20"/>
              </w:rPr>
              <w:t xml:space="preserve"> ensures that the design and layout responds to the nature of the overland flow affecting the premises such that:</w:t>
            </w:r>
          </w:p>
          <w:p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 xml:space="preserve">public benefit and enjoyment </w:t>
            </w:r>
            <w:proofErr w:type="gramStart"/>
            <w:r w:rsidRPr="00500EB3">
              <w:rPr>
                <w:rFonts w:ascii="Arial" w:hAnsi="Arial" w:cs="Arial"/>
                <w:sz w:val="20"/>
                <w:szCs w:val="20"/>
              </w:rPr>
              <w:t>is</w:t>
            </w:r>
            <w:proofErr w:type="gramEnd"/>
            <w:r w:rsidRPr="00500EB3">
              <w:rPr>
                <w:rFonts w:ascii="Arial" w:hAnsi="Arial" w:cs="Arial"/>
                <w:sz w:val="20"/>
                <w:szCs w:val="20"/>
              </w:rPr>
              <w:t xml:space="preserve"> maximised;</w:t>
            </w:r>
          </w:p>
          <w:p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impacts on the asset life and integrity of park structures is minimised;</w:t>
            </w:r>
          </w:p>
          <w:p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maintenance and replacement costs are minimised.</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E21</w:t>
            </w:r>
          </w:p>
          <w:p w:rsidR="00DA2A37" w:rsidRPr="00500EB3" w:rsidRDefault="00DA2A37" w:rsidP="00DA2A37">
            <w:pPr>
              <w:rPr>
                <w:rFonts w:ascii="Arial" w:hAnsi="Arial" w:cs="Arial"/>
                <w:sz w:val="20"/>
                <w:szCs w:val="20"/>
              </w:rPr>
            </w:pPr>
            <w:r w:rsidRPr="00500EB3">
              <w:rPr>
                <w:rFonts w:ascii="Arial" w:hAnsi="Arial" w:cs="Arial"/>
                <w:sz w:val="20"/>
                <w:szCs w:val="20"/>
              </w:rPr>
              <w:t>Development for a Park</w:t>
            </w:r>
            <w:r w:rsidRPr="00500EB3">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00EB3">
                <w:rPr>
                  <w:rStyle w:val="Hyperlink"/>
                  <w:rFonts w:ascii="Arial" w:hAnsi="Arial" w:cs="Arial"/>
                  <w:sz w:val="20"/>
                  <w:szCs w:val="20"/>
                  <w:vertAlign w:val="superscript"/>
                </w:rPr>
                <w:t>57</w:t>
              </w:r>
            </w:hyperlink>
            <w:r w:rsidRPr="00500EB3">
              <w:rPr>
                <w:rFonts w:ascii="Arial" w:hAnsi="Arial" w:cs="Arial"/>
                <w:sz w:val="20"/>
                <w:szCs w:val="20"/>
                <w:vertAlign w:val="superscript"/>
              </w:rPr>
              <w:t>)</w:t>
            </w:r>
            <w:r w:rsidRPr="00500EB3">
              <w:rPr>
                <w:rFonts w:ascii="Arial" w:hAnsi="Arial" w:cs="Arial"/>
                <w:sz w:val="20"/>
                <w:szCs w:val="20"/>
              </w:rPr>
              <w:t xml:space="preserve"> ensures works are provided in accordance with the requirements set out in Appendix B of the Planning scheme policy - Integrated Design.</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rHeight w:val="345"/>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 W1, W2 and W3 waterway and drainage lines, and wetlands are mapped on Schedule 2, Section 2.5 Overlay Maps – Riparian and wetland setbacks.</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PO22</w:t>
            </w:r>
          </w:p>
          <w:p w:rsidR="00DA2A37" w:rsidRPr="00500EB3" w:rsidRDefault="00DA2A37" w:rsidP="00DA2A37">
            <w:pPr>
              <w:rPr>
                <w:rFonts w:ascii="Arial" w:hAnsi="Arial" w:cs="Arial"/>
                <w:sz w:val="20"/>
                <w:szCs w:val="20"/>
              </w:rPr>
            </w:pPr>
            <w:r w:rsidRPr="00500EB3">
              <w:rPr>
                <w:rFonts w:ascii="Arial" w:hAnsi="Arial" w:cs="Arial"/>
                <w:sz w:val="20"/>
                <w:szCs w:val="20"/>
              </w:rPr>
              <w:t>Lots are designed to:</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minimise the extent of encroachment into the riparian and wetland setback;</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ensure the protection of wildlife corridors and connectivity;</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reduce the impact on fauna habitats;</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minimise edge effects;</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ensure an appropriate extent of public access to waterways and wetlands.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E22</w:t>
            </w:r>
          </w:p>
          <w:p w:rsidR="00DA2A37" w:rsidRPr="00500EB3" w:rsidRDefault="00DA2A37" w:rsidP="00DA2A37">
            <w:pPr>
              <w:rPr>
                <w:rFonts w:ascii="Arial" w:hAnsi="Arial" w:cs="Arial"/>
                <w:sz w:val="20"/>
                <w:szCs w:val="20"/>
              </w:rPr>
            </w:pPr>
            <w:r w:rsidRPr="00500EB3">
              <w:rPr>
                <w:rFonts w:ascii="Arial" w:hAnsi="Arial" w:cs="Arial"/>
                <w:sz w:val="20"/>
                <w:szCs w:val="20"/>
              </w:rPr>
              <w:t>Reconfiguring a lot ensures that:</w:t>
            </w:r>
          </w:p>
          <w:p w:rsidR="00DA2A37" w:rsidRPr="00500EB3" w:rsidRDefault="00DA2A37" w:rsidP="00DA2A37">
            <w:pPr>
              <w:numPr>
                <w:ilvl w:val="0"/>
                <w:numId w:val="14"/>
              </w:numPr>
              <w:rPr>
                <w:rFonts w:ascii="Arial" w:hAnsi="Arial" w:cs="Arial"/>
                <w:sz w:val="20"/>
                <w:szCs w:val="20"/>
              </w:rPr>
            </w:pPr>
            <w:r w:rsidRPr="00500EB3">
              <w:rPr>
                <w:rFonts w:ascii="Arial" w:hAnsi="Arial" w:cs="Arial"/>
                <w:sz w:val="20"/>
                <w:szCs w:val="20"/>
              </w:rPr>
              <w:t>no new lots are created within a riparian and wetland setback;</w:t>
            </w:r>
          </w:p>
          <w:p w:rsidR="00DA2A37" w:rsidRPr="00500EB3" w:rsidRDefault="00DA2A37" w:rsidP="00DA2A37">
            <w:pPr>
              <w:numPr>
                <w:ilvl w:val="0"/>
                <w:numId w:val="14"/>
              </w:numPr>
              <w:rPr>
                <w:rFonts w:ascii="Arial" w:hAnsi="Arial" w:cs="Arial"/>
                <w:sz w:val="20"/>
                <w:szCs w:val="20"/>
              </w:rPr>
            </w:pPr>
            <w:r w:rsidRPr="00500EB3">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8"/>
            </w:tblGrid>
            <w:tr w:rsidR="00DA2A37" w:rsidRPr="00500EB3" w:rsidTr="00DA2A37">
              <w:trPr>
                <w:tblCellSpacing w:w="15" w:type="dxa"/>
              </w:trPr>
              <w:tc>
                <w:tcPr>
                  <w:tcW w:w="7490" w:type="dxa"/>
                  <w:hideMark/>
                </w:tcPr>
                <w:p w:rsidR="00DA2A37" w:rsidRPr="00500EB3" w:rsidRDefault="00DA2A37" w:rsidP="00DA2A37">
                  <w:pPr>
                    <w:rPr>
                      <w:rFonts w:ascii="Arial" w:hAnsi="Arial" w:cs="Arial"/>
                      <w:sz w:val="20"/>
                      <w:szCs w:val="20"/>
                    </w:rPr>
                  </w:pPr>
                  <w:r w:rsidRPr="00EB3EC5">
                    <w:rPr>
                      <w:rFonts w:ascii="Arial" w:hAnsi="Arial" w:cs="Arial"/>
                      <w:sz w:val="18"/>
                      <w:szCs w:val="20"/>
                    </w:rPr>
                    <w:t>Note - Riparian and wetlands are mapped on Schedule 2, Section 2.5 Overlay Maps – Riparian and wetland setbacks.</w:t>
                  </w:r>
                </w:p>
              </w:tc>
            </w:tr>
          </w:tbl>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bl>
    <w:p w:rsidR="00E97630" w:rsidRDefault="00E97630">
      <w:pPr>
        <w:rPr>
          <w:rFonts w:ascii="Arial" w:hAnsi="Arial" w:cs="Arial"/>
          <w:sz w:val="20"/>
          <w:szCs w:val="20"/>
        </w:rPr>
      </w:pPr>
    </w:p>
    <w:p w:rsidR="00EB3EC5" w:rsidRPr="00EB3EC5" w:rsidRDefault="00EB3EC5" w:rsidP="00EB3EC5">
      <w:pPr>
        <w:tabs>
          <w:tab w:val="left" w:pos="12640"/>
        </w:tabs>
        <w:rPr>
          <w:rFonts w:ascii="Arial" w:hAnsi="Arial" w:cs="Arial"/>
          <w:sz w:val="20"/>
          <w:szCs w:val="20"/>
        </w:rPr>
      </w:pPr>
      <w:r>
        <w:rPr>
          <w:rFonts w:ascii="Arial" w:hAnsi="Arial" w:cs="Arial"/>
          <w:sz w:val="20"/>
          <w:szCs w:val="20"/>
        </w:rPr>
        <w:tab/>
      </w:r>
    </w:p>
    <w:sectPr w:rsidR="00EB3EC5" w:rsidRPr="00EB3EC5" w:rsidSect="00DA2A37">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803" w:rsidRDefault="00395803" w:rsidP="009473E5">
      <w:pPr>
        <w:spacing w:after="0" w:line="240" w:lineRule="auto"/>
      </w:pPr>
      <w:r>
        <w:separator/>
      </w:r>
    </w:p>
  </w:endnote>
  <w:endnote w:type="continuationSeparator" w:id="0">
    <w:p w:rsidR="00395803" w:rsidRDefault="00395803" w:rsidP="0094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E5" w:rsidRPr="009473E5" w:rsidRDefault="009473E5" w:rsidP="009473E5">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4955E9">
      <w:rPr>
        <w:rFonts w:ascii="Arial" w:hAnsi="Arial" w:cs="Arial"/>
        <w:i/>
        <w:sz w:val="20"/>
        <w:szCs w:val="20"/>
      </w:rPr>
      <w:t>5</w:t>
    </w:r>
    <w:r>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Extractive industry</w:t>
    </w:r>
    <w:r w:rsidRPr="002C7A6D">
      <w:rPr>
        <w:rFonts w:ascii="Arial" w:hAnsi="Arial" w:cs="Arial"/>
        <w:i/>
        <w:sz w:val="20"/>
        <w:szCs w:val="20"/>
      </w:rPr>
      <w:t xml:space="preserve"> zone - Assessable</w:t>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Pr>
            <w:rFonts w:ascii="Arial" w:hAnsi="Arial" w:cs="Arial"/>
            <w:sz w:val="20"/>
            <w:szCs w:val="20"/>
          </w:rPr>
          <w:t>1</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803" w:rsidRDefault="00395803" w:rsidP="009473E5">
      <w:pPr>
        <w:spacing w:after="0" w:line="240" w:lineRule="auto"/>
      </w:pPr>
      <w:r>
        <w:separator/>
      </w:r>
    </w:p>
  </w:footnote>
  <w:footnote w:type="continuationSeparator" w:id="0">
    <w:p w:rsidR="00395803" w:rsidRDefault="00395803" w:rsidP="00947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DD5"/>
    <w:multiLevelType w:val="multilevel"/>
    <w:tmpl w:val="579A4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710ADA"/>
    <w:multiLevelType w:val="multilevel"/>
    <w:tmpl w:val="086C9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B315C1"/>
    <w:multiLevelType w:val="multilevel"/>
    <w:tmpl w:val="7DBAB4C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 w15:restartNumberingAfterBreak="0">
    <w:nsid w:val="160F6F55"/>
    <w:multiLevelType w:val="multilevel"/>
    <w:tmpl w:val="C7E08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4918AB"/>
    <w:multiLevelType w:val="multilevel"/>
    <w:tmpl w:val="2BD4C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9E35183"/>
    <w:multiLevelType w:val="multilevel"/>
    <w:tmpl w:val="9348BC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21773E"/>
    <w:multiLevelType w:val="multilevel"/>
    <w:tmpl w:val="CD224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72A55EC"/>
    <w:multiLevelType w:val="multilevel"/>
    <w:tmpl w:val="F7925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9368BC"/>
    <w:multiLevelType w:val="multilevel"/>
    <w:tmpl w:val="6CD0D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8322C3D"/>
    <w:multiLevelType w:val="multilevel"/>
    <w:tmpl w:val="A6CC6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ED16F4"/>
    <w:multiLevelType w:val="multilevel"/>
    <w:tmpl w:val="87207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A62DCD"/>
    <w:multiLevelType w:val="multilevel"/>
    <w:tmpl w:val="7E38A8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707387B"/>
    <w:multiLevelType w:val="multilevel"/>
    <w:tmpl w:val="0C22D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AF2D23"/>
    <w:multiLevelType w:val="multilevel"/>
    <w:tmpl w:val="8C147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13"/>
  </w:num>
  <w:num w:numId="3">
    <w:abstractNumId w:val="2"/>
  </w:num>
  <w:num w:numId="4">
    <w:abstractNumId w:val="6"/>
  </w:num>
  <w:num w:numId="5">
    <w:abstractNumId w:val="3"/>
  </w:num>
  <w:num w:numId="6">
    <w:abstractNumId w:val="12"/>
  </w:num>
  <w:num w:numId="7">
    <w:abstractNumId w:val="10"/>
  </w:num>
  <w:num w:numId="8">
    <w:abstractNumId w:val="8"/>
  </w:num>
  <w:num w:numId="9">
    <w:abstractNumId w:val="11"/>
  </w:num>
  <w:num w:numId="10">
    <w:abstractNumId w:val="9"/>
  </w:num>
  <w:num w:numId="11">
    <w:abstractNumId w:val="1"/>
  </w:num>
  <w:num w:numId="12">
    <w:abstractNumId w:val="4"/>
  </w:num>
  <w:num w:numId="13">
    <w:abstractNumId w:val="7"/>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37"/>
    <w:rsid w:val="001A7FDE"/>
    <w:rsid w:val="00395803"/>
    <w:rsid w:val="004955E9"/>
    <w:rsid w:val="00500EB3"/>
    <w:rsid w:val="008A21DC"/>
    <w:rsid w:val="009473E5"/>
    <w:rsid w:val="009B021C"/>
    <w:rsid w:val="00C05716"/>
    <w:rsid w:val="00DA2A37"/>
    <w:rsid w:val="00E97630"/>
    <w:rsid w:val="00EB3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E1F0"/>
  <w15:chartTrackingRefBased/>
  <w15:docId w15:val="{1E59CB8D-F530-4DE0-AA9A-B586F7D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A37"/>
    <w:rPr>
      <w:color w:val="0563C1" w:themeColor="hyperlink"/>
      <w:u w:val="single"/>
    </w:rPr>
  </w:style>
  <w:style w:type="character" w:styleId="UnresolvedMention">
    <w:name w:val="Unresolved Mention"/>
    <w:basedOn w:val="DefaultParagraphFont"/>
    <w:uiPriority w:val="99"/>
    <w:semiHidden/>
    <w:unhideWhenUsed/>
    <w:rsid w:val="00DA2A37"/>
    <w:rPr>
      <w:color w:val="605E5C"/>
      <w:shd w:val="clear" w:color="auto" w:fill="E1DFDD"/>
    </w:rPr>
  </w:style>
  <w:style w:type="paragraph" w:styleId="ListParagraph">
    <w:name w:val="List Paragraph"/>
    <w:basedOn w:val="Normal"/>
    <w:uiPriority w:val="34"/>
    <w:qFormat/>
    <w:rsid w:val="00DA2A37"/>
    <w:pPr>
      <w:spacing w:after="200" w:line="276" w:lineRule="auto"/>
      <w:ind w:left="720"/>
      <w:contextualSpacing/>
    </w:pPr>
    <w:rPr>
      <w:rFonts w:ascii="Arial" w:hAnsi="Arial"/>
    </w:rPr>
  </w:style>
  <w:style w:type="paragraph" w:styleId="Header">
    <w:name w:val="header"/>
    <w:basedOn w:val="Normal"/>
    <w:link w:val="HeaderChar"/>
    <w:uiPriority w:val="99"/>
    <w:unhideWhenUsed/>
    <w:rsid w:val="00947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3E5"/>
  </w:style>
  <w:style w:type="paragraph" w:styleId="Footer">
    <w:name w:val="footer"/>
    <w:basedOn w:val="Normal"/>
    <w:link w:val="FooterChar"/>
    <w:uiPriority w:val="99"/>
    <w:unhideWhenUsed/>
    <w:rsid w:val="00947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2021-10-13T01:44:00Z</dcterms:created>
  <dcterms:modified xsi:type="dcterms:W3CDTF">2021-10-13T01:44:00Z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A19479637</vt:lpwstr>
  </property>
  <property fmtid="{D5CDD505-2E9C-101B-9397-08002B2CF9AE}" pid="4" name="Objective-Title">
    <vt:lpwstr>9.4.1.5 Extractive industry zone - Assessable UPDATED</vt:lpwstr>
  </property>
  <property fmtid="{D5CDD505-2E9C-101B-9397-08002B2CF9AE}" pid="5" name="Objective-Comment">
    <vt:lpwstr/>
  </property>
  <property fmtid="{D5CDD505-2E9C-101B-9397-08002B2CF9AE}" pid="6" name="Objective-CreationStamp">
    <vt:filetime>2019-12-16T06:34:08Z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2020-01-23T01:30:29Z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