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427"/>
        <w:gridCol w:w="5428"/>
        <w:gridCol w:w="2482"/>
        <w:gridCol w:w="3061"/>
      </w:tblGrid>
      <w:tr w:rsidR="00816DE1" w:rsidRPr="00816DE1" w:rsidTr="00816DE1">
        <w:trPr>
          <w:tblCellSpacing w:w="15" w:type="dxa"/>
        </w:trPr>
        <w:tc>
          <w:tcPr>
            <w:tcW w:w="4981" w:type="pct"/>
            <w:gridSpan w:val="4"/>
            <w:tcBorders>
              <w:top w:val="nil"/>
              <w:left w:val="nil"/>
              <w:bottom w:val="nil"/>
              <w:right w:val="nil"/>
            </w:tcBorders>
            <w:shd w:val="clear" w:color="auto" w:fill="CCCCCC"/>
            <w:vAlign w:val="center"/>
            <w:hideMark/>
          </w:tcPr>
          <w:p w:rsidR="00816DE1" w:rsidRPr="00816DE1" w:rsidRDefault="00816DE1" w:rsidP="00E257BD">
            <w:pPr>
              <w:jc w:val="center"/>
              <w:rPr>
                <w:rStyle w:val="Strong"/>
                <w:rFonts w:ascii="Arial" w:eastAsia="Times New Roman" w:hAnsi="Arial" w:cs="Arial"/>
                <w:sz w:val="20"/>
                <w:szCs w:val="20"/>
              </w:rPr>
            </w:pPr>
            <w:r w:rsidRPr="00816DE1">
              <w:rPr>
                <w:rStyle w:val="Strong"/>
                <w:rFonts w:ascii="Arial" w:eastAsia="Times New Roman" w:hAnsi="Arial" w:cs="Arial"/>
                <w:sz w:val="20"/>
                <w:szCs w:val="20"/>
              </w:rPr>
              <w:t>Table 9.3.1.2 Criteria for assessable development</w:t>
            </w: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Performance Outcomes</w:t>
            </w:r>
          </w:p>
        </w:tc>
        <w:tc>
          <w:tcPr>
            <w:tcW w:w="1753" w:type="pct"/>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Examples that achieve aspects of the Performance Outcomes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816DE1">
            <w:pPr>
              <w:pStyle w:val="NormalWeb"/>
              <w:spacing w:before="0" w:beforeAutospacing="0" w:after="0" w:afterAutospacing="0"/>
              <w:rPr>
                <w:rFonts w:ascii="Arial" w:hAnsi="Arial" w:cs="Arial"/>
                <w:b/>
                <w:bCs/>
                <w:sz w:val="20"/>
                <w:szCs w:val="20"/>
              </w:rPr>
            </w:pPr>
            <w:r w:rsidRPr="00816DE1">
              <w:rPr>
                <w:rFonts w:ascii="Arial" w:hAnsi="Arial" w:cs="Arial"/>
                <w:b/>
                <w:bCs/>
                <w:sz w:val="20"/>
                <w:szCs w:val="20"/>
              </w:rPr>
              <w:t>E Compliance</w:t>
            </w:r>
          </w:p>
          <w:p w:rsidR="00816DE1" w:rsidRPr="00816DE1" w:rsidRDefault="00816DE1" w:rsidP="0069586D">
            <w:pPr>
              <w:pStyle w:val="NormalWeb"/>
              <w:numPr>
                <w:ilvl w:val="0"/>
                <w:numId w:val="94"/>
              </w:numPr>
              <w:spacing w:before="0" w:beforeAutospacing="0" w:after="0" w:afterAutospacing="0"/>
              <w:rPr>
                <w:rFonts w:ascii="Arial" w:hAnsi="Arial" w:cs="Arial"/>
                <w:b/>
                <w:bCs/>
                <w:sz w:val="20"/>
                <w:szCs w:val="20"/>
              </w:rPr>
            </w:pPr>
            <w:r w:rsidRPr="00816DE1">
              <w:rPr>
                <w:rFonts w:ascii="Arial" w:hAnsi="Arial" w:cs="Arial"/>
                <w:b/>
                <w:bCs/>
                <w:sz w:val="20"/>
                <w:szCs w:val="20"/>
              </w:rPr>
              <w:t>Yes</w:t>
            </w:r>
          </w:p>
          <w:p w:rsidR="00816DE1" w:rsidRPr="00816DE1" w:rsidRDefault="00816DE1" w:rsidP="0069586D">
            <w:pPr>
              <w:pStyle w:val="NormalWeb"/>
              <w:numPr>
                <w:ilvl w:val="0"/>
                <w:numId w:val="94"/>
              </w:numPr>
              <w:spacing w:before="0" w:beforeAutospacing="0" w:after="0" w:afterAutospacing="0"/>
              <w:rPr>
                <w:rFonts w:ascii="Arial" w:hAnsi="Arial" w:cs="Arial"/>
                <w:b/>
                <w:bCs/>
                <w:sz w:val="20"/>
                <w:szCs w:val="20"/>
              </w:rPr>
            </w:pPr>
            <w:r w:rsidRPr="00816DE1">
              <w:rPr>
                <w:rFonts w:ascii="Arial" w:hAnsi="Arial" w:cs="Arial"/>
                <w:b/>
                <w:bCs/>
                <w:sz w:val="20"/>
                <w:szCs w:val="20"/>
              </w:rPr>
              <w:t>No See PO or</w:t>
            </w:r>
          </w:p>
          <w:p w:rsidR="00816DE1" w:rsidRPr="00816DE1" w:rsidRDefault="00816DE1" w:rsidP="0069586D">
            <w:pPr>
              <w:pStyle w:val="NormalWeb"/>
              <w:numPr>
                <w:ilvl w:val="0"/>
                <w:numId w:val="94"/>
              </w:numPr>
              <w:spacing w:before="0" w:beforeAutospacing="0" w:after="0" w:afterAutospacing="0"/>
              <w:rPr>
                <w:rStyle w:val="Strong"/>
                <w:rFonts w:ascii="Arial" w:hAnsi="Arial" w:cs="Arial"/>
                <w:sz w:val="20"/>
                <w:szCs w:val="20"/>
              </w:rPr>
            </w:pPr>
            <w:r w:rsidRPr="00816DE1">
              <w:rPr>
                <w:rFonts w:ascii="Arial" w:hAnsi="Arial" w:cs="Arial"/>
                <w:b/>
                <w:bCs/>
                <w:sz w:val="20"/>
                <w:szCs w:val="20"/>
              </w:rPr>
              <w:t>NA</w:t>
            </w: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r w:rsidRPr="00816DE1">
              <w:rPr>
                <w:rFonts w:ascii="Arial" w:hAnsi="Arial" w:cs="Arial"/>
                <w:b/>
                <w:bCs/>
                <w:sz w:val="20"/>
                <w:szCs w:val="20"/>
              </w:rPr>
              <w:t>Justification for compliance</w:t>
            </w:r>
          </w:p>
        </w:tc>
      </w:tr>
      <w:tr w:rsidR="00E257BD" w:rsidRPr="00816DE1" w:rsidTr="00E257BD">
        <w:trPr>
          <w:tblCellSpacing w:w="15" w:type="dxa"/>
        </w:trPr>
        <w:tc>
          <w:tcPr>
            <w:tcW w:w="4981" w:type="pct"/>
            <w:gridSpan w:val="4"/>
            <w:tcBorders>
              <w:top w:val="single" w:sz="4" w:space="0" w:color="000000"/>
              <w:left w:val="single" w:sz="4" w:space="0" w:color="000000"/>
              <w:bottom w:val="single" w:sz="4" w:space="0" w:color="000000"/>
              <w:right w:val="single" w:sz="4" w:space="0" w:color="000000"/>
            </w:tcBorders>
            <w:shd w:val="clear" w:color="auto" w:fill="CCCCCC"/>
            <w:hideMark/>
          </w:tcPr>
          <w:p w:rsidR="00E257BD" w:rsidRPr="00816DE1" w:rsidRDefault="00E257BD" w:rsidP="00E257BD">
            <w:pPr>
              <w:pStyle w:val="NormalWeb"/>
              <w:jc w:val="center"/>
              <w:rPr>
                <w:rStyle w:val="Strong"/>
                <w:rFonts w:ascii="Arial" w:hAnsi="Arial" w:cs="Arial"/>
                <w:sz w:val="20"/>
                <w:szCs w:val="20"/>
              </w:rPr>
            </w:pPr>
            <w:r w:rsidRPr="00816DE1">
              <w:rPr>
                <w:rStyle w:val="Strong"/>
                <w:rFonts w:ascii="Arial" w:hAnsi="Arial" w:cs="Arial"/>
                <w:sz w:val="20"/>
                <w:szCs w:val="20"/>
              </w:rPr>
              <w:t>General criteria</w:t>
            </w: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Building height</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313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have a height that:</w:t>
            </w:r>
          </w:p>
          <w:p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is consistent with the intended character of the streetscape, precinct and zone;</w:t>
            </w:r>
          </w:p>
          <w:p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responds to the topographical features of the lot, including slope and orientation;</w:t>
            </w:r>
          </w:p>
          <w:p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is not visually dominant or overbearing with respect to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P4 and MP1.2, P4.</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 height does not exceed that mapped on Overlay map – Building heights.</w:t>
            </w:r>
          </w:p>
          <w:tbl>
            <w:tblPr>
              <w:tblW w:w="54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9"/>
            </w:tblGrid>
            <w:tr w:rsidR="00816DE1" w:rsidRPr="00816DE1" w:rsidTr="00816DE1">
              <w:trPr>
                <w:trHeight w:val="2451"/>
                <w:tblCellSpacing w:w="15" w:type="dxa"/>
              </w:trPr>
              <w:tc>
                <w:tcPr>
                  <w:tcW w:w="542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Minimum's mapped on Overlay map - Building heights, do not apply to Dwelling houses.</w:t>
                  </w:r>
                </w:p>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above does not apply to domestic outbuildings. Refer to assessment criteria for Domestic outbuildings for requirements.</w:t>
                  </w:r>
                </w:p>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is an alternative provision to the QDC, part MP1.1, A4 and part MP1.2, A4. Non-compliance with this provision for a Dwelling house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26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Tall structures (e.g. antenna, aerial, chimney, flagpole, receiving dishes or the like) have a height and diameter that:</w:t>
            </w:r>
          </w:p>
          <w:p w:rsidR="00816DE1" w:rsidRPr="00816DE1" w:rsidRDefault="00816DE1" w:rsidP="0069586D">
            <w:pPr>
              <w:numPr>
                <w:ilvl w:val="0"/>
                <w:numId w:val="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not visually dominant or overbearing with respect to the streetscape and the wider receiving environment;</w:t>
            </w:r>
          </w:p>
          <w:p w:rsidR="00816DE1" w:rsidRDefault="00816DE1" w:rsidP="0069586D">
            <w:pPr>
              <w:numPr>
                <w:ilvl w:val="0"/>
                <w:numId w:val="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affect amenity of the area or of adjoining properties.</w:t>
            </w:r>
          </w:p>
          <w:p w:rsidR="00A07A87" w:rsidRPr="00816DE1" w:rsidRDefault="00A07A87" w:rsidP="00A07A87">
            <w:pPr>
              <w:spacing w:before="100" w:beforeAutospacing="1" w:after="100" w:afterAutospacing="1"/>
              <w:ind w:left="720"/>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height of tall structures (e.g. antenna, aerial, chimney, flagpole or the like) projects no more than 8.5m above ground level and transmission and receiving dishes are no larger than 1.2m diameter.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Setbacks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Default="00816DE1" w:rsidP="00E257BD">
            <w:pPr>
              <w:pStyle w:val="NormalWeb"/>
              <w:rPr>
                <w:rStyle w:val="Strong"/>
                <w:rFonts w:ascii="Arial" w:hAnsi="Arial" w:cs="Arial"/>
                <w:sz w:val="20"/>
                <w:szCs w:val="20"/>
              </w:rPr>
            </w:pPr>
          </w:p>
          <w:p w:rsidR="00C64A89" w:rsidRPr="00C64A89" w:rsidRDefault="00C64A89" w:rsidP="00C64A89"/>
        </w:tc>
      </w:tr>
      <w:tr w:rsidR="00E257BD" w:rsidRPr="00816DE1" w:rsidTr="00E257BD">
        <w:trPr>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and structures are setback to:</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be consistent with the intended character of the streetscape, precinct and zone;</w:t>
            </w:r>
          </w:p>
          <w:tbl>
            <w:tblPr>
              <w:tblW w:w="3599" w:type="dxa"/>
              <w:tblCellSpacing w:w="15" w:type="dxa"/>
              <w:tblInd w:w="720" w:type="dxa"/>
              <w:tblLayout w:type="fixed"/>
              <w:tblCellMar>
                <w:top w:w="30" w:type="dxa"/>
                <w:left w:w="30" w:type="dxa"/>
                <w:bottom w:w="30" w:type="dxa"/>
                <w:right w:w="30" w:type="dxa"/>
              </w:tblCellMar>
              <w:tblLook w:val="04A0" w:firstRow="1" w:lastRow="0" w:firstColumn="1" w:lastColumn="0" w:noHBand="0" w:noVBand="1"/>
              <w:tblDescription w:val=""/>
            </w:tblPr>
            <w:tblGrid>
              <w:gridCol w:w="3599"/>
            </w:tblGrid>
            <w:tr w:rsidR="00E257BD" w:rsidRPr="00816DE1" w:rsidTr="00E257BD">
              <w:trPr>
                <w:trHeight w:val="863"/>
                <w:tblCellSpacing w:w="15" w:type="dxa"/>
              </w:trPr>
              <w:tc>
                <w:tcPr>
                  <w:tcW w:w="353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the overall outcomes for the relevant zone, precinct or sub-precinct to determine the relevant precinct character intended.</w:t>
                  </w:r>
                </w:p>
              </w:tc>
            </w:tr>
          </w:tbl>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ensure parked vehicles do not restrict pedestrian and traffic movement and safety;</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 xml:space="preserve">provide adequate separation to </w:t>
            </w:r>
            <w:proofErr w:type="gramStart"/>
            <w:r w:rsidRPr="00816DE1">
              <w:rPr>
                <w:rFonts w:ascii="Arial" w:hAnsi="Arial" w:cs="Arial"/>
                <w:sz w:val="20"/>
                <w:szCs w:val="20"/>
              </w:rPr>
              <w:t>particular infrastructure</w:t>
            </w:r>
            <w:proofErr w:type="gramEnd"/>
            <w:r w:rsidRPr="00816DE1">
              <w:rPr>
                <w:rFonts w:ascii="Arial" w:hAnsi="Arial" w:cs="Arial"/>
                <w:sz w:val="20"/>
                <w:szCs w:val="20"/>
              </w:rPr>
              <w:t xml:space="preserve"> and waterbodies to minimise adverse impacts on people, property, water quality and infrastructure;</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maintain the privacy of residents and adjoining properties;</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limit the length and height of boundary walls to maximise privacy and amenity of residents on adjoining properties;</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ensure built to boundary walls do not create unusable or inaccessible spaces and do not negatively impact the streetscape character or the expected amenity of residents on adjoining properties;</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maintain private open space areas that are of a size and shape that are </w:t>
            </w:r>
            <w:r w:rsidR="00DB20B8">
              <w:rPr>
                <w:rFonts w:ascii="Arial" w:hAnsi="Arial" w:cs="Arial"/>
                <w:sz w:val="20"/>
                <w:szCs w:val="20"/>
              </w:rPr>
              <w:t xml:space="preserve">attractive, </w:t>
            </w:r>
            <w:r w:rsidRPr="00816DE1">
              <w:rPr>
                <w:rFonts w:ascii="Arial" w:hAnsi="Arial" w:cs="Arial"/>
                <w:sz w:val="20"/>
                <w:szCs w:val="20"/>
              </w:rPr>
              <w:t>useable and functional</w:t>
            </w:r>
            <w:r w:rsidR="00DB20B8">
              <w:rPr>
                <w:rFonts w:ascii="Arial" w:hAnsi="Arial" w:cs="Arial"/>
                <w:sz w:val="20"/>
                <w:szCs w:val="20"/>
              </w:rPr>
              <w:t>,</w:t>
            </w:r>
            <w:r w:rsidRPr="00816DE1">
              <w:rPr>
                <w:rFonts w:ascii="Arial" w:hAnsi="Arial" w:cs="Arial"/>
                <w:sz w:val="20"/>
                <w:szCs w:val="20"/>
              </w:rPr>
              <w:t> and</w:t>
            </w:r>
            <w:r w:rsidR="00DB20B8">
              <w:rPr>
                <w:rFonts w:ascii="Arial" w:hAnsi="Arial" w:cs="Arial"/>
                <w:sz w:val="20"/>
                <w:szCs w:val="20"/>
              </w:rPr>
              <w:t xml:space="preserve"> in the Caboolture West </w:t>
            </w:r>
            <w:r w:rsidR="00DB20B8">
              <w:rPr>
                <w:rFonts w:ascii="Arial" w:hAnsi="Arial" w:cs="Arial"/>
                <w:sz w:val="20"/>
                <w:szCs w:val="20"/>
              </w:rPr>
              <w:lastRenderedPageBreak/>
              <w:t>local plan are maximised between the dwelling and rear boundary; and</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ensure covered car parking spaces and domestic outbuildings that are visible from the street or public place are of a scale, location and built form that is consistent with the existing streetscape and character of the precinct and avoids dominating or otherwise negatively impacting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5000" w:type="pct"/>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Editor's note - For example, materials, colours, finishes and roof form are consistent with the existing dwelling.</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P1 and P2 and MP1.2, P1 and P2.</w:t>
                  </w:r>
                </w:p>
              </w:tc>
            </w:tr>
          </w:tbl>
          <w:p w:rsidR="00816DE1" w:rsidRPr="00C64A89" w:rsidRDefault="00816DE1" w:rsidP="00E257BD">
            <w:pPr>
              <w:rPr>
                <w:rFonts w:ascii="Arial" w:eastAsia="Times New Roman" w:hAnsi="Arial" w:cs="Arial"/>
                <w:vanish/>
                <w:sz w:val="18"/>
                <w:szCs w:val="20"/>
              </w:rPr>
            </w:pP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C64A89" w:rsidTr="00E257BD">
              <w:trPr>
                <w:trHeight w:val="405"/>
                <w:tblCellSpacing w:w="15" w:type="dxa"/>
              </w:trPr>
              <w:tc>
                <w:tcPr>
                  <w:tcW w:w="426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816DE1" w:rsidRPr="00C64A89" w:rsidTr="00E257BD">
              <w:trPr>
                <w:trHeight w:val="787"/>
                <w:tblCellSpacing w:w="15" w:type="dxa"/>
              </w:trPr>
              <w:tc>
                <w:tcPr>
                  <w:tcW w:w="426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Editor's note - The location and design of the Dwelling house, specifically garages and covered car parking spaces are to ensure the design and location of any resultant driveways and crossovers are able to comply with relevant criteria of Planning scheme policy - Integrated design (Appendix A) for Driveways, Vehicle and Pedestrian Crossover.</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E3.1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Setbacks comply with:</w:t>
            </w:r>
          </w:p>
          <w:p w:rsidR="00816DE1" w:rsidRPr="00816DE1" w:rsidRDefault="00816DE1" w:rsidP="0069586D">
            <w:pPr>
              <w:pStyle w:val="NormalWeb"/>
              <w:numPr>
                <w:ilvl w:val="0"/>
                <w:numId w:val="4"/>
              </w:numPr>
              <w:rPr>
                <w:rFonts w:ascii="Arial" w:hAnsi="Arial" w:cs="Arial"/>
                <w:sz w:val="20"/>
                <w:szCs w:val="20"/>
              </w:rPr>
            </w:pPr>
            <w:r w:rsidRPr="00816DE1">
              <w:rPr>
                <w:rFonts w:ascii="Arial" w:hAnsi="Arial" w:cs="Arial"/>
                <w:sz w:val="20"/>
                <w:szCs w:val="20"/>
              </w:rPr>
              <w:t>Emerging community zone:</w:t>
            </w:r>
          </w:p>
          <w:p w:rsidR="00816DE1" w:rsidRPr="00C64A89" w:rsidRDefault="00816DE1" w:rsidP="0069586D">
            <w:pPr>
              <w:pStyle w:val="NormalWeb"/>
              <w:numPr>
                <w:ilvl w:val="1"/>
                <w:numId w:val="4"/>
              </w:numPr>
              <w:rPr>
                <w:rFonts w:ascii="Arial" w:hAnsi="Arial" w:cs="Arial"/>
                <w:sz w:val="20"/>
                <w:szCs w:val="20"/>
              </w:rPr>
            </w:pPr>
            <w:r w:rsidRPr="00816DE1">
              <w:rPr>
                <w:rFonts w:ascii="Arial" w:hAnsi="Arial" w:cs="Arial"/>
                <w:sz w:val="20"/>
                <w:szCs w:val="20"/>
              </w:rPr>
              <w:t xml:space="preserve">Transition precinct (developed lot) Morayfield South urban area identified in </w:t>
            </w:r>
            <w:hyperlink r:id="rId8" w:anchor="ID-2859427-532" w:history="1">
              <w:r w:rsidRPr="00C64A89">
                <w:rPr>
                  <w:rStyle w:val="Hyperlink"/>
                  <w:rFonts w:ascii="Arial" w:hAnsi="Arial" w:cs="Arial"/>
                  <w:color w:val="auto"/>
                  <w:sz w:val="20"/>
                  <w:szCs w:val="20"/>
                  <w:u w:val="none"/>
                </w:rPr>
                <w:t>‘Figure 9.3.1.1 Morayfield South - Urban area ’</w:t>
              </w:r>
            </w:hyperlink>
            <w:r w:rsidRPr="00C64A89">
              <w:rPr>
                <w:rFonts w:ascii="Arial" w:hAnsi="Arial" w:cs="Arial"/>
                <w:sz w:val="20"/>
                <w:szCs w:val="20"/>
              </w:rPr>
              <w:t xml:space="preserve"> - </w:t>
            </w:r>
            <w:hyperlink r:id="rId9" w:anchor="ID-2859427-TABLE-9.3.1.6" w:history="1">
              <w:r w:rsidRPr="00C64A89">
                <w:rPr>
                  <w:rStyle w:val="Hyperlink"/>
                  <w:rFonts w:ascii="Arial" w:hAnsi="Arial" w:cs="Arial"/>
                  <w:color w:val="auto"/>
                  <w:sz w:val="20"/>
                  <w:szCs w:val="20"/>
                  <w:u w:val="none"/>
                </w:rPr>
                <w:t>Table 9.3.1.6 ‘Setbacks’</w:t>
              </w:r>
            </w:hyperlink>
          </w:p>
          <w:p w:rsidR="00816DE1" w:rsidRPr="00C64A89" w:rsidRDefault="00816DE1" w:rsidP="0069586D">
            <w:pPr>
              <w:pStyle w:val="NormalWeb"/>
              <w:numPr>
                <w:ilvl w:val="1"/>
                <w:numId w:val="4"/>
              </w:numPr>
              <w:rPr>
                <w:rFonts w:ascii="Arial" w:hAnsi="Arial" w:cs="Arial"/>
                <w:sz w:val="20"/>
                <w:szCs w:val="20"/>
              </w:rPr>
            </w:pPr>
            <w:r w:rsidRPr="00C64A89">
              <w:rPr>
                <w:rFonts w:ascii="Arial" w:hAnsi="Arial" w:cs="Arial"/>
                <w:sz w:val="20"/>
                <w:szCs w:val="20"/>
              </w:rPr>
              <w:t xml:space="preserve">Transition precinct (developed lot) all other areas - </w:t>
            </w:r>
            <w:hyperlink r:id="rId10" w:anchor="ID-2859427-TABLE-9.3.1.5" w:history="1">
              <w:r w:rsidRPr="00C64A89">
                <w:rPr>
                  <w:rStyle w:val="Hyperlink"/>
                  <w:rFonts w:ascii="Arial" w:hAnsi="Arial" w:cs="Arial"/>
                  <w:color w:val="auto"/>
                  <w:sz w:val="20"/>
                  <w:szCs w:val="20"/>
                  <w:u w:val="none"/>
                </w:rPr>
                <w:t>Table 9.3.1.5 ‘Setbacks’</w:t>
              </w:r>
            </w:hyperlink>
          </w:p>
          <w:p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General residential zone:</w:t>
            </w:r>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Coastal communities precinct - </w:t>
            </w:r>
            <w:hyperlink r:id="rId11" w:anchor="ID-2859427-TABLE-9.3.1.3" w:history="1">
              <w:r w:rsidRPr="00C64A89">
                <w:rPr>
                  <w:rStyle w:val="Hyperlink"/>
                  <w:rFonts w:ascii="Arial" w:hAnsi="Arial" w:cs="Arial"/>
                  <w:color w:val="auto"/>
                  <w:sz w:val="20"/>
                  <w:szCs w:val="20"/>
                  <w:u w:val="none"/>
                </w:rPr>
                <w:t>Table 9.3.1.3 ‘Setbacks’</w:t>
              </w:r>
            </w:hyperlink>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Suburban neighbourhood precinct - </w:t>
            </w:r>
            <w:hyperlink r:id="rId12" w:anchor="ID-2859427-TABLE-9.3.1.4" w:history="1">
              <w:r w:rsidRPr="00C64A89">
                <w:rPr>
                  <w:rStyle w:val="Hyperlink"/>
                  <w:rFonts w:ascii="Arial" w:hAnsi="Arial" w:cs="Arial"/>
                  <w:color w:val="auto"/>
                  <w:sz w:val="20"/>
                  <w:szCs w:val="20"/>
                  <w:u w:val="none"/>
                </w:rPr>
                <w:t>Table 9.3.1.4 ‘Setbacks’</w:t>
              </w:r>
            </w:hyperlink>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Next generation neighbourhood precinct - </w:t>
            </w:r>
            <w:hyperlink r:id="rId13" w:anchor="ID-2859427-TABLE-9.3.1.5" w:history="1">
              <w:r w:rsidRPr="00C64A89">
                <w:rPr>
                  <w:rStyle w:val="Hyperlink"/>
                  <w:rFonts w:ascii="Arial" w:hAnsi="Arial" w:cs="Arial"/>
                  <w:color w:val="auto"/>
                  <w:sz w:val="20"/>
                  <w:szCs w:val="20"/>
                  <w:u w:val="none"/>
                </w:rPr>
                <w:t>Table 9.3.1.5 ‘Setbacks’</w:t>
              </w:r>
            </w:hyperlink>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Urban neighbourhood precinct - </w:t>
            </w:r>
            <w:hyperlink r:id="rId14" w:anchor="ID-2859427-TABLE-9.3.1.6" w:history="1">
              <w:r w:rsidRPr="00C64A89">
                <w:rPr>
                  <w:rStyle w:val="Hyperlink"/>
                  <w:rFonts w:ascii="Arial" w:hAnsi="Arial" w:cs="Arial"/>
                  <w:color w:val="auto"/>
                  <w:sz w:val="20"/>
                  <w:szCs w:val="20"/>
                  <w:u w:val="none"/>
                </w:rPr>
                <w:t>Table 9.3.1.6 ‘Setbacks’</w:t>
              </w:r>
            </w:hyperlink>
          </w:p>
          <w:p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Caboolture West local plan:</w:t>
            </w:r>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Urban living precinct - Next generation sub-precinct - </w:t>
            </w:r>
            <w:hyperlink r:id="rId15" w:anchor="ID-2859427-TABLE-9.3.1.5" w:history="1">
              <w:r w:rsidRPr="00C64A89">
                <w:rPr>
                  <w:rStyle w:val="Hyperlink"/>
                  <w:rFonts w:ascii="Arial" w:hAnsi="Arial" w:cs="Arial"/>
                  <w:color w:val="auto"/>
                  <w:sz w:val="20"/>
                  <w:szCs w:val="20"/>
                  <w:u w:val="none"/>
                </w:rPr>
                <w:t>Table 9.3.1.</w:t>
              </w:r>
              <w:r w:rsidR="00DB20B8">
                <w:rPr>
                  <w:rStyle w:val="Hyperlink"/>
                  <w:rFonts w:ascii="Arial" w:hAnsi="Arial" w:cs="Arial"/>
                  <w:color w:val="auto"/>
                  <w:sz w:val="20"/>
                  <w:szCs w:val="20"/>
                  <w:u w:val="none"/>
                </w:rPr>
                <w:t>7</w:t>
              </w:r>
              <w:r w:rsidRPr="00C64A89">
                <w:rPr>
                  <w:rStyle w:val="Hyperlink"/>
                  <w:rFonts w:ascii="Arial" w:hAnsi="Arial" w:cs="Arial"/>
                  <w:color w:val="auto"/>
                  <w:sz w:val="20"/>
                  <w:szCs w:val="20"/>
                  <w:u w:val="none"/>
                </w:rPr>
                <w:t xml:space="preserve"> ‘Setbacks’</w:t>
              </w:r>
            </w:hyperlink>
          </w:p>
          <w:p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Redcliffe Kippa-Ring local plan:</w:t>
            </w:r>
          </w:p>
          <w:p w:rsidR="00816DE1" w:rsidRPr="00816DE1" w:rsidRDefault="00816DE1" w:rsidP="0069586D">
            <w:pPr>
              <w:pStyle w:val="NormalWeb"/>
              <w:numPr>
                <w:ilvl w:val="1"/>
                <w:numId w:val="5"/>
              </w:numPr>
              <w:rPr>
                <w:rFonts w:ascii="Arial" w:hAnsi="Arial" w:cs="Arial"/>
                <w:sz w:val="20"/>
                <w:szCs w:val="20"/>
              </w:rPr>
            </w:pPr>
            <w:r w:rsidRPr="00816DE1">
              <w:rPr>
                <w:rFonts w:ascii="Arial" w:hAnsi="Arial" w:cs="Arial"/>
                <w:sz w:val="20"/>
                <w:szCs w:val="20"/>
              </w:rPr>
              <w:t>Interim residential precinct - Setbacks</w:t>
            </w:r>
          </w:p>
          <w:p w:rsidR="00816DE1" w:rsidRPr="00816DE1" w:rsidRDefault="00816DE1" w:rsidP="00E257BD">
            <w:pPr>
              <w:rPr>
                <w:rFonts w:ascii="Arial" w:hAnsi="Arial" w:cs="Arial"/>
                <w:sz w:val="20"/>
                <w:szCs w:val="20"/>
              </w:rPr>
            </w:pPr>
            <w:r w:rsidRPr="00816DE1">
              <w:rPr>
                <w:rFonts w:ascii="Arial" w:eastAsia="Times New Roman" w:hAnsi="Arial" w:cs="Arial"/>
                <w:sz w:val="20"/>
                <w:szCs w:val="20"/>
              </w:rPr>
              <w:br/>
            </w:r>
            <w:r w:rsidRPr="00816DE1">
              <w:rPr>
                <w:rStyle w:val="Strong"/>
                <w:rFonts w:ascii="Arial" w:hAnsi="Arial" w:cs="Arial"/>
                <w:sz w:val="20"/>
                <w:szCs w:val="20"/>
              </w:rPr>
              <w:t>Except for carports</w:t>
            </w:r>
            <w:r w:rsidRPr="00816DE1">
              <w:rPr>
                <w:rFonts w:ascii="Arial" w:hAnsi="Arial" w:cs="Arial"/>
                <w:sz w:val="20"/>
                <w:szCs w:val="20"/>
              </w:rPr>
              <w:t> in the primary and secondary frontage where they:</w:t>
            </w:r>
          </w:p>
          <w:p w:rsidR="00816DE1" w:rsidRPr="00816DE1" w:rsidRDefault="00816DE1" w:rsidP="0069586D">
            <w:pPr>
              <w:numPr>
                <w:ilvl w:val="0"/>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set back a minimum of:</w:t>
            </w:r>
            <w:r w:rsidRPr="00816DE1">
              <w:rPr>
                <w:rFonts w:ascii="Arial" w:eastAsia="Times New Roman" w:hAnsi="Arial" w:cs="Arial"/>
                <w:sz w:val="20"/>
                <w:szCs w:val="20"/>
              </w:rPr>
              <w:br/>
            </w:r>
          </w:p>
          <w:p w:rsidR="00816DE1" w:rsidRPr="00816DE1" w:rsidRDefault="00816DE1" w:rsidP="0069586D">
            <w:pPr>
              <w:numPr>
                <w:ilvl w:val="1"/>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5.4m; or</w:t>
            </w:r>
          </w:p>
          <w:p w:rsidR="00816DE1" w:rsidRPr="00816DE1" w:rsidRDefault="00816DE1" w:rsidP="0069586D">
            <w:pPr>
              <w:numPr>
                <w:ilvl w:val="1"/>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if the dwelling was built before 2005: </w:t>
            </w:r>
          </w:p>
          <w:p w:rsidR="00816DE1" w:rsidRPr="00816DE1" w:rsidRDefault="00816DE1" w:rsidP="0069586D">
            <w:pPr>
              <w:numPr>
                <w:ilvl w:val="2"/>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not less than the setback to an existing lawfully constructed carport or garage on an adjoining lot </w:t>
            </w:r>
            <w:r w:rsidRPr="00816DE1">
              <w:rPr>
                <w:rFonts w:ascii="Arial" w:eastAsia="Times New Roman" w:hAnsi="Arial" w:cs="Arial"/>
                <w:sz w:val="20"/>
                <w:szCs w:val="20"/>
              </w:rPr>
              <w:lastRenderedPageBreak/>
              <w:t>having the same road frontage (where a lawfully constructed carport or garage is located on both sides, the lesser of the two is applicable); or </w:t>
            </w:r>
          </w:p>
          <w:p w:rsidR="00816DE1" w:rsidRPr="00816DE1" w:rsidRDefault="00816DE1" w:rsidP="0069586D">
            <w:pPr>
              <w:numPr>
                <w:ilvl w:val="2"/>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0.5m, whichever is the greater; and</w:t>
            </w:r>
          </w:p>
          <w:p w:rsidR="00816DE1" w:rsidRPr="00816DE1" w:rsidRDefault="00816DE1" w:rsidP="0069586D">
            <w:pPr>
              <w:numPr>
                <w:ilvl w:val="0"/>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remain open and are not enclosed by walls, screens, doors or the like.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is an alternative provision to the QDC, part MP1.1, A1 (a), (b) and (c), A2 (a), (b) and (d) and part MP1.2, A1 (a), (b) and (c), A2 (a), (b) and (d). Non-compliance with this provision for a Dwelling house</w:t>
                  </w:r>
                  <w:r w:rsidRPr="00C64A89">
                    <w:rPr>
                      <w:rFonts w:ascii="Arial" w:hAnsi="Arial" w:cs="Arial"/>
                      <w:sz w:val="18"/>
                      <w:szCs w:val="20"/>
                      <w:vertAlign w:val="superscript"/>
                    </w:rPr>
                    <w:t>(</w:t>
                  </w:r>
                  <w:hyperlink r:id="rId1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w:t>
                  </w:r>
                  <w:proofErr w:type="spellStart"/>
                  <w:r w:rsidRPr="00C64A89">
                    <w:rPr>
                      <w:rFonts w:ascii="Arial" w:hAnsi="Arial" w:cs="Arial"/>
                      <w:sz w:val="18"/>
                      <w:szCs w:val="20"/>
                    </w:rPr>
                    <w:t>Council.Note</w:t>
                  </w:r>
                  <w:proofErr w:type="spellEnd"/>
                  <w:r w:rsidRPr="00C64A89">
                    <w:rPr>
                      <w:rFonts w:ascii="Arial" w:hAnsi="Arial" w:cs="Arial"/>
                      <w:sz w:val="18"/>
                      <w:szCs w:val="20"/>
                    </w:rPr>
                    <w:t xml:space="preserve"> - Greater setbacks may be required if the lot adjoins an environmental corridor or area (Refer to values and constraints for details).</w:t>
                  </w:r>
                </w:p>
                <w:p w:rsidR="00816DE1" w:rsidRPr="00C64A89" w:rsidRDefault="00816DE1" w:rsidP="00DB20B8">
                  <w:pPr>
                    <w:pStyle w:val="NormalWeb"/>
                    <w:rPr>
                      <w:rFonts w:ascii="Arial" w:hAnsi="Arial" w:cs="Arial"/>
                      <w:sz w:val="18"/>
                      <w:szCs w:val="20"/>
                    </w:rPr>
                  </w:pPr>
                  <w:r w:rsidRPr="00C64A89">
                    <w:rPr>
                      <w:rFonts w:ascii="Arial" w:hAnsi="Arial" w:cs="Arial"/>
                      <w:sz w:val="18"/>
                      <w:szCs w:val="20"/>
                    </w:rPr>
                    <w:t>Note - The above setbacks apply only to Class 1a and Class 10a buildings/structures</w:t>
                  </w:r>
                  <w:r w:rsidR="00DB20B8">
                    <w:rPr>
                      <w:rFonts w:ascii="Arial" w:hAnsi="Arial" w:cs="Arial"/>
                      <w:sz w:val="18"/>
                      <w:szCs w:val="20"/>
                    </w:rPr>
                    <w:t>,</w:t>
                  </w:r>
                  <w:r w:rsidR="00DB20B8" w:rsidRPr="00DB20B8">
                    <w:rPr>
                      <w:rFonts w:ascii="Arial" w:hAnsi="Arial" w:cs="Arial"/>
                      <w:sz w:val="18"/>
                      <w:szCs w:val="20"/>
                    </w:rPr>
                    <w:t xml:space="preserve"> with the exception of domestic outbuildings (e.g. garden shed) where in the Caboolture West local plan - Urban living precinct - Next generation sub-precinct and with a maximum roofed area not more than 10m</w:t>
                  </w:r>
                  <w:r w:rsidR="00DB20B8" w:rsidRPr="00CB25C6">
                    <w:rPr>
                      <w:rFonts w:ascii="Arial" w:hAnsi="Arial" w:cs="Arial"/>
                      <w:sz w:val="18"/>
                      <w:szCs w:val="20"/>
                      <w:vertAlign w:val="superscript"/>
                    </w:rPr>
                    <w:t>2</w:t>
                  </w:r>
                  <w:r w:rsidR="00DB20B8" w:rsidRPr="00DB20B8">
                    <w:rPr>
                      <w:rFonts w:ascii="Arial" w:hAnsi="Arial" w:cs="Arial"/>
                      <w:sz w:val="18"/>
                      <w:szCs w:val="20"/>
                    </w:rPr>
                    <w:t xml:space="preserve"> and a height of not more than 2.5m.</w:t>
                  </w:r>
                </w:p>
              </w:tc>
            </w:tr>
            <w:tr w:rsidR="00816DE1" w:rsidRPr="00816DE1" w:rsidTr="00816DE1">
              <w:trPr>
                <w:tblCellSpacing w:w="15" w:type="dxa"/>
              </w:trPr>
              <w:tc>
                <w:tcPr>
                  <w:tcW w:w="5000" w:type="pct"/>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Editor's note - The location and design of the Dwelling house, specifically garages and covered car parking spaces are to ensure the design and location of any resultant driveways and crossovers are able to comply with relevant criteria of Planning scheme policy - Integrated design (Appendix A) for Driveways, Vehicle and Pedestrian Crossover.</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049"/>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hideMark/>
          </w:tcPr>
          <w:p w:rsidR="00816DE1" w:rsidRPr="00816DE1" w:rsidRDefault="00816DE1" w:rsidP="00E257BD">
            <w:pPr>
              <w:pStyle w:val="NormalWeb"/>
              <w:shd w:val="clear" w:color="auto" w:fill="FFFFFF"/>
              <w:rPr>
                <w:rFonts w:ascii="Arial" w:hAnsi="Arial" w:cs="Arial"/>
                <w:sz w:val="20"/>
                <w:szCs w:val="20"/>
              </w:rPr>
            </w:pPr>
            <w:r w:rsidRPr="00816DE1">
              <w:rPr>
                <w:rStyle w:val="Strong"/>
                <w:rFonts w:ascii="Arial" w:hAnsi="Arial" w:cs="Arial"/>
                <w:sz w:val="20"/>
                <w:szCs w:val="20"/>
              </w:rPr>
              <w:t>E3.2</w:t>
            </w:r>
          </w:p>
          <w:p w:rsidR="00816DE1" w:rsidRPr="00816DE1" w:rsidRDefault="00816DE1" w:rsidP="00E257BD">
            <w:pPr>
              <w:pStyle w:val="NormalWeb"/>
              <w:shd w:val="clear" w:color="auto" w:fill="FFFFFF"/>
              <w:rPr>
                <w:rFonts w:ascii="Arial" w:hAnsi="Arial" w:cs="Arial"/>
                <w:sz w:val="20"/>
                <w:szCs w:val="20"/>
              </w:rPr>
            </w:pPr>
            <w:r w:rsidRPr="00816DE1">
              <w:rPr>
                <w:rFonts w:ascii="Arial" w:hAnsi="Arial" w:cs="Arial"/>
                <w:sz w:val="20"/>
                <w:szCs w:val="20"/>
              </w:rPr>
              <w:t>Built to boundary walls are:</w:t>
            </w:r>
          </w:p>
          <w:p w:rsidR="00816DE1" w:rsidRPr="00816DE1" w:rsidRDefault="00816DE1" w:rsidP="0069586D">
            <w:pPr>
              <w:pStyle w:val="NormalWeb"/>
              <w:numPr>
                <w:ilvl w:val="0"/>
                <w:numId w:val="7"/>
              </w:numPr>
              <w:rPr>
                <w:rFonts w:ascii="Arial" w:hAnsi="Arial" w:cs="Arial"/>
                <w:sz w:val="20"/>
                <w:szCs w:val="20"/>
              </w:rPr>
            </w:pPr>
            <w:r w:rsidRPr="00816DE1">
              <w:rPr>
                <w:rFonts w:ascii="Arial" w:hAnsi="Arial" w:cs="Arial"/>
                <w:sz w:val="20"/>
                <w:szCs w:val="20"/>
              </w:rPr>
              <w:t>provided on lots if required by an existing approval issued by Council, and are established in accordance with the plan of development under that existing approval (including any subsequent amendments to that plan of development that are approved by council in writing);</w:t>
            </w:r>
          </w:p>
          <w:p w:rsidR="00816DE1" w:rsidRPr="00816DE1" w:rsidRDefault="00816DE1" w:rsidP="00E257BD">
            <w:pPr>
              <w:pStyle w:val="NormalWeb"/>
              <w:shd w:val="clear" w:color="auto" w:fill="FFFFFF"/>
              <w:ind w:left="720"/>
              <w:rPr>
                <w:rFonts w:ascii="Arial" w:hAnsi="Arial" w:cs="Arial"/>
                <w:sz w:val="20"/>
                <w:szCs w:val="20"/>
              </w:rPr>
            </w:pPr>
            <w:r w:rsidRPr="00816DE1">
              <w:rPr>
                <w:rFonts w:ascii="Arial" w:hAnsi="Arial" w:cs="Arial"/>
                <w:sz w:val="20"/>
                <w:szCs w:val="20"/>
              </w:rPr>
              <w:t>OR</w:t>
            </w:r>
          </w:p>
          <w:p w:rsidR="00816DE1" w:rsidRPr="00C64A89" w:rsidRDefault="00816DE1" w:rsidP="00E257BD">
            <w:pPr>
              <w:pStyle w:val="NormalWeb"/>
              <w:shd w:val="clear" w:color="auto" w:fill="FFFFFF"/>
              <w:ind w:left="720"/>
              <w:rPr>
                <w:rFonts w:ascii="Arial" w:hAnsi="Arial" w:cs="Arial"/>
                <w:sz w:val="20"/>
                <w:szCs w:val="20"/>
              </w:rPr>
            </w:pPr>
            <w:r w:rsidRPr="00816DE1">
              <w:rPr>
                <w:rFonts w:ascii="Arial" w:hAnsi="Arial" w:cs="Arial"/>
                <w:sz w:val="20"/>
                <w:szCs w:val="20"/>
              </w:rPr>
              <w:t>if no approved plan of development applies to the land, are only established on lots having a primary frontage of 18m or less and where permitted in </w:t>
            </w:r>
            <w:hyperlink r:id="rId17" w:anchor="ID-2859427-TABLE-9.3.1.7" w:history="1">
              <w:r w:rsidRPr="00C64A89">
                <w:rPr>
                  <w:rStyle w:val="Hyperlink"/>
                  <w:rFonts w:ascii="Arial" w:hAnsi="Arial" w:cs="Arial"/>
                  <w:color w:val="auto"/>
                  <w:sz w:val="20"/>
                  <w:szCs w:val="20"/>
                  <w:u w:val="none"/>
                </w:rPr>
                <w:t>Table 9.3.1.</w:t>
              </w:r>
              <w:r w:rsidR="00534E2C">
                <w:rPr>
                  <w:rStyle w:val="Hyperlink"/>
                  <w:rFonts w:ascii="Arial" w:hAnsi="Arial" w:cs="Arial"/>
                  <w:color w:val="auto"/>
                  <w:sz w:val="20"/>
                  <w:szCs w:val="20"/>
                  <w:u w:val="none"/>
                </w:rPr>
                <w:t>8</w:t>
              </w:r>
              <w:r w:rsidRPr="00C64A89">
                <w:rPr>
                  <w:rStyle w:val="Hyperlink"/>
                  <w:rFonts w:ascii="Arial" w:hAnsi="Arial" w:cs="Arial"/>
                  <w:color w:val="auto"/>
                  <w:sz w:val="20"/>
                  <w:szCs w:val="20"/>
                  <w:u w:val="none"/>
                </w:rPr>
                <w:t xml:space="preserve"> ‘Built to boundary walls’</w:t>
              </w:r>
            </w:hyperlink>
            <w:r w:rsidRPr="00C64A89">
              <w:rPr>
                <w:rFonts w:ascii="Arial" w:hAnsi="Arial" w:cs="Arial"/>
                <w:sz w:val="20"/>
                <w:szCs w:val="20"/>
              </w:rPr>
              <w:t>;</w:t>
            </w:r>
          </w:p>
          <w:p w:rsidR="00816DE1" w:rsidRPr="00C64A89" w:rsidRDefault="00816DE1" w:rsidP="0069586D">
            <w:pPr>
              <w:pStyle w:val="NormalWeb"/>
              <w:numPr>
                <w:ilvl w:val="0"/>
                <w:numId w:val="7"/>
              </w:numPr>
              <w:rPr>
                <w:rFonts w:ascii="Arial" w:hAnsi="Arial" w:cs="Arial"/>
                <w:sz w:val="20"/>
                <w:szCs w:val="20"/>
              </w:rPr>
            </w:pPr>
            <w:r w:rsidRPr="00C64A89">
              <w:rPr>
                <w:rFonts w:ascii="Arial" w:hAnsi="Arial" w:cs="Arial"/>
                <w:sz w:val="20"/>
                <w:szCs w:val="20"/>
              </w:rPr>
              <w:t xml:space="preserve">of a length and height not exceeding that specified in </w:t>
            </w:r>
            <w:hyperlink r:id="rId18" w:anchor="ID-2859427-TABLE-9.3.1.7" w:history="1">
              <w:r w:rsidRPr="00C64A89">
                <w:rPr>
                  <w:rStyle w:val="Hyperlink"/>
                  <w:rFonts w:ascii="Arial" w:hAnsi="Arial" w:cs="Arial"/>
                  <w:color w:val="auto"/>
                  <w:sz w:val="20"/>
                  <w:szCs w:val="20"/>
                  <w:u w:val="none"/>
                </w:rPr>
                <w:t>Table 9.3.1.</w:t>
              </w:r>
              <w:r w:rsidR="00534E2C">
                <w:rPr>
                  <w:rStyle w:val="Hyperlink"/>
                  <w:rFonts w:ascii="Arial" w:hAnsi="Arial" w:cs="Arial"/>
                  <w:color w:val="auto"/>
                  <w:sz w:val="20"/>
                  <w:szCs w:val="20"/>
                  <w:u w:val="none"/>
                </w:rPr>
                <w:t>8</w:t>
              </w:r>
              <w:r w:rsidRPr="00C64A89">
                <w:rPr>
                  <w:rStyle w:val="Hyperlink"/>
                  <w:rFonts w:ascii="Arial" w:hAnsi="Arial" w:cs="Arial"/>
                  <w:color w:val="auto"/>
                  <w:sz w:val="20"/>
                  <w:szCs w:val="20"/>
                  <w:u w:val="none"/>
                </w:rPr>
                <w:t xml:space="preserve"> ‘Built to boundary walls’</w:t>
              </w:r>
            </w:hyperlink>
            <w:r w:rsidRPr="00C64A89">
              <w:rPr>
                <w:rFonts w:ascii="Arial" w:hAnsi="Arial" w:cs="Arial"/>
                <w:sz w:val="20"/>
                <w:szCs w:val="20"/>
              </w:rPr>
              <w:t>;</w:t>
            </w:r>
          </w:p>
          <w:p w:rsidR="00816DE1" w:rsidRPr="00C64A89" w:rsidRDefault="00816DE1" w:rsidP="0069586D">
            <w:pPr>
              <w:pStyle w:val="NormalWeb"/>
              <w:numPr>
                <w:ilvl w:val="0"/>
                <w:numId w:val="7"/>
              </w:numPr>
              <w:rPr>
                <w:rFonts w:ascii="Arial" w:hAnsi="Arial" w:cs="Arial"/>
                <w:sz w:val="20"/>
                <w:szCs w:val="20"/>
              </w:rPr>
            </w:pPr>
            <w:r w:rsidRPr="00C64A89">
              <w:rPr>
                <w:rFonts w:ascii="Arial" w:hAnsi="Arial" w:cs="Arial"/>
                <w:sz w:val="20"/>
                <w:szCs w:val="20"/>
              </w:rPr>
              <w:t>setback from the side boundary:</w:t>
            </w:r>
          </w:p>
          <w:p w:rsidR="00816DE1" w:rsidRPr="00816DE1" w:rsidRDefault="00816DE1" w:rsidP="0069586D">
            <w:pPr>
              <w:pStyle w:val="NormalWeb"/>
              <w:numPr>
                <w:ilvl w:val="1"/>
                <w:numId w:val="7"/>
              </w:numPr>
              <w:rPr>
                <w:rFonts w:ascii="Arial" w:hAnsi="Arial" w:cs="Arial"/>
                <w:sz w:val="20"/>
                <w:szCs w:val="20"/>
              </w:rPr>
            </w:pPr>
            <w:r w:rsidRPr="00816DE1">
              <w:rPr>
                <w:rFonts w:ascii="Arial" w:hAnsi="Arial" w:cs="Arial"/>
                <w:sz w:val="20"/>
                <w:szCs w:val="20"/>
              </w:rPr>
              <w:t>if a plan of development provides for only one built to boundary wall on the one boundary, not more than 200mm; or</w:t>
            </w:r>
          </w:p>
          <w:p w:rsidR="00816DE1" w:rsidRPr="00816DE1" w:rsidRDefault="00816DE1" w:rsidP="0069586D">
            <w:pPr>
              <w:pStyle w:val="NormalWeb"/>
              <w:numPr>
                <w:ilvl w:val="1"/>
                <w:numId w:val="7"/>
              </w:numPr>
              <w:rPr>
                <w:rFonts w:ascii="Arial" w:hAnsi="Arial" w:cs="Arial"/>
                <w:sz w:val="20"/>
                <w:szCs w:val="20"/>
              </w:rPr>
            </w:pPr>
            <w:r w:rsidRPr="00816DE1">
              <w:rPr>
                <w:rFonts w:ascii="Arial" w:hAnsi="Arial" w:cs="Arial"/>
                <w:sz w:val="20"/>
                <w:szCs w:val="20"/>
              </w:rPr>
              <w:t>if a built to boundary wall may be built on each side of the same boundary, not more than 20mm;</w:t>
            </w:r>
          </w:p>
          <w:p w:rsidR="00816DE1" w:rsidRPr="00816DE1" w:rsidRDefault="00816DE1" w:rsidP="0069586D">
            <w:pPr>
              <w:pStyle w:val="NormalWeb"/>
              <w:numPr>
                <w:ilvl w:val="0"/>
                <w:numId w:val="7"/>
              </w:numPr>
              <w:rPr>
                <w:rFonts w:ascii="Arial" w:hAnsi="Arial" w:cs="Arial"/>
                <w:sz w:val="20"/>
                <w:szCs w:val="20"/>
              </w:rPr>
            </w:pPr>
            <w:r w:rsidRPr="00816DE1">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w:t>
                  </w:r>
                  <w:proofErr w:type="gramStart"/>
                  <w:r w:rsidRPr="00C64A89">
                    <w:rPr>
                      <w:rFonts w:ascii="Arial" w:hAnsi="Arial" w:cs="Arial"/>
                      <w:sz w:val="18"/>
                      <w:szCs w:val="20"/>
                    </w:rPr>
                    <w:t>a</w:t>
                  </w:r>
                  <w:proofErr w:type="gramEnd"/>
                  <w:r w:rsidRPr="00C64A89">
                    <w:rPr>
                      <w:rFonts w:ascii="Arial" w:hAnsi="Arial" w:cs="Arial"/>
                      <w:sz w:val="18"/>
                      <w:szCs w:val="20"/>
                    </w:rPr>
                    <w:t xml:space="preserve"> 'easement for maintenance purposes' is recommended. </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The above setbacks apply only to Class 1a and Class 10a buildings/structures.</w:t>
                  </w:r>
                </w:p>
              </w:tc>
            </w:tr>
          </w:tbl>
          <w:p w:rsidR="00816DE1" w:rsidRPr="00C64A89" w:rsidRDefault="00816DE1" w:rsidP="00E257BD">
            <w:pPr>
              <w:rPr>
                <w:rFonts w:ascii="Arial" w:eastAsia="Times New Roman" w:hAnsi="Arial" w:cs="Arial"/>
                <w:vanish/>
                <w:sz w:val="18"/>
                <w:szCs w:val="20"/>
              </w:rPr>
            </w:pPr>
          </w:p>
          <w:tbl>
            <w:tblPr>
              <w:tblW w:w="497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8"/>
            </w:tblGrid>
            <w:tr w:rsidR="00E257BD" w:rsidRPr="00C64A89" w:rsidTr="00E257BD">
              <w:trPr>
                <w:trHeight w:val="1219"/>
                <w:tblCellSpacing w:w="15" w:type="dxa"/>
              </w:trPr>
              <w:tc>
                <w:tcPr>
                  <w:tcW w:w="5228"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lastRenderedPageBreak/>
                    <w:t> Note - This is a quantifiable standard that is an alternative provision to the QDC, part MP1.1, A1 (a), (b) and (c), A2 (a), (b) and (d) and part MP1.2, A1 (a), (b) and (c), A2 (a), (b) and (d). Non-compliance with this provision for a Dwelling house</w:t>
                  </w:r>
                  <w:r w:rsidRPr="00C64A89">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r w:rsidR="00E257BD" w:rsidRPr="00C64A89" w:rsidTr="00E257BD">
              <w:trPr>
                <w:trHeight w:val="2118"/>
                <w:tblCellSpacing w:w="15" w:type="dxa"/>
              </w:trPr>
              <w:tc>
                <w:tcPr>
                  <w:tcW w:w="5228"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Editor's note - A wall is not to be built to the boundary if it has a window or if a wall of a building on an adjoining lot:</w:t>
                  </w:r>
                </w:p>
                <w:p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within 900mm of that boundary;</w:t>
                  </w:r>
                </w:p>
                <w:p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within 1.5m of that boundary and has an opening/window to a habitable room;</w:t>
                  </w:r>
                </w:p>
                <w:p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not constructed from masonry or other material fire rated in accordance with the Building Code of Australia.</w:t>
                  </w:r>
                </w:p>
              </w:tc>
            </w:tr>
          </w:tbl>
          <w:p w:rsidR="00816DE1" w:rsidRPr="00816DE1" w:rsidRDefault="00816DE1" w:rsidP="00E257BD">
            <w:pPr>
              <w:rPr>
                <w:rFonts w:ascii="Arial" w:eastAsia="Times New Roman" w:hAnsi="Arial" w:cs="Arial"/>
                <w:sz w:val="20"/>
                <w:szCs w:val="20"/>
              </w:rPr>
            </w:pPr>
            <w:bookmarkStart w:id="0" w:name="_GoBack"/>
            <w:bookmarkEnd w:id="0"/>
          </w:p>
        </w:tc>
        <w:tc>
          <w:tcPr>
            <w:tcW w:w="801" w:type="pct"/>
            <w:tcBorders>
              <w:top w:val="single" w:sz="4" w:space="0" w:color="000000"/>
              <w:left w:val="single" w:sz="4" w:space="0" w:color="000000"/>
              <w:bottom w:val="single" w:sz="4" w:space="0" w:color="000000"/>
              <w:right w:val="single" w:sz="4" w:space="0" w:color="000000"/>
            </w:tcBorders>
          </w:tcPr>
          <w:p w:rsidR="00816DE1" w:rsidRPr="00816DE1" w:rsidRDefault="00816DE1" w:rsidP="00E257BD">
            <w:pPr>
              <w:pStyle w:val="NormalWeb"/>
              <w:shd w:val="clear" w:color="auto" w:fill="FFFFFF"/>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tcPr>
          <w:p w:rsidR="00816DE1" w:rsidRPr="00816DE1" w:rsidRDefault="00816DE1" w:rsidP="00E257BD">
            <w:pPr>
              <w:pStyle w:val="NormalWeb"/>
              <w:shd w:val="clear" w:color="auto" w:fill="FFFFFF"/>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Site cover</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820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and structures will ensure that site cover:</w:t>
            </w:r>
          </w:p>
          <w:p w:rsidR="00816DE1" w:rsidRPr="00816DE1" w:rsidRDefault="00816DE1" w:rsidP="0069586D">
            <w:pPr>
              <w:pStyle w:val="NormalWeb"/>
              <w:numPr>
                <w:ilvl w:val="0"/>
                <w:numId w:val="9"/>
              </w:numPr>
              <w:rPr>
                <w:rFonts w:ascii="Arial" w:hAnsi="Arial" w:cs="Arial"/>
                <w:sz w:val="20"/>
                <w:szCs w:val="20"/>
              </w:rPr>
            </w:pPr>
            <w:r w:rsidRPr="00816DE1">
              <w:rPr>
                <w:rFonts w:ascii="Arial" w:hAnsi="Arial" w:cs="Arial"/>
                <w:sz w:val="20"/>
                <w:szCs w:val="20"/>
              </w:rPr>
              <w:t xml:space="preserve">provides open areas around buildings for </w:t>
            </w:r>
            <w:r w:rsidR="00534E2C" w:rsidRPr="00534E2C">
              <w:rPr>
                <w:rFonts w:ascii="Arial" w:hAnsi="Arial" w:cs="Arial"/>
                <w:sz w:val="20"/>
                <w:szCs w:val="20"/>
              </w:rPr>
              <w:t>a</w:t>
            </w:r>
            <w:r w:rsidR="00534E2C" w:rsidRPr="00CB25C6">
              <w:rPr>
                <w:rFonts w:ascii="Arial" w:hAnsi="Arial" w:cs="Arial"/>
                <w:sz w:val="20"/>
                <w:szCs w:val="20"/>
              </w:rPr>
              <w:t xml:space="preserve">ttractive, </w:t>
            </w:r>
            <w:r w:rsidRPr="00534E2C">
              <w:rPr>
                <w:rFonts w:ascii="Arial" w:hAnsi="Arial" w:cs="Arial"/>
                <w:sz w:val="20"/>
                <w:szCs w:val="20"/>
              </w:rPr>
              <w:t>useable</w:t>
            </w:r>
            <w:r w:rsidRPr="00816DE1">
              <w:rPr>
                <w:rFonts w:ascii="Arial" w:hAnsi="Arial" w:cs="Arial"/>
                <w:sz w:val="20"/>
                <w:szCs w:val="20"/>
              </w:rPr>
              <w:t xml:space="preserve"> and functional private open space;</w:t>
            </w:r>
          </w:p>
          <w:p w:rsidR="00816DE1" w:rsidRPr="00816DE1" w:rsidRDefault="00816DE1" w:rsidP="0069586D">
            <w:pPr>
              <w:pStyle w:val="NormalWeb"/>
              <w:numPr>
                <w:ilvl w:val="0"/>
                <w:numId w:val="9"/>
              </w:numPr>
              <w:rPr>
                <w:rFonts w:ascii="Arial" w:hAnsi="Arial" w:cs="Arial"/>
                <w:sz w:val="20"/>
                <w:szCs w:val="20"/>
              </w:rPr>
            </w:pPr>
            <w:r w:rsidRPr="00816DE1">
              <w:rPr>
                <w:rFonts w:ascii="Arial" w:hAnsi="Arial" w:cs="Arial"/>
                <w:sz w:val="20"/>
                <w:szCs w:val="20"/>
              </w:rPr>
              <w:t>ensures that buildings and structures are consistent with the intended character of the area;</w:t>
            </w:r>
          </w:p>
          <w:p w:rsidR="00816DE1" w:rsidRPr="00816DE1" w:rsidRDefault="00816DE1" w:rsidP="0069586D">
            <w:pPr>
              <w:pStyle w:val="NormalWeb"/>
              <w:numPr>
                <w:ilvl w:val="0"/>
                <w:numId w:val="9"/>
              </w:numPr>
              <w:rPr>
                <w:rFonts w:ascii="Arial" w:hAnsi="Arial" w:cs="Arial"/>
                <w:sz w:val="20"/>
                <w:szCs w:val="20"/>
              </w:rPr>
            </w:pPr>
            <w:r w:rsidRPr="00816DE1">
              <w:rPr>
                <w:rFonts w:ascii="Arial" w:hAnsi="Arial" w:cs="Arial"/>
                <w:sz w:val="20"/>
                <w:szCs w:val="20"/>
              </w:rPr>
              <w:t>does not result in other elements of the site being compromised (e.g. setbacks, open space etc).</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P3 and MP1.2, P3.</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Site cover (excluding eaves, sun shading devices, patios, balconies and other unenclosed structures) does not exceed:</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Emerging community zone:</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Transition precinct (developed lot) - in accordance with the table below</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General residential zone:</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 xml:space="preserve">Coastal </w:t>
            </w:r>
            <w:proofErr w:type="gramStart"/>
            <w:r w:rsidRPr="00816DE1">
              <w:rPr>
                <w:rFonts w:ascii="Arial" w:hAnsi="Arial" w:cs="Arial"/>
                <w:sz w:val="20"/>
                <w:szCs w:val="20"/>
              </w:rPr>
              <w:t>communities</w:t>
            </w:r>
            <w:proofErr w:type="gramEnd"/>
            <w:r w:rsidRPr="00816DE1">
              <w:rPr>
                <w:rFonts w:ascii="Arial" w:hAnsi="Arial" w:cs="Arial"/>
                <w:sz w:val="20"/>
                <w:szCs w:val="20"/>
              </w:rPr>
              <w:t xml:space="preserve"> precinct – 50%</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Suburban neighbourhood precinct – 50%</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Next generation neighbourhood precinct – in accordance with the table below</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Urban neighbourhood precinct – in accordance with the table below</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 xml:space="preserve">Caboolture </w:t>
            </w:r>
            <w:r w:rsidR="00534E2C">
              <w:rPr>
                <w:rFonts w:ascii="Arial" w:hAnsi="Arial" w:cs="Arial"/>
                <w:sz w:val="20"/>
                <w:szCs w:val="20"/>
              </w:rPr>
              <w:t>W</w:t>
            </w:r>
            <w:r w:rsidRPr="00816DE1">
              <w:rPr>
                <w:rFonts w:ascii="Arial" w:hAnsi="Arial" w:cs="Arial"/>
                <w:sz w:val="20"/>
                <w:szCs w:val="20"/>
              </w:rPr>
              <w:t>est local plan:</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Urban living precinct - Next generation sub-precinct -</w:t>
            </w:r>
            <w:r w:rsidRPr="00534E2C">
              <w:rPr>
                <w:rFonts w:ascii="Arial" w:hAnsi="Arial" w:cs="Arial"/>
                <w:sz w:val="20"/>
                <w:szCs w:val="20"/>
              </w:rPr>
              <w:t xml:space="preserve"> </w:t>
            </w:r>
            <w:r w:rsidR="00534E2C" w:rsidRPr="00534E2C">
              <w:rPr>
                <w:rFonts w:ascii="Arial" w:hAnsi="Arial" w:cs="Arial"/>
                <w:sz w:val="20"/>
                <w:szCs w:val="20"/>
              </w:rPr>
              <w:t>6</w:t>
            </w:r>
            <w:r w:rsidR="00534E2C" w:rsidRPr="00CB25C6">
              <w:rPr>
                <w:rFonts w:ascii="Arial" w:hAnsi="Arial" w:cs="Arial"/>
                <w:sz w:val="20"/>
                <w:szCs w:val="20"/>
              </w:rPr>
              <w:t>0%</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Redcliffe Kippa-Ring local plan:</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Interim residential precinct - 50%</w:t>
            </w:r>
          </w:p>
          <w:tbl>
            <w:tblPr>
              <w:tblW w:w="529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1002"/>
              <w:gridCol w:w="791"/>
              <w:gridCol w:w="751"/>
              <w:gridCol w:w="751"/>
              <w:gridCol w:w="863"/>
              <w:gridCol w:w="1039"/>
              <w:gridCol w:w="50"/>
            </w:tblGrid>
            <w:tr w:rsidR="00816DE1" w:rsidRPr="00816DE1" w:rsidTr="003D5BCB">
              <w:trPr>
                <w:gridBefore w:val="1"/>
                <w:gridAfter w:val="1"/>
                <w:wAfter w:w="5" w:type="dxa"/>
                <w:trHeight w:val="271"/>
                <w:tblCellSpacing w:w="15" w:type="dxa"/>
              </w:trPr>
              <w:tc>
                <w:tcPr>
                  <w:tcW w:w="977"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Building height</w:t>
                  </w:r>
                </w:p>
              </w:tc>
              <w:tc>
                <w:tcPr>
                  <w:tcW w:w="4183" w:type="dxa"/>
                  <w:gridSpan w:val="5"/>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Lot Size</w:t>
                  </w:r>
                </w:p>
              </w:tc>
            </w:tr>
            <w:tr w:rsidR="00816DE1" w:rsidRPr="00816DE1" w:rsidTr="003D5BCB">
              <w:trPr>
                <w:gridBefore w:val="1"/>
                <w:gridAfter w:val="1"/>
                <w:wAfter w:w="5" w:type="dxa"/>
                <w:trHeight w:val="729"/>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hAnsi="Arial" w:cs="Arial"/>
                      <w:sz w:val="20"/>
                      <w:szCs w:val="20"/>
                    </w:rPr>
                  </w:pPr>
                </w:p>
              </w:tc>
              <w:tc>
                <w:tcPr>
                  <w:tcW w:w="76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300m</w:t>
                  </w:r>
                  <w:r w:rsidRPr="00816DE1">
                    <w:rPr>
                      <w:rStyle w:val="Strong"/>
                      <w:rFonts w:ascii="Arial" w:hAnsi="Arial" w:cs="Arial"/>
                      <w:sz w:val="20"/>
                      <w:szCs w:val="20"/>
                      <w:vertAlign w:val="superscript"/>
                    </w:rPr>
                    <w:t>2</w:t>
                  </w:r>
                  <w:r w:rsidRPr="00816DE1">
                    <w:rPr>
                      <w:rStyle w:val="Strong"/>
                      <w:rFonts w:ascii="Arial" w:hAnsi="Arial" w:cs="Arial"/>
                      <w:sz w:val="20"/>
                      <w:szCs w:val="20"/>
                    </w:rPr>
                    <w:t xml:space="preserve"> or less</w:t>
                  </w:r>
                </w:p>
              </w:tc>
              <w:tc>
                <w:tcPr>
                  <w:tcW w:w="72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301-400m</w:t>
                  </w:r>
                  <w:r w:rsidRPr="00816DE1">
                    <w:rPr>
                      <w:rStyle w:val="Strong"/>
                      <w:rFonts w:ascii="Arial" w:hAnsi="Arial" w:cs="Arial"/>
                      <w:sz w:val="20"/>
                      <w:szCs w:val="20"/>
                      <w:vertAlign w:val="superscript"/>
                    </w:rPr>
                    <w:t>2</w:t>
                  </w:r>
                </w:p>
              </w:tc>
              <w:tc>
                <w:tcPr>
                  <w:tcW w:w="72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401-500m</w:t>
                  </w:r>
                  <w:r w:rsidRPr="00816DE1">
                    <w:rPr>
                      <w:rStyle w:val="Strong"/>
                      <w:rFonts w:ascii="Arial" w:hAnsi="Arial" w:cs="Arial"/>
                      <w:sz w:val="20"/>
                      <w:szCs w:val="20"/>
                      <w:vertAlign w:val="superscript"/>
                    </w:rPr>
                    <w:t>2</w:t>
                  </w:r>
                </w:p>
              </w:tc>
              <w:tc>
                <w:tcPr>
                  <w:tcW w:w="837"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501-1000m</w:t>
                  </w:r>
                  <w:r w:rsidRPr="00816DE1">
                    <w:rPr>
                      <w:rStyle w:val="Strong"/>
                      <w:rFonts w:ascii="Arial" w:hAnsi="Arial" w:cs="Arial"/>
                      <w:sz w:val="20"/>
                      <w:szCs w:val="20"/>
                      <w:vertAlign w:val="superscript"/>
                    </w:rPr>
                    <w:t>2</w:t>
                  </w:r>
                </w:p>
              </w:tc>
              <w:tc>
                <w:tcPr>
                  <w:tcW w:w="1013"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Greater than 1000m</w:t>
                  </w:r>
                  <w:r w:rsidRPr="00816DE1">
                    <w:rPr>
                      <w:rStyle w:val="Strong"/>
                      <w:rFonts w:ascii="Arial" w:hAnsi="Arial" w:cs="Arial"/>
                      <w:sz w:val="20"/>
                      <w:szCs w:val="20"/>
                      <w:vertAlign w:val="superscript"/>
                    </w:rPr>
                    <w:t>2</w:t>
                  </w:r>
                </w:p>
              </w:tc>
            </w:tr>
            <w:tr w:rsidR="00816DE1" w:rsidRPr="00816DE1" w:rsidTr="003D5BCB">
              <w:trPr>
                <w:gridBefore w:val="1"/>
                <w:gridAfter w:val="1"/>
                <w:wAfter w:w="5" w:type="dxa"/>
                <w:trHeight w:val="443"/>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8.5m or less</w:t>
                  </w:r>
                </w:p>
              </w:tc>
              <w:tc>
                <w:tcPr>
                  <w:tcW w:w="76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75%</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70%</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c>
                <w:tcPr>
                  <w:tcW w:w="83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c>
                <w:tcPr>
                  <w:tcW w:w="1013"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r>
            <w:tr w:rsidR="00816DE1" w:rsidRPr="00816DE1" w:rsidTr="003D5BCB">
              <w:trPr>
                <w:gridBefore w:val="1"/>
                <w:gridAfter w:val="1"/>
                <w:wAfter w:w="5" w:type="dxa"/>
                <w:trHeight w:val="457"/>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&gt;8.5m – 12.0m</w:t>
                  </w:r>
                </w:p>
              </w:tc>
              <w:tc>
                <w:tcPr>
                  <w:tcW w:w="76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c>
                <w:tcPr>
                  <w:tcW w:w="83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1013"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r>
            <w:tr w:rsidR="00816DE1" w:rsidRPr="00816DE1" w:rsidTr="003D5BCB">
              <w:trPr>
                <w:gridBefore w:val="1"/>
                <w:gridAfter w:val="1"/>
                <w:wAfter w:w="5" w:type="dxa"/>
                <w:trHeight w:val="229"/>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&gt;12.0m</w:t>
                  </w:r>
                </w:p>
              </w:tc>
              <w:tc>
                <w:tcPr>
                  <w:tcW w:w="76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N/A</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N/A</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N/A</w:t>
                  </w:r>
                </w:p>
              </w:tc>
              <w:tc>
                <w:tcPr>
                  <w:tcW w:w="83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1013"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40%</w:t>
                  </w:r>
                </w:p>
              </w:tc>
            </w:tr>
            <w:tr w:rsidR="00816DE1" w:rsidRPr="00816DE1" w:rsidTr="003D5BCB">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rHeight w:val="915"/>
                <w:tblCellSpacing w:w="15" w:type="dxa"/>
              </w:trPr>
              <w:tc>
                <w:tcPr>
                  <w:tcW w:w="5237" w:type="dxa"/>
                  <w:gridSpan w:val="8"/>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is an alternative provision to the QDC, part MP1.1, A3 and part MP1.2, A3. Non-compliance with this provision for a Dwelling house</w:t>
                  </w:r>
                  <w:r w:rsidRPr="00C64A89">
                    <w:rPr>
                      <w:rFonts w:ascii="Arial" w:hAnsi="Arial" w:cs="Arial"/>
                      <w:sz w:val="18"/>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Private open space</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681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Dwellings are provided with private open space that is:</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of a size and dimension to be useable and functional;</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directly accessible from the dwelling;</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located so that residents and neighbouring properties experience a suitable level of residential amenity;</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free of objects or structures that reduce or limit functionality.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Dwelling houses</w:t>
                  </w:r>
                  <w:r w:rsidRPr="00C64A89">
                    <w:rPr>
                      <w:rFonts w:ascii="Arial" w:hAnsi="Arial" w:cs="Arial"/>
                      <w:sz w:val="18"/>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adjoining an arterial or sub-arterial road must not locate private open space areas adjoining or within the setback to that road. Refer to Overlay map - Road hierarchy for road classifications.</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Utility areas (e.g. driveways, air-conditioning units, water tanks, clothes drying facility, storage structures, refuse storage areas and retaining structures) are to be shown on a site plan.</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Private open space areas may be included within an unenclosed living structure (e.g. patio).</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Car parking</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Car parking is provided on-site that provides for the number and type of vehicles anticipated to access the lot and ensures a surplus of car parking is avoided.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P8 and MP1.2, P8.</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Car parking spaces are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652"/>
              <w:gridCol w:w="2472"/>
              <w:gridCol w:w="128"/>
            </w:tblGrid>
            <w:tr w:rsidR="00816DE1" w:rsidRPr="00816DE1"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Location</w:t>
                  </w:r>
                </w:p>
              </w:tc>
              <w:tc>
                <w:tcPr>
                  <w:tcW w:w="2343"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Minimum number of car spaces to be provided</w:t>
                  </w:r>
                </w:p>
              </w:tc>
            </w:tr>
            <w:tr w:rsidR="00816DE1" w:rsidRPr="00816DE1"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General residential zone:</w:t>
                  </w:r>
                </w:p>
                <w:p w:rsidR="00816DE1" w:rsidRPr="00816DE1" w:rsidRDefault="00816DE1" w:rsidP="0069586D">
                  <w:pPr>
                    <w:pStyle w:val="NormalWeb"/>
                    <w:numPr>
                      <w:ilvl w:val="0"/>
                      <w:numId w:val="12"/>
                    </w:numPr>
                    <w:rPr>
                      <w:rFonts w:ascii="Arial" w:hAnsi="Arial" w:cs="Arial"/>
                      <w:sz w:val="20"/>
                      <w:szCs w:val="20"/>
                    </w:rPr>
                  </w:pPr>
                  <w:r w:rsidRPr="00816DE1">
                    <w:rPr>
                      <w:rFonts w:ascii="Arial" w:hAnsi="Arial" w:cs="Arial"/>
                      <w:sz w:val="20"/>
                      <w:szCs w:val="20"/>
                    </w:rPr>
                    <w:lastRenderedPageBreak/>
                    <w:t xml:space="preserve">Coastal </w:t>
                  </w:r>
                  <w:proofErr w:type="gramStart"/>
                  <w:r w:rsidRPr="00816DE1">
                    <w:rPr>
                      <w:rFonts w:ascii="Arial" w:hAnsi="Arial" w:cs="Arial"/>
                      <w:sz w:val="20"/>
                      <w:szCs w:val="20"/>
                    </w:rPr>
                    <w:t>communities</w:t>
                  </w:r>
                  <w:proofErr w:type="gramEnd"/>
                  <w:r w:rsidRPr="00816DE1">
                    <w:rPr>
                      <w:rFonts w:ascii="Arial" w:hAnsi="Arial" w:cs="Arial"/>
                      <w:sz w:val="20"/>
                      <w:szCs w:val="20"/>
                    </w:rPr>
                    <w:t xml:space="preserve"> precinct</w:t>
                  </w:r>
                </w:p>
                <w:p w:rsidR="00816DE1" w:rsidRPr="00816DE1" w:rsidRDefault="00816DE1" w:rsidP="0069586D">
                  <w:pPr>
                    <w:pStyle w:val="NormalWeb"/>
                    <w:numPr>
                      <w:ilvl w:val="0"/>
                      <w:numId w:val="12"/>
                    </w:numPr>
                    <w:rPr>
                      <w:rFonts w:ascii="Arial" w:hAnsi="Arial" w:cs="Arial"/>
                      <w:sz w:val="20"/>
                      <w:szCs w:val="20"/>
                    </w:rPr>
                  </w:pPr>
                  <w:r w:rsidRPr="00816DE1">
                    <w:rPr>
                      <w:rFonts w:ascii="Arial" w:hAnsi="Arial" w:cs="Arial"/>
                      <w:sz w:val="20"/>
                      <w:szCs w:val="20"/>
                    </w:rPr>
                    <w:t>Suburban neighbourhood precinct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Redcliffe Kippa-Ring local plan:</w:t>
                  </w:r>
                </w:p>
                <w:p w:rsidR="00816DE1" w:rsidRPr="00816DE1" w:rsidRDefault="00816DE1" w:rsidP="0069586D">
                  <w:pPr>
                    <w:pStyle w:val="NormalWeb"/>
                    <w:numPr>
                      <w:ilvl w:val="0"/>
                      <w:numId w:val="13"/>
                    </w:numPr>
                    <w:rPr>
                      <w:rFonts w:ascii="Arial" w:hAnsi="Arial" w:cs="Arial"/>
                      <w:sz w:val="20"/>
                      <w:szCs w:val="20"/>
                    </w:rPr>
                  </w:pPr>
                  <w:r w:rsidRPr="00816DE1">
                    <w:rPr>
                      <w:rFonts w:ascii="Arial" w:hAnsi="Arial" w:cs="Arial"/>
                      <w:sz w:val="20"/>
                      <w:szCs w:val="20"/>
                    </w:rPr>
                    <w:t>Interim residential precinct</w:t>
                  </w:r>
                </w:p>
              </w:tc>
              <w:tc>
                <w:tcPr>
                  <w:tcW w:w="234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3 per Dwelling house</w:t>
                  </w:r>
                  <w:r w:rsidRPr="00816DE1">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p>
              </w:tc>
            </w:tr>
            <w:tr w:rsidR="00816DE1" w:rsidRPr="00816DE1"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Emerging community zone:</w:t>
                  </w:r>
                </w:p>
                <w:p w:rsidR="00816DE1" w:rsidRPr="00816DE1" w:rsidRDefault="00816DE1" w:rsidP="0069586D">
                  <w:pPr>
                    <w:pStyle w:val="NormalWeb"/>
                    <w:numPr>
                      <w:ilvl w:val="0"/>
                      <w:numId w:val="14"/>
                    </w:numPr>
                    <w:rPr>
                      <w:rFonts w:ascii="Arial" w:hAnsi="Arial" w:cs="Arial"/>
                      <w:sz w:val="20"/>
                      <w:szCs w:val="20"/>
                    </w:rPr>
                  </w:pPr>
                  <w:r w:rsidRPr="00816DE1">
                    <w:rPr>
                      <w:rFonts w:ascii="Arial" w:hAnsi="Arial" w:cs="Arial"/>
                      <w:sz w:val="20"/>
                      <w:szCs w:val="20"/>
                    </w:rPr>
                    <w:t>Transition precinct (developed lot)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General residential zone:</w:t>
                  </w:r>
                </w:p>
                <w:p w:rsidR="00816DE1" w:rsidRPr="00816DE1" w:rsidRDefault="00816DE1" w:rsidP="0069586D">
                  <w:pPr>
                    <w:pStyle w:val="NormalWeb"/>
                    <w:numPr>
                      <w:ilvl w:val="0"/>
                      <w:numId w:val="15"/>
                    </w:numPr>
                    <w:rPr>
                      <w:rFonts w:ascii="Arial" w:hAnsi="Arial" w:cs="Arial"/>
                      <w:sz w:val="20"/>
                      <w:szCs w:val="20"/>
                    </w:rPr>
                  </w:pPr>
                  <w:r w:rsidRPr="00816DE1">
                    <w:rPr>
                      <w:rFonts w:ascii="Arial" w:hAnsi="Arial" w:cs="Arial"/>
                      <w:sz w:val="20"/>
                      <w:szCs w:val="20"/>
                    </w:rPr>
                    <w:t>Next generation neighbourhood precinct</w:t>
                  </w:r>
                </w:p>
                <w:p w:rsidR="00816DE1" w:rsidRPr="00F75CAD" w:rsidRDefault="00816DE1" w:rsidP="00F75CAD">
                  <w:pPr>
                    <w:pStyle w:val="NormalWeb"/>
                    <w:numPr>
                      <w:ilvl w:val="0"/>
                      <w:numId w:val="15"/>
                    </w:numPr>
                    <w:rPr>
                      <w:rFonts w:ascii="Arial" w:hAnsi="Arial" w:cs="Arial"/>
                      <w:sz w:val="20"/>
                      <w:szCs w:val="20"/>
                    </w:rPr>
                  </w:pPr>
                  <w:r w:rsidRPr="00816DE1">
                    <w:rPr>
                      <w:rFonts w:ascii="Arial" w:hAnsi="Arial" w:cs="Arial"/>
                      <w:sz w:val="20"/>
                      <w:szCs w:val="20"/>
                    </w:rPr>
                    <w:t>Urban neighbourhood precinct</w:t>
                  </w:r>
                </w:p>
              </w:tc>
              <w:tc>
                <w:tcPr>
                  <w:tcW w:w="234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1 per Dwelling house</w:t>
                  </w:r>
                  <w:r w:rsidRPr="00816DE1">
                    <w:rPr>
                      <w:rFonts w:ascii="Arial" w:hAnsi="Arial" w:cs="Arial"/>
                      <w:sz w:val="20"/>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p>
              </w:tc>
            </w:tr>
            <w:tr w:rsidR="00534E2C" w:rsidRPr="00816DE1"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tcPr>
                <w:p w:rsidR="00534E2C" w:rsidRPr="00816DE1" w:rsidRDefault="00534E2C" w:rsidP="00534E2C">
                  <w:pPr>
                    <w:pStyle w:val="NormalWeb"/>
                    <w:rPr>
                      <w:rFonts w:ascii="Arial" w:hAnsi="Arial" w:cs="Arial"/>
                      <w:sz w:val="20"/>
                      <w:szCs w:val="20"/>
                    </w:rPr>
                  </w:pPr>
                  <w:r w:rsidRPr="00816DE1">
                    <w:rPr>
                      <w:rFonts w:ascii="Arial" w:hAnsi="Arial" w:cs="Arial"/>
                      <w:sz w:val="20"/>
                      <w:szCs w:val="20"/>
                    </w:rPr>
                    <w:t xml:space="preserve">Caboolture </w:t>
                  </w:r>
                  <w:r>
                    <w:rPr>
                      <w:rFonts w:ascii="Arial" w:hAnsi="Arial" w:cs="Arial"/>
                      <w:sz w:val="20"/>
                      <w:szCs w:val="20"/>
                    </w:rPr>
                    <w:t>W</w:t>
                  </w:r>
                  <w:r w:rsidRPr="00816DE1">
                    <w:rPr>
                      <w:rFonts w:ascii="Arial" w:hAnsi="Arial" w:cs="Arial"/>
                      <w:sz w:val="20"/>
                      <w:szCs w:val="20"/>
                    </w:rPr>
                    <w:t>est local plan code:</w:t>
                  </w:r>
                </w:p>
                <w:p w:rsidR="00534E2C" w:rsidRPr="00816DE1" w:rsidRDefault="00534E2C" w:rsidP="00CB25C6">
                  <w:pPr>
                    <w:pStyle w:val="NormalWeb"/>
                    <w:numPr>
                      <w:ilvl w:val="0"/>
                      <w:numId w:val="95"/>
                    </w:numPr>
                    <w:rPr>
                      <w:rFonts w:ascii="Arial" w:hAnsi="Arial" w:cs="Arial"/>
                      <w:sz w:val="20"/>
                      <w:szCs w:val="20"/>
                    </w:rPr>
                  </w:pPr>
                  <w:r w:rsidRPr="00816DE1">
                    <w:rPr>
                      <w:rFonts w:ascii="Arial" w:hAnsi="Arial" w:cs="Arial"/>
                      <w:sz w:val="20"/>
                      <w:szCs w:val="20"/>
                    </w:rPr>
                    <w:t>Urban living precinct - Next generation sub-precinct</w:t>
                  </w:r>
                </w:p>
              </w:tc>
              <w:tc>
                <w:tcPr>
                  <w:tcW w:w="2343" w:type="pct"/>
                  <w:tcBorders>
                    <w:top w:val="outset" w:sz="6" w:space="0" w:color="auto"/>
                    <w:left w:val="outset" w:sz="6" w:space="0" w:color="auto"/>
                    <w:bottom w:val="outset" w:sz="6" w:space="0" w:color="auto"/>
                    <w:right w:val="outset" w:sz="6" w:space="0" w:color="auto"/>
                  </w:tcBorders>
                </w:tcPr>
                <w:p w:rsidR="00534E2C" w:rsidRPr="00816DE1" w:rsidRDefault="00534E2C" w:rsidP="00E257BD">
                  <w:pPr>
                    <w:pStyle w:val="NormalWeb"/>
                    <w:rPr>
                      <w:rFonts w:ascii="Arial" w:hAnsi="Arial" w:cs="Arial"/>
                      <w:sz w:val="20"/>
                      <w:szCs w:val="20"/>
                    </w:rPr>
                  </w:pPr>
                  <w:r>
                    <w:rPr>
                      <w:rFonts w:ascii="Arial" w:hAnsi="Arial" w:cs="Arial"/>
                      <w:sz w:val="20"/>
                      <w:szCs w:val="20"/>
                    </w:rPr>
                    <w:t xml:space="preserve">2 </w:t>
                  </w:r>
                  <w:r w:rsidRPr="00816DE1">
                    <w:rPr>
                      <w:rFonts w:ascii="Arial" w:hAnsi="Arial" w:cs="Arial"/>
                      <w:sz w:val="20"/>
                      <w:szCs w:val="20"/>
                    </w:rPr>
                    <w:t>per Dwelling house</w:t>
                  </w:r>
                  <w:r w:rsidRPr="00816DE1">
                    <w:rPr>
                      <w:rFonts w:ascii="Arial" w:hAnsi="Arial" w:cs="Arial"/>
                      <w:sz w:val="20"/>
                      <w:szCs w:val="20"/>
                      <w:vertAlign w:val="superscript"/>
                    </w:rPr>
                    <w:t>(</w:t>
                  </w:r>
                  <w:hyperlink r:id="rId2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p>
              </w:tc>
            </w:tr>
            <w:tr w:rsidR="00816DE1" w:rsidRPr="00C64A89" w:rsidTr="003D5BCB">
              <w:tblPrEx>
                <w:tblBorders>
                  <w:top w:val="none" w:sz="0" w:space="0" w:color="auto"/>
                  <w:left w:val="none" w:sz="0" w:space="0" w:color="auto"/>
                  <w:bottom w:val="none" w:sz="0" w:space="0" w:color="auto"/>
                  <w:right w:val="none" w:sz="0" w:space="0" w:color="auto"/>
                </w:tblBorders>
              </w:tblPrEx>
              <w:trPr>
                <w:tblCellSpacing w:w="15" w:type="dxa"/>
              </w:trPr>
              <w:tc>
                <w:tcPr>
                  <w:tcW w:w="4943" w:type="pct"/>
                  <w:gridSpan w:val="4"/>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Does not include the parking of Heavy Vehicles or Heavy Machinery.</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This is a quantifiable standard that is an alternative provision to the QDC, part MP1.1, A8 and par MP1.2, A8. Non-</w:t>
                  </w:r>
                  <w:r w:rsidRPr="00C64A89">
                    <w:rPr>
                      <w:rFonts w:ascii="Arial" w:hAnsi="Arial" w:cs="Arial"/>
                      <w:sz w:val="18"/>
                      <w:szCs w:val="20"/>
                    </w:rPr>
                    <w:lastRenderedPageBreak/>
                    <w:t>compliance with this provision for a Dwelling house</w:t>
                  </w:r>
                  <w:r w:rsidRPr="00C64A89">
                    <w:rPr>
                      <w:rFonts w:ascii="Arial" w:hAnsi="Arial" w:cs="Arial"/>
                      <w:sz w:val="18"/>
                      <w:szCs w:val="20"/>
                      <w:vertAlign w:val="superscript"/>
                    </w:rPr>
                    <w:t>(</w:t>
                  </w:r>
                  <w:hyperlink r:id="rId2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lastRenderedPageBreak/>
                    <w:t>Note - The provision of the third parking space may be provided in tandem on site.</w:t>
                  </w:r>
                </w:p>
              </w:tc>
            </w:tr>
            <w:tr w:rsidR="00534E2C" w:rsidRPr="00816DE1" w:rsidTr="00816DE1">
              <w:trPr>
                <w:tblCellSpacing w:w="15" w:type="dxa"/>
              </w:trPr>
              <w:tc>
                <w:tcPr>
                  <w:tcW w:w="6202" w:type="dxa"/>
                  <w:vAlign w:val="center"/>
                </w:tcPr>
                <w:p w:rsidR="00534E2C" w:rsidRPr="00C64A89" w:rsidRDefault="00534E2C" w:rsidP="00534E2C">
                  <w:pPr>
                    <w:pStyle w:val="NormalWeb"/>
                    <w:rPr>
                      <w:rFonts w:ascii="Arial" w:hAnsi="Arial" w:cs="Arial"/>
                      <w:sz w:val="18"/>
                      <w:szCs w:val="20"/>
                    </w:rPr>
                  </w:pPr>
                  <w:r>
                    <w:rPr>
                      <w:rFonts w:ascii="Arial" w:hAnsi="Arial" w:cs="Arial"/>
                      <w:sz w:val="18"/>
                      <w:szCs w:val="20"/>
                    </w:rPr>
                    <w:t>N</w:t>
                  </w:r>
                  <w:r w:rsidRPr="00534E2C">
                    <w:rPr>
                      <w:rFonts w:ascii="Arial" w:hAnsi="Arial" w:cs="Arial"/>
                      <w:sz w:val="18"/>
                      <w:szCs w:val="20"/>
                    </w:rPr>
                    <w:t>ote - For the Caboolture West local plan - Urban living precinct - Next generation sub-precinct, the provision of the second parking space may be provided in tandem on site.</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Garages and carports facing a street are designed to:</w:t>
            </w:r>
          </w:p>
          <w:p w:rsidR="00816DE1" w:rsidRPr="00816DE1" w:rsidRDefault="00816DE1" w:rsidP="0069586D">
            <w:pPr>
              <w:pStyle w:val="NormalWeb"/>
              <w:numPr>
                <w:ilvl w:val="0"/>
                <w:numId w:val="17"/>
              </w:numPr>
              <w:rPr>
                <w:rFonts w:ascii="Arial" w:hAnsi="Arial" w:cs="Arial"/>
                <w:sz w:val="20"/>
                <w:szCs w:val="20"/>
              </w:rPr>
            </w:pPr>
            <w:r w:rsidRPr="00816DE1">
              <w:rPr>
                <w:rFonts w:ascii="Arial" w:hAnsi="Arial" w:cs="Arial"/>
                <w:sz w:val="20"/>
                <w:szCs w:val="20"/>
              </w:rPr>
              <w:t>not dominate the street frontage;</w:t>
            </w:r>
          </w:p>
          <w:p w:rsidR="00816DE1" w:rsidRPr="00816DE1" w:rsidRDefault="00816DE1" w:rsidP="0069586D">
            <w:pPr>
              <w:pStyle w:val="NormalWeb"/>
              <w:numPr>
                <w:ilvl w:val="0"/>
                <w:numId w:val="17"/>
              </w:numPr>
              <w:rPr>
                <w:rFonts w:ascii="Arial" w:hAnsi="Arial" w:cs="Arial"/>
                <w:sz w:val="20"/>
                <w:szCs w:val="20"/>
              </w:rPr>
            </w:pPr>
            <w:r w:rsidRPr="00816DE1">
              <w:rPr>
                <w:rFonts w:ascii="Arial" w:hAnsi="Arial" w:cs="Arial"/>
                <w:sz w:val="20"/>
                <w:szCs w:val="20"/>
              </w:rPr>
              <w:t>maintain active frontages and opportunities for surveillance from within the dwelling;</w:t>
            </w:r>
          </w:p>
          <w:p w:rsidR="00816DE1" w:rsidRPr="00816DE1" w:rsidRDefault="00816DE1" w:rsidP="0069586D">
            <w:pPr>
              <w:pStyle w:val="NormalWeb"/>
              <w:numPr>
                <w:ilvl w:val="0"/>
                <w:numId w:val="17"/>
              </w:numPr>
              <w:rPr>
                <w:rFonts w:ascii="Arial" w:hAnsi="Arial" w:cs="Arial"/>
                <w:sz w:val="20"/>
                <w:szCs w:val="20"/>
              </w:rPr>
            </w:pPr>
            <w:r w:rsidRPr="00816DE1">
              <w:rPr>
                <w:rFonts w:ascii="Arial" w:hAnsi="Arial" w:cs="Arial"/>
                <w:sz w:val="20"/>
                <w:szCs w:val="20"/>
              </w:rPr>
              <w:t>contribute to the intended character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is an alternative provision to the QDC, part MP1.1, P1.</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the amenity and aesthetic impacts of the building or structure.</w:t>
                  </w:r>
                </w:p>
              </w:tc>
            </w:tr>
          </w:tbl>
          <w:p w:rsidR="00816DE1" w:rsidRPr="00C64A89" w:rsidRDefault="00816DE1" w:rsidP="00E257BD">
            <w:pPr>
              <w:rPr>
                <w:rFonts w:ascii="Arial" w:eastAsia="Times New Roman" w:hAnsi="Arial" w:cs="Arial"/>
                <w:vanish/>
                <w:sz w:val="18"/>
                <w:szCs w:val="20"/>
              </w:rPr>
            </w:pPr>
          </w:p>
          <w:tbl>
            <w:tblPr>
              <w:tblW w:w="43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0"/>
            </w:tblGrid>
            <w:tr w:rsidR="00816DE1" w:rsidRPr="00C64A89" w:rsidTr="003D5BCB">
              <w:trPr>
                <w:trHeight w:val="468"/>
                <w:tblCellSpacing w:w="15" w:type="dxa"/>
              </w:trPr>
              <w:tc>
                <w:tcPr>
                  <w:tcW w:w="4250"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Garage and carport openings, where located within 20m of the site frontage, are in accordance with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468"/>
              <w:gridCol w:w="3713"/>
              <w:gridCol w:w="71"/>
            </w:tblGrid>
            <w:tr w:rsidR="00816DE1" w:rsidRPr="00816DE1"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Primary or Secondary frontage</w:t>
                  </w:r>
                </w:p>
              </w:tc>
              <w:tc>
                <w:tcPr>
                  <w:tcW w:w="4372"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Covered car space opening(s) per street frontage</w:t>
                  </w:r>
                </w:p>
              </w:tc>
            </w:tr>
            <w:tr w:rsidR="00816DE1" w:rsidRPr="00816DE1"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Greater than 18m</w:t>
                  </w:r>
                </w:p>
              </w:tc>
              <w:tc>
                <w:tcPr>
                  <w:tcW w:w="4372"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Not specified</w:t>
                  </w:r>
                </w:p>
              </w:tc>
            </w:tr>
            <w:tr w:rsidR="00816DE1" w:rsidRPr="00816DE1"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12.5m to 18m</w:t>
                  </w:r>
                </w:p>
              </w:tc>
              <w:tc>
                <w:tcPr>
                  <w:tcW w:w="4372"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6m wide maximum</w:t>
                  </w:r>
                </w:p>
              </w:tc>
            </w:tr>
            <w:tr w:rsidR="00816DE1" w:rsidRPr="00816DE1" w:rsidTr="00816DE1">
              <w:trPr>
                <w:gridBefore w:val="1"/>
                <w:gridAfter w:val="1"/>
                <w:wAfter w:w="26" w:type="dxa"/>
                <w:tblCellSpacing w:w="15" w:type="dxa"/>
              </w:trPr>
              <w:tc>
                <w:tcPr>
                  <w:tcW w:w="169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Less than 12.5m*</w:t>
                  </w:r>
                </w:p>
              </w:tc>
              <w:tc>
                <w:tcPr>
                  <w:tcW w:w="4372"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Single storey dwelling:</w:t>
                  </w:r>
                </w:p>
                <w:p w:rsidR="00816DE1" w:rsidRPr="00816DE1" w:rsidRDefault="00816DE1" w:rsidP="0069586D">
                  <w:pPr>
                    <w:numPr>
                      <w:ilvl w:val="0"/>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maximum 50% of the frontage width (being the frontage vehicle access is from);</w:t>
                  </w:r>
                </w:p>
                <w:p w:rsidR="00816DE1" w:rsidRPr="00816DE1" w:rsidRDefault="00816DE1" w:rsidP="0069586D">
                  <w:pPr>
                    <w:numPr>
                      <w:ilvl w:val="0"/>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recessed:</w:t>
                  </w:r>
                  <w:r w:rsidRPr="00816DE1">
                    <w:rPr>
                      <w:rFonts w:ascii="Arial" w:eastAsia="Times New Roman" w:hAnsi="Arial" w:cs="Arial"/>
                      <w:sz w:val="20"/>
                      <w:szCs w:val="20"/>
                    </w:rPr>
                    <w:br/>
                  </w:r>
                </w:p>
                <w:p w:rsidR="00816DE1" w:rsidRPr="00816DE1" w:rsidRDefault="00816DE1" w:rsidP="0069586D">
                  <w:pPr>
                    <w:numPr>
                      <w:ilvl w:val="1"/>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at least 1.0m behind the main building line; </w:t>
                  </w:r>
                  <w:r w:rsidRPr="00816DE1">
                    <w:rPr>
                      <w:rFonts w:ascii="Arial" w:eastAsia="Times New Roman" w:hAnsi="Arial" w:cs="Arial"/>
                      <w:sz w:val="20"/>
                      <w:szCs w:val="20"/>
                    </w:rPr>
                    <w:br/>
                    <w:t>or</w:t>
                  </w:r>
                </w:p>
                <w:p w:rsidR="00816DE1" w:rsidRPr="00816DE1" w:rsidRDefault="00816DE1" w:rsidP="0069586D">
                  <w:pPr>
                    <w:numPr>
                      <w:ilvl w:val="1"/>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at least 1.0m behind a front portico and no more than 2.0m in front of the main building line.</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Two storey dwelling:</w:t>
                  </w:r>
                </w:p>
                <w:p w:rsidR="00816DE1" w:rsidRPr="00816DE1" w:rsidRDefault="00816DE1" w:rsidP="0069586D">
                  <w:pPr>
                    <w:numPr>
                      <w:ilvl w:val="0"/>
                      <w:numId w:val="1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6.0m wide maximum;</w:t>
                  </w:r>
                </w:p>
                <w:p w:rsidR="00816DE1" w:rsidRPr="00816DE1" w:rsidRDefault="00816DE1" w:rsidP="0069586D">
                  <w:pPr>
                    <w:numPr>
                      <w:ilvl w:val="0"/>
                      <w:numId w:val="1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recessed 1.0m behind the front wall or balcony of upper level.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578"/>
                  </w:tblGrid>
                  <w:tr w:rsidR="00816DE1" w:rsidRPr="00816DE1" w:rsidTr="00816DE1">
                    <w:trPr>
                      <w:tblCellSpacing w:w="15" w:type="dxa"/>
                    </w:trPr>
                    <w:tc>
                      <w:tcPr>
                        <w:tcW w:w="4222" w:type="dxa"/>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Editor's note - Front wall is to have a minimum length of 40% of the adjoining frontage.</w:t>
                        </w:r>
                      </w:p>
                    </w:tc>
                  </w:tr>
                </w:tbl>
                <w:p w:rsidR="00816DE1" w:rsidRPr="00816DE1" w:rsidRDefault="00816DE1" w:rsidP="00E257BD">
                  <w:pPr>
                    <w:pStyle w:val="NormalWeb"/>
                    <w:rPr>
                      <w:rFonts w:ascii="Arial" w:hAnsi="Arial" w:cs="Arial"/>
                      <w:sz w:val="20"/>
                      <w:szCs w:val="20"/>
                    </w:rPr>
                  </w:pPr>
                  <w:r w:rsidRPr="00816DE1">
                    <w:rPr>
                      <w:rFonts w:ascii="Arial" w:hAnsi="Arial" w:cs="Arial"/>
                      <w:sz w:val="20"/>
                      <w:szCs w:val="20"/>
                    </w:rPr>
                    <w:t>OR</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For a laneway lot (Single or two storey): no maximum</w:t>
                  </w:r>
                </w:p>
              </w:tc>
            </w:tr>
            <w:tr w:rsidR="00816DE1" w:rsidRPr="00C64A89" w:rsidTr="00816DE1">
              <w:tblPrEx>
                <w:tblBorders>
                  <w:top w:val="none" w:sz="0" w:space="0" w:color="auto"/>
                  <w:left w:val="none" w:sz="0" w:space="0" w:color="auto"/>
                  <w:bottom w:val="none" w:sz="0" w:space="0" w:color="auto"/>
                  <w:right w:val="none" w:sz="0" w:space="0" w:color="auto"/>
                </w:tblBorders>
              </w:tblPrEx>
              <w:trPr>
                <w:tblCellSpacing w:w="15" w:type="dxa"/>
              </w:trPr>
              <w:tc>
                <w:tcPr>
                  <w:tcW w:w="6186" w:type="dxa"/>
                  <w:gridSpan w:val="4"/>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lastRenderedPageBreak/>
                    <w:t>Note - *For a laneway lot, vehicle access and parking must be provided via the laneway.</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a Dwelling house on a lot under 450m</w:t>
                  </w:r>
                  <w:r w:rsidRPr="00C64A89">
                    <w:rPr>
                      <w:rFonts w:ascii="Arial" w:hAnsi="Arial" w:cs="Arial"/>
                      <w:sz w:val="18"/>
                      <w:szCs w:val="20"/>
                      <w:vertAlign w:val="superscript"/>
                    </w:rPr>
                    <w:t>2</w:t>
                  </w:r>
                  <w:r w:rsidRPr="00C64A89">
                    <w:rPr>
                      <w:rFonts w:ascii="Arial" w:hAnsi="Arial" w:cs="Arial"/>
                      <w:sz w:val="18"/>
                      <w:szCs w:val="20"/>
                    </w:rPr>
                    <w:t>, this is a quantifiable standard that is an alternative provision to the QDC, part MP1.1, A1 (b). Non-compliance with this provision requires a concurrence agency response from Council.</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a Dwelling house on a lot of 450m</w:t>
                  </w:r>
                  <w:r w:rsidRPr="00C64A89">
                    <w:rPr>
                      <w:rFonts w:ascii="Arial" w:hAnsi="Arial" w:cs="Arial"/>
                      <w:sz w:val="18"/>
                      <w:szCs w:val="20"/>
                      <w:vertAlign w:val="superscript"/>
                    </w:rPr>
                    <w:t>2</w:t>
                  </w:r>
                  <w:r w:rsidRPr="00C64A89">
                    <w:rPr>
                      <w:rFonts w:ascii="Arial" w:hAnsi="Arial" w:cs="Arial"/>
                      <w:sz w:val="18"/>
                      <w:szCs w:val="20"/>
                    </w:rPr>
                    <w:t xml:space="preserve"> or more, this is a quantifiable standard that relates to matters identified in Schedule 9, Part 3, Division 2, Table of Regulation. Non-compliance with this provision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Access and driveways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Driveways, pedestrian entries and internal access ways are designed to: </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provide lawful access;</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not detract from the creation of active street frontages and positively contribute to the intended streetscape character;</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provide a safe pedestrian environment;</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not result in excessive crossovers and hardstand areas;</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lastRenderedPageBreak/>
              <w:t>allows adequate space for on-street parking;</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allows adequate space for street planting and street trees;</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allow adequate space for garbage collection and the location of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E8.1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Crossovers and driveways </w:t>
            </w:r>
            <w:proofErr w:type="gramStart"/>
            <w:r w:rsidRPr="00816DE1">
              <w:rPr>
                <w:rFonts w:ascii="Arial" w:hAnsi="Arial" w:cs="Arial"/>
                <w:sz w:val="20"/>
                <w:szCs w:val="20"/>
              </w:rPr>
              <w:t>are located in</w:t>
            </w:r>
            <w:proofErr w:type="gramEnd"/>
            <w:r w:rsidRPr="00816DE1">
              <w:rPr>
                <w:rFonts w:ascii="Arial" w:hAnsi="Arial" w:cs="Arial"/>
                <w:sz w:val="20"/>
                <w:szCs w:val="20"/>
              </w:rPr>
              <w:t xml:space="preserve">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E8.2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Where there is a plan of development, driveway crossovers </w:t>
            </w:r>
            <w:proofErr w:type="gramStart"/>
            <w:r w:rsidRPr="00816DE1">
              <w:rPr>
                <w:rFonts w:ascii="Arial" w:hAnsi="Arial" w:cs="Arial"/>
                <w:sz w:val="20"/>
                <w:szCs w:val="20"/>
              </w:rPr>
              <w:t>are located in</w:t>
            </w:r>
            <w:proofErr w:type="gramEnd"/>
            <w:r w:rsidRPr="00816DE1">
              <w:rPr>
                <w:rFonts w:ascii="Arial" w:hAnsi="Arial" w:cs="Arial"/>
                <w:sz w:val="20"/>
                <w:szCs w:val="20"/>
              </w:rPr>
              <w:t xml:space="preserve"> accordance with a plan of development </w:t>
            </w:r>
            <w:r w:rsidRPr="00816DE1">
              <w:rPr>
                <w:rFonts w:ascii="Arial" w:hAnsi="Arial" w:cs="Arial"/>
                <w:sz w:val="20"/>
                <w:szCs w:val="20"/>
              </w:rPr>
              <w:lastRenderedPageBreak/>
              <w:t>approved by Council as part of a development approval or as otherwise amended by Council in writing.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eastAsia="Times New Roman" w:hAnsi="Arial" w:cs="Arial"/>
                      <w:sz w:val="18"/>
                      <w:szCs w:val="20"/>
                      <w:vertAlign w:val="superscript"/>
                    </w:rPr>
                    <w:t>(</w:t>
                  </w:r>
                  <w:hyperlink r:id="rId2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eastAsia="Times New Roman" w:hAnsi="Arial" w:cs="Arial"/>
                        <w:sz w:val="18"/>
                        <w:szCs w:val="20"/>
                        <w:vertAlign w:val="superscript"/>
                      </w:rPr>
                      <w:t>22</w:t>
                    </w:r>
                  </w:hyperlink>
                  <w:r w:rsidRPr="00C64A89">
                    <w:rPr>
                      <w:rFonts w:ascii="Arial" w:eastAsia="Times New Roman" w:hAnsi="Arial" w:cs="Arial"/>
                      <w:sz w:val="18"/>
                      <w:szCs w:val="20"/>
                      <w:vertAlign w:val="superscript"/>
                    </w:rPr>
                    <w:t>)</w:t>
                  </w:r>
                  <w:r w:rsidRPr="00C64A89">
                    <w:rPr>
                      <w:rFonts w:ascii="Arial" w:eastAsia="Times New Roman"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198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E8.3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Driveways do not include a reversing bay, manoeuvring area or visitor parking spaces (other than tandem spaces) in the front setback.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2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driveway construction across the verge conforms to the relevant standard drawing for the classification of the road in accordance with Planning scheme policy - Integrated design.</w:t>
            </w: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816DE1" w:rsidTr="003D5BCB">
              <w:trPr>
                <w:trHeight w:val="357"/>
                <w:tblCellSpacing w:w="15" w:type="dxa"/>
              </w:trPr>
              <w:tc>
                <w:tcPr>
                  <w:tcW w:w="4269"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C64A89">
        <w:trPr>
          <w:trHeight w:val="654"/>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Crossovers and driveways are designed and constructed in accordance with:</w:t>
            </w:r>
          </w:p>
          <w:p w:rsidR="00816DE1" w:rsidRPr="00816DE1" w:rsidRDefault="00816DE1" w:rsidP="0069586D">
            <w:pPr>
              <w:numPr>
                <w:ilvl w:val="0"/>
                <w:numId w:val="2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for a Council-controlled road, Planning scheme policy - Integrated design;</w:t>
            </w:r>
          </w:p>
          <w:p w:rsidR="00816DE1" w:rsidRPr="00816DE1" w:rsidRDefault="00816DE1" w:rsidP="0069586D">
            <w:pPr>
              <w:numPr>
                <w:ilvl w:val="0"/>
                <w:numId w:val="2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where for a State-controlled road, the Safe Intersection Sight Distance requirements in Austroads and the appropriate IPWEAQ standard </w:t>
            </w:r>
            <w:r w:rsidRPr="00816DE1">
              <w:rPr>
                <w:rFonts w:ascii="Arial" w:eastAsia="Times New Roman" w:hAnsi="Arial" w:cs="Arial"/>
                <w:sz w:val="20"/>
                <w:szCs w:val="20"/>
              </w:rPr>
              <w:lastRenderedPageBreak/>
              <w:t>drawings, or a copy of a Transport Infrastructure Act, section 62 approval.</w:t>
            </w: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816DE1" w:rsidTr="003D5BCB">
              <w:trPr>
                <w:trHeight w:val="460"/>
                <w:tblCellSpacing w:w="15" w:type="dxa"/>
              </w:trPr>
              <w:tc>
                <w:tcPr>
                  <w:tcW w:w="4269"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Screening – fences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27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Fencing and screening complements the streetscape character, contributes to privacy while maintaining surveillance between buildings and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objective of providing surveillance of the street takes precedence over the provision of physical barriers for noise mitigation purposes. Where a barrier for noise is unavoidable it is to be aesthetically treated in accordance with an option detailed in Planning scheme policy - Residential design.</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C64A89" w:rsidRDefault="00816DE1" w:rsidP="00E257BD">
            <w:pPr>
              <w:rPr>
                <w:rFonts w:ascii="Arial" w:eastAsia="Times New Roman" w:hAnsi="Arial" w:cs="Arial"/>
                <w:vanish/>
                <w:sz w:val="18"/>
                <w:szCs w:val="20"/>
              </w:rPr>
            </w:pPr>
          </w:p>
          <w:tbl>
            <w:tblPr>
              <w:tblW w:w="43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0"/>
            </w:tblGrid>
            <w:tr w:rsidR="00816DE1" w:rsidRPr="00C64A89" w:rsidTr="003D5BCB">
              <w:trPr>
                <w:trHeight w:val="420"/>
                <w:tblCellSpacing w:w="15" w:type="dxa"/>
              </w:trPr>
              <w:tc>
                <w:tcPr>
                  <w:tcW w:w="4250"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Casual surveillance</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620"/>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and structures are designed and oriented to have active frontages that provide visual interest, address road frontages and facilitate casual surveillance of all public spaces (streets, laneways, public open space areas, pedestrian paths and car parking areas) through:</w:t>
            </w:r>
          </w:p>
          <w:p w:rsidR="00816DE1" w:rsidRPr="00816DE1" w:rsidRDefault="00816DE1" w:rsidP="0069586D">
            <w:pPr>
              <w:pStyle w:val="NormalWeb"/>
              <w:numPr>
                <w:ilvl w:val="0"/>
                <w:numId w:val="22"/>
              </w:numPr>
              <w:rPr>
                <w:rFonts w:ascii="Arial" w:hAnsi="Arial" w:cs="Arial"/>
                <w:sz w:val="20"/>
                <w:szCs w:val="20"/>
              </w:rPr>
            </w:pPr>
            <w:r w:rsidRPr="00816DE1">
              <w:rPr>
                <w:rFonts w:ascii="Arial" w:hAnsi="Arial" w:cs="Arial"/>
                <w:sz w:val="20"/>
                <w:szCs w:val="20"/>
              </w:rPr>
              <w:t>incorporating habitable room windows and balconies that overlook public spaces including secondary frontages;</w:t>
            </w:r>
          </w:p>
          <w:p w:rsidR="00816DE1" w:rsidRPr="00816DE1" w:rsidRDefault="00816DE1" w:rsidP="0069586D">
            <w:pPr>
              <w:pStyle w:val="NormalWeb"/>
              <w:numPr>
                <w:ilvl w:val="0"/>
                <w:numId w:val="22"/>
              </w:numPr>
              <w:rPr>
                <w:rFonts w:ascii="Arial" w:hAnsi="Arial" w:cs="Arial"/>
                <w:sz w:val="20"/>
                <w:szCs w:val="20"/>
              </w:rPr>
            </w:pPr>
            <w:r w:rsidRPr="00816DE1">
              <w:rPr>
                <w:rFonts w:ascii="Arial" w:hAnsi="Arial" w:cs="Arial"/>
                <w:sz w:val="20"/>
                <w:szCs w:val="20"/>
              </w:rPr>
              <w:t>emphasising the pedestrian entry so that it is easily identifiable and safely accessible from the primary frontage.</w:t>
            </w:r>
          </w:p>
          <w:p w:rsidR="00816DE1" w:rsidRPr="00816DE1" w:rsidRDefault="00816DE1" w:rsidP="00E257BD">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Dwelling houses</w:t>
                  </w:r>
                  <w:r w:rsidRPr="00C64A89">
                    <w:rPr>
                      <w:rFonts w:ascii="Arial" w:hAnsi="Arial" w:cs="Arial"/>
                      <w:sz w:val="18"/>
                      <w:szCs w:val="20"/>
                      <w:vertAlign w:val="superscript"/>
                    </w:rPr>
                    <w:t>(</w:t>
                  </w:r>
                  <w:hyperlink r:id="rId2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adjoining an arterial or sub-arterial road must address the arterial or sub-arterial road. Refer to Overlay map - Road hierarchy for road classifications.</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State Government standards for CPTED.</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Ground level dwellings at the front of the lot have individual access points to the street.</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E12.1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house (or the primary dwelling if including a secondary dwelling) must address primary frontages (excluding motorway and arterial roads) with a minimum of a front door, window(s) and pedestrian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Note - If an acoustic fence has been conditioned as part of a reconfiguring a lot approval this provision does not apply to that frontage.</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Refer to Overlay map - Road hierarchy for road classification.</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C64A89" w:rsidRDefault="00816DE1" w:rsidP="00E257BD">
            <w:pPr>
              <w:rPr>
                <w:rFonts w:ascii="Arial" w:eastAsia="Times New Roman" w:hAnsi="Arial" w:cs="Arial"/>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C64A89">
        <w:trPr>
          <w:trHeight w:val="2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E12.2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Each dwelling (primary and secondary), excluding domestic outbuildings and garages, that overlooks an adjoining public space (street, public open space or laneway) provides one habitable room window with an area of at least 1m</w:t>
            </w:r>
            <w:r w:rsidRPr="00816DE1">
              <w:rPr>
                <w:rFonts w:ascii="Arial" w:hAnsi="Arial" w:cs="Arial"/>
                <w:sz w:val="20"/>
                <w:szCs w:val="20"/>
                <w:vertAlign w:val="superscript"/>
              </w:rPr>
              <w:t xml:space="preserve">2 </w:t>
            </w:r>
            <w:r w:rsidRPr="00816DE1">
              <w:rPr>
                <w:rFonts w:ascii="Arial" w:hAnsi="Arial" w:cs="Arial"/>
                <w:sz w:val="20"/>
                <w:szCs w:val="20"/>
              </w:rPr>
              <w:t>or multiple habitable room windows having a combined area of at least 2.5m</w:t>
            </w:r>
            <w:r w:rsidRPr="00816DE1">
              <w:rPr>
                <w:rFonts w:ascii="Arial" w:hAnsi="Arial" w:cs="Arial"/>
                <w:sz w:val="20"/>
                <w:szCs w:val="20"/>
                <w:vertAlign w:val="superscript"/>
              </w:rPr>
              <w:t xml:space="preserve">2 </w:t>
            </w:r>
            <w:r w:rsidRPr="00816DE1">
              <w:rPr>
                <w:rFonts w:ascii="Arial" w:hAnsi="Arial" w:cs="Arial"/>
                <w:sz w:val="20"/>
                <w:szCs w:val="20"/>
              </w:rPr>
              <w:t>overlooking each adjoining public space (street, public open space or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Secondary dwellings are not required to provide a habitable room window where only the secondary dwelling garage overlooks the adjoining public space and all habitable rooms do not adjoin a public space.</w:t>
                  </w:r>
                </w:p>
                <w:p w:rsidR="00816DE1" w:rsidRPr="00C64A89" w:rsidRDefault="00816DE1" w:rsidP="00E257BD">
                  <w:pPr>
                    <w:rPr>
                      <w:rFonts w:ascii="Arial" w:eastAsia="Times New Roman" w:hAnsi="Arial" w:cs="Arial"/>
                      <w:sz w:val="18"/>
                      <w:szCs w:val="20"/>
                    </w:rPr>
                  </w:pP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Waste</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71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Bins and bin storage areas are provided, designed and managed in accordance with Planning scheme policy – Waste.</w:t>
            </w:r>
          </w:p>
          <w:tbl>
            <w:tblPr>
              <w:tblW w:w="43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3"/>
            </w:tblGrid>
            <w:tr w:rsidR="00816DE1" w:rsidRPr="00C64A89" w:rsidTr="003D5BCB">
              <w:trPr>
                <w:trHeight w:val="429"/>
                <w:tblCellSpacing w:w="15" w:type="dxa"/>
              </w:trPr>
              <w:tc>
                <w:tcPr>
                  <w:tcW w:w="4253"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Each dwelling (primary and secondary) includes a bin storage area that:</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is not visible from public areas or screened from public areas;</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is not located in the primary frontage setback, unless the dwelling is built to boundary on both sides of the lot with only one frontage;</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is not located in an enclosed garage;</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has a minimum area of 1m x 2m;</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has access to the collection point without going through a dwelling (excluding a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B11E22">
        <w:trPr>
          <w:trHeight w:val="647"/>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Waste storage areas are:</w:t>
            </w:r>
          </w:p>
          <w:p w:rsidR="00816DE1" w:rsidRPr="00816DE1" w:rsidRDefault="00816DE1" w:rsidP="0069586D">
            <w:pPr>
              <w:pStyle w:val="NormalWeb"/>
              <w:numPr>
                <w:ilvl w:val="0"/>
                <w:numId w:val="24"/>
              </w:numPr>
              <w:rPr>
                <w:rFonts w:ascii="Arial" w:hAnsi="Arial" w:cs="Arial"/>
                <w:sz w:val="20"/>
                <w:szCs w:val="20"/>
              </w:rPr>
            </w:pPr>
            <w:r w:rsidRPr="00816DE1">
              <w:rPr>
                <w:rFonts w:ascii="Arial" w:hAnsi="Arial" w:cs="Arial"/>
                <w:sz w:val="20"/>
                <w:szCs w:val="20"/>
              </w:rPr>
              <w:t>not located in front of the main building line; or</w:t>
            </w:r>
          </w:p>
          <w:p w:rsidR="00816DE1" w:rsidRPr="00816DE1" w:rsidRDefault="00816DE1" w:rsidP="0069586D">
            <w:pPr>
              <w:pStyle w:val="NormalWeb"/>
              <w:numPr>
                <w:ilvl w:val="0"/>
                <w:numId w:val="24"/>
              </w:numPr>
              <w:rPr>
                <w:rFonts w:ascii="Arial" w:hAnsi="Arial" w:cs="Arial"/>
                <w:sz w:val="20"/>
                <w:szCs w:val="20"/>
              </w:rPr>
            </w:pPr>
            <w:r w:rsidRPr="00816DE1">
              <w:rPr>
                <w:rFonts w:ascii="Arial" w:hAnsi="Arial" w:cs="Arial"/>
                <w:sz w:val="20"/>
                <w:szCs w:val="20"/>
              </w:rPr>
              <w:t>are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Utilities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333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is connected to:</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an existing reticulated electricity supply;</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reticulated sewerage;</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reticulated water;</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dedicated and constructed road.</w:t>
            </w:r>
          </w:p>
          <w:tbl>
            <w:tblPr>
              <w:tblW w:w="43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3"/>
            </w:tblGrid>
            <w:tr w:rsidR="00816DE1" w:rsidRPr="00816DE1" w:rsidTr="003D5BCB">
              <w:trPr>
                <w:trHeight w:val="298"/>
                <w:tblCellSpacing w:w="15" w:type="dxa"/>
              </w:trPr>
              <w:tc>
                <w:tcPr>
                  <w:tcW w:w="4253"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is connected to:</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an existing reticulated electricity supply;</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reticulated sewerage where in a reticulated area;</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reticulated water;</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dedicated and constructed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Earthworks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C64A89">
        <w:trPr>
          <w:trHeight w:val="5764"/>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This is a quantifiable standard that relates to the amenity and aesthetic impacts of the building or structure.</w:t>
                  </w:r>
                </w:p>
              </w:tc>
            </w:tr>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guidance on how to achieve compliance with this performance outcome.</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Earth retaining structures:</w:t>
            </w:r>
          </w:p>
          <w:p w:rsidR="00816DE1" w:rsidRPr="00816DE1" w:rsidRDefault="00816DE1" w:rsidP="0069586D">
            <w:pPr>
              <w:numPr>
                <w:ilvl w:val="0"/>
                <w:numId w:val="2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constructed of boulder rocks or timber;</w:t>
            </w:r>
          </w:p>
          <w:p w:rsidR="00816DE1" w:rsidRPr="00816DE1" w:rsidRDefault="00816DE1" w:rsidP="0069586D">
            <w:pPr>
              <w:numPr>
                <w:ilvl w:val="0"/>
                <w:numId w:val="2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height is no greater than 900mm, are provided in accordance with Figure - Retaining on a boundary;</w:t>
            </w:r>
          </w:p>
          <w:p w:rsidR="00816DE1" w:rsidRPr="00816DE1" w:rsidRDefault="00816DE1" w:rsidP="00C64A89">
            <w:pPr>
              <w:pStyle w:val="NormalWeb"/>
              <w:jc w:val="center"/>
              <w:rPr>
                <w:rFonts w:ascii="Arial" w:eastAsia="Times New Roman" w:hAnsi="Arial" w:cs="Arial"/>
                <w:sz w:val="20"/>
                <w:szCs w:val="20"/>
              </w:rPr>
            </w:pPr>
            <w:r w:rsidRPr="00816DE1">
              <w:rPr>
                <w:rStyle w:val="Strong"/>
                <w:rFonts w:ascii="Arial" w:eastAsia="Times New Roman" w:hAnsi="Arial" w:cs="Arial"/>
                <w:sz w:val="20"/>
                <w:szCs w:val="20"/>
              </w:rPr>
              <w:t>Figure - Retaining on boundary</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drawing>
                <wp:inline distT="0" distB="0" distL="0" distR="0" wp14:anchorId="36095A04" wp14:editId="1FCF2140">
                  <wp:extent cx="2876550" cy="1838325"/>
                  <wp:effectExtent l="0" t="0" r="0" b="9525"/>
                  <wp:docPr id="10" name="ID-2859424-78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3" descr="Retaining on boundar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16DE1" w:rsidRPr="00816DE1" w:rsidRDefault="00816DE1" w:rsidP="0069586D">
            <w:pPr>
              <w:numPr>
                <w:ilvl w:val="0"/>
                <w:numId w:val="2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where height is greater than 900mm but no greater than 1.5m, are to be setback at least the equivalent height of the retaining structure from any property boundary;</w:t>
            </w:r>
          </w:p>
          <w:p w:rsidR="00816DE1" w:rsidRPr="00816DE1" w:rsidRDefault="00816DE1" w:rsidP="0069586D">
            <w:pPr>
              <w:numPr>
                <w:ilvl w:val="0"/>
                <w:numId w:val="2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height is greater than 1.5m, are to be setback and stepped 1.5m vertical: 1.5m horizontal, terraced, landscaped and drained as shown below.</w:t>
            </w:r>
          </w:p>
          <w:p w:rsidR="00816DE1" w:rsidRPr="00816DE1" w:rsidRDefault="00816DE1" w:rsidP="00C64A89">
            <w:pPr>
              <w:jc w:val="center"/>
              <w:rPr>
                <w:rFonts w:ascii="Arial" w:eastAsia="Times New Roman" w:hAnsi="Arial" w:cs="Arial"/>
                <w:sz w:val="20"/>
                <w:szCs w:val="20"/>
              </w:rPr>
            </w:pPr>
            <w:r w:rsidRPr="00816DE1">
              <w:rPr>
                <w:rStyle w:val="Strong"/>
                <w:rFonts w:ascii="Arial" w:eastAsia="Times New Roman" w:hAnsi="Arial" w:cs="Arial"/>
                <w:sz w:val="20"/>
                <w:szCs w:val="20"/>
              </w:rPr>
              <w:t>Figure - Cut</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drawing>
                <wp:inline distT="0" distB="0" distL="0" distR="0" wp14:anchorId="683B46E6" wp14:editId="451BDDAA">
                  <wp:extent cx="2876550" cy="2533650"/>
                  <wp:effectExtent l="0" t="0" r="0" b="0"/>
                  <wp:docPr id="11" name="ID-2859424-787"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7" descr="Cu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816DE1" w:rsidRPr="00816DE1" w:rsidRDefault="00816DE1" w:rsidP="00E257BD">
            <w:pPr>
              <w:rPr>
                <w:rFonts w:ascii="Arial" w:eastAsia="Times New Roman" w:hAnsi="Arial" w:cs="Arial"/>
                <w:sz w:val="20"/>
                <w:szCs w:val="20"/>
              </w:rPr>
            </w:pPr>
          </w:p>
          <w:p w:rsidR="00816DE1" w:rsidRPr="00816DE1" w:rsidRDefault="00816DE1" w:rsidP="00C64A89">
            <w:pPr>
              <w:jc w:val="center"/>
              <w:rPr>
                <w:rFonts w:ascii="Arial" w:eastAsia="Times New Roman" w:hAnsi="Arial" w:cs="Arial"/>
                <w:sz w:val="20"/>
                <w:szCs w:val="20"/>
              </w:rPr>
            </w:pPr>
            <w:r w:rsidRPr="00816DE1">
              <w:rPr>
                <w:rStyle w:val="Strong"/>
                <w:rFonts w:ascii="Arial" w:eastAsia="Times New Roman" w:hAnsi="Arial" w:cs="Arial"/>
                <w:sz w:val="20"/>
                <w:szCs w:val="20"/>
              </w:rPr>
              <w:t>Figure - Fill</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lastRenderedPageBreak/>
              <w:drawing>
                <wp:inline distT="0" distB="0" distL="0" distR="0" wp14:anchorId="5913A31D" wp14:editId="61658000">
                  <wp:extent cx="2876550" cy="2600325"/>
                  <wp:effectExtent l="0" t="0" r="0" b="9525"/>
                  <wp:docPr id="12" name="ID-2859424-789"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9" descr="Fil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816DE1" w:rsidRPr="00816DE1" w:rsidRDefault="00816DE1" w:rsidP="00E257BD">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This is a quantifiable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880"/>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is designed to respond to sloping topography in the siting, design and form of buildings and structures by:</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t>minimising overuse of cut and fill to create single flat pads and benching;</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t>avoiding expanses of retaining walls, loss of trees and vegetation and interference with natural drainage systems;</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lastRenderedPageBreak/>
              <w:t>minimising any impact on the landscape character of the zone;</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t>protecting the amenity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E17.1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 and lot design on slopes between 10% and 15% must: </w:t>
            </w:r>
          </w:p>
          <w:p w:rsidR="00816DE1" w:rsidRPr="00816DE1" w:rsidRDefault="00816DE1" w:rsidP="0069586D">
            <w:pPr>
              <w:pStyle w:val="NormalWeb"/>
              <w:numPr>
                <w:ilvl w:val="0"/>
                <w:numId w:val="30"/>
              </w:numPr>
              <w:rPr>
                <w:rFonts w:ascii="Arial" w:hAnsi="Arial" w:cs="Arial"/>
                <w:sz w:val="20"/>
                <w:szCs w:val="20"/>
              </w:rPr>
            </w:pPr>
            <w:r w:rsidRPr="00816DE1">
              <w:rPr>
                <w:rFonts w:ascii="Arial" w:hAnsi="Arial" w:cs="Arial"/>
                <w:sz w:val="20"/>
                <w:szCs w:val="20"/>
              </w:rPr>
              <w:t>avoid single-plane slabs and benching with the use of split-level, multiple-slab, pier or pole construction;</w:t>
            </w:r>
          </w:p>
          <w:p w:rsidR="00816DE1" w:rsidRPr="00816DE1" w:rsidRDefault="00816DE1" w:rsidP="0069586D">
            <w:pPr>
              <w:pStyle w:val="NormalWeb"/>
              <w:numPr>
                <w:ilvl w:val="0"/>
                <w:numId w:val="30"/>
              </w:numPr>
              <w:rPr>
                <w:rFonts w:ascii="Arial" w:hAnsi="Arial" w:cs="Arial"/>
                <w:sz w:val="20"/>
                <w:szCs w:val="20"/>
              </w:rPr>
            </w:pPr>
            <w:r w:rsidRPr="00816DE1">
              <w:rPr>
                <w:rFonts w:ascii="Arial" w:hAnsi="Arial" w:cs="Arial"/>
                <w:sz w:val="20"/>
                <w:szCs w:val="20"/>
              </w:rPr>
              <w:t>have built to boundary walls on the low side of the lot to avoid drainage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132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E17.2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New buildings on land with a slope greater than 15% do not have slab on ground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the amenity and aesthetic impacts of the building or structure.</w:t>
                  </w: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there is no height specified for fill or excavation wholly contained within the dwelling footprint (i.e. the area within the outer structural extremities of the dwelling).</w:t>
                  </w:r>
                </w:p>
                <w:p w:rsidR="00816DE1" w:rsidRPr="00C64A89" w:rsidRDefault="00816DE1" w:rsidP="00E257BD">
                  <w:pPr>
                    <w:rPr>
                      <w:rFonts w:ascii="Arial" w:eastAsia="Times New Roman" w:hAnsi="Arial" w:cs="Arial"/>
                      <w:sz w:val="18"/>
                      <w:szCs w:val="20"/>
                    </w:rPr>
                  </w:pP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Development on a laneway</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98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a lot has a non-laneway frontage, the dwelling is designed and orientated towards the non-laneway frontage e.g. Street or park) and incorporates design elements to address and activate the non-laneway frontage (e.g. front door, windows, low front fencing (if any) with a gate etc).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house</w:t>
            </w:r>
            <w:r w:rsidRPr="00816DE1">
              <w:rPr>
                <w:rFonts w:ascii="Arial" w:hAnsi="Arial" w:cs="Arial"/>
                <w:sz w:val="20"/>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(or the primary dwelling where including a secondary dwelling)</w:t>
            </w:r>
          </w:p>
          <w:p w:rsidR="00816DE1" w:rsidRPr="00816DE1" w:rsidRDefault="00816DE1" w:rsidP="0069586D">
            <w:pPr>
              <w:pStyle w:val="NormalWeb"/>
              <w:numPr>
                <w:ilvl w:val="0"/>
                <w:numId w:val="31"/>
              </w:numPr>
              <w:rPr>
                <w:rFonts w:ascii="Arial" w:hAnsi="Arial" w:cs="Arial"/>
                <w:sz w:val="20"/>
                <w:szCs w:val="20"/>
              </w:rPr>
            </w:pPr>
            <w:r w:rsidRPr="00816DE1">
              <w:rPr>
                <w:rFonts w:ascii="Arial" w:hAnsi="Arial" w:cs="Arial"/>
                <w:sz w:val="20"/>
                <w:szCs w:val="20"/>
              </w:rPr>
              <w:t>faces the non-laneway frontage;</w:t>
            </w:r>
          </w:p>
          <w:p w:rsidR="00816DE1" w:rsidRPr="00816DE1" w:rsidRDefault="00816DE1" w:rsidP="0069586D">
            <w:pPr>
              <w:pStyle w:val="NormalWeb"/>
              <w:numPr>
                <w:ilvl w:val="0"/>
                <w:numId w:val="31"/>
              </w:numPr>
              <w:rPr>
                <w:rFonts w:ascii="Arial" w:hAnsi="Arial" w:cs="Arial"/>
                <w:sz w:val="20"/>
                <w:szCs w:val="20"/>
              </w:rPr>
            </w:pPr>
            <w:r w:rsidRPr="00816DE1">
              <w:rPr>
                <w:rFonts w:ascii="Arial" w:hAnsi="Arial" w:cs="Arial"/>
                <w:sz w:val="20"/>
                <w:szCs w:val="20"/>
              </w:rPr>
              <w:t xml:space="preserve">has its main pedestrian entrance (front door) from the non-laneway </w:t>
            </w:r>
            <w:proofErr w:type="gramStart"/>
            <w:r w:rsidRPr="00816DE1">
              <w:rPr>
                <w:rFonts w:ascii="Arial" w:hAnsi="Arial" w:cs="Arial"/>
                <w:sz w:val="20"/>
                <w:szCs w:val="20"/>
              </w:rPr>
              <w:t>frontage.</w:t>
            </w:r>
            <w:proofErr w:type="gramEnd"/>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123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All vehicle access must be via the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r w:rsidRPr="00816DE1">
                    <w:rPr>
                      <w:rFonts w:ascii="Arial"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rHeight w:val="364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PO20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3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on laneways contribute to the streetscape by:</w:t>
            </w:r>
          </w:p>
          <w:p w:rsidR="00816DE1" w:rsidRPr="00816DE1" w:rsidRDefault="00816DE1" w:rsidP="0069586D">
            <w:pPr>
              <w:pStyle w:val="NormalWeb"/>
              <w:numPr>
                <w:ilvl w:val="0"/>
                <w:numId w:val="32"/>
              </w:numPr>
              <w:rPr>
                <w:rFonts w:ascii="Arial" w:hAnsi="Arial" w:cs="Arial"/>
                <w:sz w:val="20"/>
                <w:szCs w:val="20"/>
              </w:rPr>
            </w:pPr>
            <w:r w:rsidRPr="00816DE1">
              <w:rPr>
                <w:rFonts w:ascii="Arial" w:hAnsi="Arial" w:cs="Arial"/>
                <w:sz w:val="20"/>
                <w:szCs w:val="20"/>
              </w:rPr>
              <w:t>providing concealed garbage bin storage areas to reduce the dominance of bins on the lane;</w:t>
            </w:r>
          </w:p>
          <w:p w:rsidR="00816DE1" w:rsidRPr="00816DE1" w:rsidRDefault="00816DE1" w:rsidP="0069586D">
            <w:pPr>
              <w:pStyle w:val="NormalWeb"/>
              <w:numPr>
                <w:ilvl w:val="0"/>
                <w:numId w:val="32"/>
              </w:numPr>
              <w:rPr>
                <w:rFonts w:ascii="Arial" w:hAnsi="Arial" w:cs="Arial"/>
                <w:sz w:val="20"/>
                <w:szCs w:val="20"/>
              </w:rPr>
            </w:pPr>
            <w:r w:rsidRPr="00816DE1">
              <w:rPr>
                <w:rFonts w:ascii="Arial" w:hAnsi="Arial" w:cs="Arial"/>
                <w:sz w:val="20"/>
                <w:szCs w:val="20"/>
              </w:rPr>
              <w:t>maximising security and amenity;</w:t>
            </w:r>
          </w:p>
          <w:p w:rsidR="00816DE1" w:rsidRPr="00816DE1" w:rsidRDefault="00816DE1" w:rsidP="0069586D">
            <w:pPr>
              <w:pStyle w:val="NormalWeb"/>
              <w:numPr>
                <w:ilvl w:val="0"/>
                <w:numId w:val="32"/>
              </w:numPr>
              <w:rPr>
                <w:rFonts w:ascii="Arial" w:hAnsi="Arial" w:cs="Arial"/>
                <w:sz w:val="20"/>
                <w:szCs w:val="20"/>
              </w:rPr>
            </w:pPr>
            <w:r w:rsidRPr="00816DE1">
              <w:rPr>
                <w:rFonts w:ascii="Arial" w:hAnsi="Arial" w:cs="Arial"/>
                <w:sz w:val="20"/>
                <w:szCs w:val="20"/>
              </w:rPr>
              <w:t>including landscaping that:</w:t>
            </w:r>
          </w:p>
          <w:p w:rsidR="00816DE1" w:rsidRPr="00816DE1" w:rsidRDefault="00816DE1" w:rsidP="0069586D">
            <w:pPr>
              <w:pStyle w:val="NormalWeb"/>
              <w:numPr>
                <w:ilvl w:val="1"/>
                <w:numId w:val="32"/>
              </w:numPr>
              <w:rPr>
                <w:rFonts w:ascii="Arial" w:hAnsi="Arial" w:cs="Arial"/>
                <w:sz w:val="20"/>
                <w:szCs w:val="20"/>
              </w:rPr>
            </w:pPr>
            <w:r w:rsidRPr="00816DE1">
              <w:rPr>
                <w:rFonts w:ascii="Arial" w:hAnsi="Arial" w:cs="Arial"/>
                <w:sz w:val="20"/>
                <w:szCs w:val="20"/>
              </w:rPr>
              <w:t>does not provide areas of concealment;</w:t>
            </w:r>
          </w:p>
          <w:p w:rsidR="00816DE1" w:rsidRPr="00816DE1" w:rsidRDefault="00816DE1" w:rsidP="0069586D">
            <w:pPr>
              <w:pStyle w:val="NormalWeb"/>
              <w:numPr>
                <w:ilvl w:val="1"/>
                <w:numId w:val="32"/>
              </w:numPr>
              <w:rPr>
                <w:rFonts w:ascii="Arial" w:hAnsi="Arial" w:cs="Arial"/>
                <w:sz w:val="20"/>
                <w:szCs w:val="20"/>
              </w:rPr>
            </w:pPr>
            <w:r w:rsidRPr="00816DE1">
              <w:rPr>
                <w:rFonts w:ascii="Arial" w:hAnsi="Arial" w:cs="Arial"/>
                <w:sz w:val="20"/>
                <w:szCs w:val="20"/>
              </w:rPr>
              <w:t>breaks up the dominance of garages and vehicle parking;</w:t>
            </w:r>
          </w:p>
          <w:p w:rsidR="00816DE1" w:rsidRPr="00816DE1" w:rsidRDefault="00816DE1" w:rsidP="0069586D">
            <w:pPr>
              <w:pStyle w:val="NormalWeb"/>
              <w:numPr>
                <w:ilvl w:val="1"/>
                <w:numId w:val="32"/>
              </w:numPr>
              <w:rPr>
                <w:rFonts w:ascii="Arial" w:hAnsi="Arial" w:cs="Arial"/>
                <w:sz w:val="20"/>
                <w:szCs w:val="20"/>
              </w:rPr>
            </w:pPr>
            <w:r w:rsidRPr="00816DE1">
              <w:rPr>
                <w:rFonts w:ascii="Arial" w:hAnsi="Arial" w:cs="Arial"/>
                <w:sz w:val="20"/>
                <w:szCs w:val="20"/>
              </w:rPr>
              <w:t>delineates the boundaries between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r w:rsidRPr="00816DE1">
                    <w:rPr>
                      <w:rFonts w:ascii="Arial"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Secondary dwelling</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050"/>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Secondary dwellings:</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are subordinate and ancillary to the primary dwelling in size and function;</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have a GFA that does not exceed:</w:t>
            </w:r>
          </w:p>
          <w:p w:rsidR="00816DE1" w:rsidRPr="00816DE1" w:rsidRDefault="00816DE1" w:rsidP="0069586D">
            <w:pPr>
              <w:pStyle w:val="NormalWeb"/>
              <w:numPr>
                <w:ilvl w:val="1"/>
                <w:numId w:val="33"/>
              </w:numPr>
              <w:rPr>
                <w:rFonts w:ascii="Arial" w:hAnsi="Arial" w:cs="Arial"/>
                <w:sz w:val="20"/>
                <w:szCs w:val="20"/>
              </w:rPr>
            </w:pPr>
            <w:r w:rsidRPr="00816DE1">
              <w:rPr>
                <w:rFonts w:ascii="Arial" w:hAnsi="Arial" w:cs="Arial"/>
                <w:sz w:val="20"/>
                <w:szCs w:val="20"/>
              </w:rPr>
              <w:t>45m</w:t>
            </w:r>
            <w:r w:rsidRPr="00816DE1">
              <w:rPr>
                <w:rFonts w:ascii="Arial" w:hAnsi="Arial" w:cs="Arial"/>
                <w:sz w:val="20"/>
                <w:szCs w:val="20"/>
                <w:vertAlign w:val="superscript"/>
              </w:rPr>
              <w:t>2</w:t>
            </w:r>
            <w:r w:rsidRPr="00816DE1">
              <w:rPr>
                <w:rFonts w:ascii="Arial" w:hAnsi="Arial" w:cs="Arial"/>
                <w:sz w:val="20"/>
                <w:szCs w:val="20"/>
              </w:rPr>
              <w:t xml:space="preserve"> for a lot with a primary frontage less than 15m; or</w:t>
            </w:r>
          </w:p>
          <w:p w:rsidR="00816DE1" w:rsidRPr="00816DE1" w:rsidRDefault="00816DE1" w:rsidP="0069586D">
            <w:pPr>
              <w:pStyle w:val="NormalWeb"/>
              <w:numPr>
                <w:ilvl w:val="1"/>
                <w:numId w:val="33"/>
              </w:numPr>
              <w:rPr>
                <w:rFonts w:ascii="Arial" w:hAnsi="Arial" w:cs="Arial"/>
                <w:sz w:val="20"/>
                <w:szCs w:val="20"/>
              </w:rPr>
            </w:pPr>
            <w:r w:rsidRPr="00816DE1">
              <w:rPr>
                <w:rFonts w:ascii="Arial" w:hAnsi="Arial" w:cs="Arial"/>
                <w:sz w:val="20"/>
                <w:szCs w:val="20"/>
              </w:rPr>
              <w:t>55m</w:t>
            </w:r>
            <w:r w:rsidRPr="00816DE1">
              <w:rPr>
                <w:rFonts w:ascii="Arial" w:hAnsi="Arial" w:cs="Arial"/>
                <w:sz w:val="20"/>
                <w:szCs w:val="20"/>
                <w:vertAlign w:val="superscript"/>
              </w:rPr>
              <w:t>2</w:t>
            </w:r>
            <w:r w:rsidRPr="00816DE1">
              <w:rPr>
                <w:rFonts w:ascii="Arial" w:hAnsi="Arial" w:cs="Arial"/>
                <w:sz w:val="20"/>
                <w:szCs w:val="20"/>
              </w:rPr>
              <w:t xml:space="preserve"> for a lot with a primary frontage of 15m or more.</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have the appearance, bulk and scale of a single dwelling from the street;</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 xml:space="preserve">maintain sufficient area for the siting of all buildings, structures, landscaping and car parking spaces for the Dwelling </w:t>
            </w:r>
            <w:r w:rsidRPr="00816DE1">
              <w:rPr>
                <w:rFonts w:ascii="Arial" w:hAnsi="Arial" w:cs="Arial"/>
                <w:sz w:val="20"/>
                <w:szCs w:val="20"/>
              </w:rPr>
              <w:lastRenderedPageBreak/>
              <w:t>house</w:t>
            </w:r>
            <w:r w:rsidRPr="00816DE1">
              <w:rPr>
                <w:rFonts w:ascii="Arial" w:hAnsi="Arial" w:cs="Arial"/>
                <w:sz w:val="20"/>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and secondary dwelling on the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rHeight w:val="120"/>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r w:rsidRPr="00816DE1">
                    <w:rPr>
                      <w:rFonts w:ascii="Arial"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E21.1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siting and design of dwellings ensures that the secondary dwelling is:</w:t>
            </w:r>
          </w:p>
          <w:p w:rsidR="00816DE1" w:rsidRPr="00816DE1" w:rsidRDefault="00816DE1" w:rsidP="0069586D">
            <w:pPr>
              <w:pStyle w:val="NormalWeb"/>
              <w:numPr>
                <w:ilvl w:val="0"/>
                <w:numId w:val="34"/>
              </w:numPr>
              <w:rPr>
                <w:rFonts w:ascii="Arial" w:hAnsi="Arial" w:cs="Arial"/>
                <w:sz w:val="20"/>
                <w:szCs w:val="20"/>
              </w:rPr>
            </w:pPr>
            <w:r w:rsidRPr="00816DE1">
              <w:rPr>
                <w:rFonts w:ascii="Arial" w:hAnsi="Arial" w:cs="Arial"/>
                <w:sz w:val="20"/>
                <w:szCs w:val="20"/>
              </w:rPr>
              <w:t>not located in front of the primary dwelling;</w:t>
            </w:r>
          </w:p>
          <w:p w:rsidR="00816DE1" w:rsidRPr="00816DE1" w:rsidRDefault="00816DE1" w:rsidP="0069586D">
            <w:pPr>
              <w:pStyle w:val="NormalWeb"/>
              <w:numPr>
                <w:ilvl w:val="0"/>
                <w:numId w:val="34"/>
              </w:numPr>
              <w:rPr>
                <w:rFonts w:ascii="Arial" w:hAnsi="Arial" w:cs="Arial"/>
                <w:sz w:val="20"/>
                <w:szCs w:val="20"/>
              </w:rPr>
            </w:pPr>
            <w:r w:rsidRPr="00816DE1">
              <w:rPr>
                <w:rFonts w:ascii="Arial" w:hAnsi="Arial" w:cs="Arial"/>
                <w:sz w:val="20"/>
                <w:szCs w:val="20"/>
              </w:rPr>
              <w:t>annexed to (adjoining, below or above) or located within 10.0m of the primary dwelling (excluding domestic outbuildings).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lastRenderedPageBreak/>
                    <w:t> 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E21.2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more than 1 secondary dwelling is located on an allotment.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595"/>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E21.3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GFA of the secondary dwelling does not exceed:</w:t>
            </w:r>
          </w:p>
          <w:p w:rsidR="00816DE1" w:rsidRPr="00816DE1" w:rsidRDefault="00816DE1" w:rsidP="0069586D">
            <w:pPr>
              <w:pStyle w:val="NormalWeb"/>
              <w:numPr>
                <w:ilvl w:val="0"/>
                <w:numId w:val="35"/>
              </w:numPr>
              <w:rPr>
                <w:rFonts w:ascii="Arial" w:hAnsi="Arial" w:cs="Arial"/>
                <w:sz w:val="20"/>
                <w:szCs w:val="20"/>
              </w:rPr>
            </w:pPr>
            <w:r w:rsidRPr="00816DE1">
              <w:rPr>
                <w:rFonts w:ascii="Arial" w:hAnsi="Arial" w:cs="Arial"/>
                <w:sz w:val="20"/>
                <w:szCs w:val="20"/>
              </w:rPr>
              <w:t>45m</w:t>
            </w:r>
            <w:r w:rsidRPr="00816DE1">
              <w:rPr>
                <w:rFonts w:ascii="Arial" w:hAnsi="Arial" w:cs="Arial"/>
                <w:sz w:val="20"/>
                <w:szCs w:val="20"/>
                <w:vertAlign w:val="superscript"/>
              </w:rPr>
              <w:t>2</w:t>
            </w:r>
            <w:r w:rsidRPr="00816DE1">
              <w:rPr>
                <w:rFonts w:ascii="Arial" w:hAnsi="Arial" w:cs="Arial"/>
                <w:sz w:val="20"/>
                <w:szCs w:val="20"/>
              </w:rPr>
              <w:t xml:space="preserve"> GFA for a lot with a primary frontage less than 15m; or</w:t>
            </w:r>
          </w:p>
          <w:p w:rsidR="00816DE1" w:rsidRPr="00816DE1" w:rsidRDefault="00816DE1" w:rsidP="0069586D">
            <w:pPr>
              <w:pStyle w:val="NormalWeb"/>
              <w:numPr>
                <w:ilvl w:val="0"/>
                <w:numId w:val="35"/>
              </w:numPr>
              <w:rPr>
                <w:rFonts w:ascii="Arial" w:hAnsi="Arial" w:cs="Arial"/>
                <w:sz w:val="20"/>
                <w:szCs w:val="20"/>
              </w:rPr>
            </w:pPr>
            <w:r w:rsidRPr="00816DE1">
              <w:rPr>
                <w:rFonts w:ascii="Arial" w:hAnsi="Arial" w:cs="Arial"/>
                <w:sz w:val="20"/>
                <w:szCs w:val="20"/>
              </w:rPr>
              <w:t>55m</w:t>
            </w:r>
            <w:r w:rsidRPr="00816DE1">
              <w:rPr>
                <w:rFonts w:ascii="Arial" w:hAnsi="Arial" w:cs="Arial"/>
                <w:sz w:val="20"/>
                <w:szCs w:val="20"/>
                <w:vertAlign w:val="superscript"/>
              </w:rPr>
              <w:t>2</w:t>
            </w:r>
            <w:r w:rsidRPr="00816DE1">
              <w:rPr>
                <w:rFonts w:ascii="Arial" w:hAnsi="Arial" w:cs="Arial"/>
                <w:sz w:val="20"/>
                <w:szCs w:val="20"/>
              </w:rPr>
              <w:t xml:space="preserve"> GFA for a lot with a primary frontage of 15m or more.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10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E21.4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Residential design for details and examples.</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Domestic outbuildings </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3D5BCB">
        <w:trPr>
          <w:trHeight w:val="3482"/>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Domestic outbuildings and car ports:</w:t>
            </w:r>
          </w:p>
          <w:p w:rsidR="00816DE1" w:rsidRPr="00816DE1" w:rsidRDefault="00816DE1" w:rsidP="0069586D">
            <w:pPr>
              <w:pStyle w:val="NormalWeb"/>
              <w:numPr>
                <w:ilvl w:val="0"/>
                <w:numId w:val="36"/>
              </w:numPr>
              <w:rPr>
                <w:rFonts w:ascii="Arial" w:hAnsi="Arial" w:cs="Arial"/>
                <w:sz w:val="20"/>
                <w:szCs w:val="20"/>
              </w:rPr>
            </w:pPr>
            <w:r w:rsidRPr="00816DE1">
              <w:rPr>
                <w:rFonts w:ascii="Arial" w:hAnsi="Arial" w:cs="Arial"/>
                <w:sz w:val="20"/>
                <w:szCs w:val="20"/>
              </w:rPr>
              <w:t>are of a height that does not negatively impact the visual amenity of adjoining properties;</w:t>
            </w:r>
          </w:p>
          <w:p w:rsidR="00816DE1" w:rsidRPr="00816DE1" w:rsidRDefault="00816DE1" w:rsidP="0069586D">
            <w:pPr>
              <w:pStyle w:val="NormalWeb"/>
              <w:numPr>
                <w:ilvl w:val="0"/>
                <w:numId w:val="36"/>
              </w:numPr>
              <w:rPr>
                <w:rFonts w:ascii="Arial" w:hAnsi="Arial" w:cs="Arial"/>
                <w:sz w:val="20"/>
                <w:szCs w:val="20"/>
              </w:rPr>
            </w:pPr>
            <w:r w:rsidRPr="00816DE1">
              <w:rPr>
                <w:rFonts w:ascii="Arial" w:hAnsi="Arial" w:cs="Arial"/>
                <w:sz w:val="20"/>
                <w:szCs w:val="20"/>
              </w:rPr>
              <w:t>where visible from the street or public place are of a scale, location and built form that is consistent with the existing streetscape and character of the precinct and avoids dominating or otherwise negatively impacting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Domestic outbuildings:</w:t>
            </w:r>
          </w:p>
          <w:p w:rsidR="00816DE1" w:rsidRPr="00816DE1" w:rsidRDefault="00816DE1" w:rsidP="0069586D">
            <w:pPr>
              <w:pStyle w:val="NormalWeb"/>
              <w:numPr>
                <w:ilvl w:val="0"/>
                <w:numId w:val="37"/>
              </w:numPr>
              <w:rPr>
                <w:rFonts w:ascii="Arial" w:hAnsi="Arial" w:cs="Arial"/>
                <w:sz w:val="20"/>
                <w:szCs w:val="20"/>
              </w:rPr>
            </w:pPr>
            <w:r w:rsidRPr="00816DE1">
              <w:rPr>
                <w:rFonts w:ascii="Arial" w:hAnsi="Arial" w:cs="Arial"/>
                <w:sz w:val="20"/>
                <w:szCs w:val="20"/>
              </w:rPr>
              <w:t>have a total combined maximum roofed area as outlined in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03"/>
              <w:gridCol w:w="2599"/>
            </w:tblGrid>
            <w:tr w:rsidR="00816DE1" w:rsidRPr="00816DE1" w:rsidTr="00816DE1">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Size of lot</w:t>
                  </w:r>
                </w:p>
              </w:tc>
              <w:tc>
                <w:tcPr>
                  <w:tcW w:w="2550"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Maximum roofed area</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Less than 600m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50m</w:t>
                  </w:r>
                  <w:r w:rsidRPr="00816DE1">
                    <w:rPr>
                      <w:rFonts w:ascii="Arial" w:hAnsi="Arial" w:cs="Arial"/>
                      <w:sz w:val="20"/>
                      <w:szCs w:val="20"/>
                      <w:vertAlign w:val="superscript"/>
                    </w:rPr>
                    <w:t>2</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600m</w:t>
                  </w:r>
                  <w:r w:rsidRPr="00816DE1">
                    <w:rPr>
                      <w:rFonts w:ascii="Arial" w:hAnsi="Arial" w:cs="Arial"/>
                      <w:sz w:val="20"/>
                      <w:szCs w:val="20"/>
                      <w:vertAlign w:val="superscript"/>
                    </w:rPr>
                    <w:t xml:space="preserve">2 </w:t>
                  </w:r>
                  <w:r w:rsidRPr="00816DE1">
                    <w:rPr>
                      <w:rFonts w:ascii="Arial" w:hAnsi="Arial" w:cs="Arial"/>
                      <w:sz w:val="20"/>
                      <w:szCs w:val="20"/>
                    </w:rPr>
                    <w:t>- 1000m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70m</w:t>
                  </w:r>
                  <w:r w:rsidRPr="00816DE1">
                    <w:rPr>
                      <w:rFonts w:ascii="Arial" w:hAnsi="Arial" w:cs="Arial"/>
                      <w:sz w:val="20"/>
                      <w:szCs w:val="20"/>
                      <w:vertAlign w:val="superscript"/>
                    </w:rPr>
                    <w:t>2</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&gt;1000m</w:t>
                  </w:r>
                  <w:r w:rsidRPr="00816DE1">
                    <w:rPr>
                      <w:rFonts w:ascii="Arial" w:hAnsi="Arial" w:cs="Arial"/>
                      <w:sz w:val="20"/>
                      <w:szCs w:val="20"/>
                      <w:vertAlign w:val="superscript"/>
                    </w:rPr>
                    <w:t>2</w:t>
                  </w:r>
                  <w:r w:rsidRPr="00816DE1">
                    <w:rPr>
                      <w:rFonts w:ascii="Arial" w:hAnsi="Arial" w:cs="Arial"/>
                      <w:sz w:val="20"/>
                      <w:szCs w:val="20"/>
                    </w:rPr>
                    <w:t xml:space="preserve"> – 2000m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80m</w:t>
                  </w:r>
                  <w:r w:rsidRPr="00816DE1">
                    <w:rPr>
                      <w:rFonts w:ascii="Arial" w:hAnsi="Arial" w:cs="Arial"/>
                      <w:sz w:val="20"/>
                      <w:szCs w:val="20"/>
                      <w:vertAlign w:val="superscript"/>
                    </w:rPr>
                    <w:t>2</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Greater than 2000m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150m</w:t>
                  </w:r>
                  <w:r w:rsidRPr="00816DE1">
                    <w:rPr>
                      <w:rFonts w:ascii="Arial" w:hAnsi="Arial" w:cs="Arial"/>
                      <w:sz w:val="20"/>
                      <w:szCs w:val="20"/>
                      <w:vertAlign w:val="superscript"/>
                    </w:rPr>
                    <w:t>2</w:t>
                  </w:r>
                </w:p>
              </w:tc>
            </w:tr>
          </w:tbl>
          <w:p w:rsidR="00816DE1" w:rsidRPr="00816DE1" w:rsidRDefault="00816DE1" w:rsidP="0069586D">
            <w:pPr>
              <w:pStyle w:val="NormalWeb"/>
              <w:numPr>
                <w:ilvl w:val="0"/>
                <w:numId w:val="38"/>
              </w:numPr>
              <w:rPr>
                <w:rFonts w:ascii="Arial" w:hAnsi="Arial" w:cs="Arial"/>
                <w:sz w:val="20"/>
                <w:szCs w:val="20"/>
              </w:rPr>
            </w:pPr>
            <w:r w:rsidRPr="00816DE1">
              <w:rPr>
                <w:rFonts w:ascii="Arial" w:hAnsi="Arial" w:cs="Arial"/>
                <w:sz w:val="20"/>
                <w:szCs w:val="20"/>
              </w:rPr>
              <w:t>have a maximum and mean building height as follows:</w:t>
            </w:r>
          </w:p>
          <w:p w:rsidR="00816DE1" w:rsidRPr="00816DE1" w:rsidRDefault="00816DE1" w:rsidP="0069586D">
            <w:pPr>
              <w:numPr>
                <w:ilvl w:val="1"/>
                <w:numId w:val="38"/>
              </w:numPr>
              <w:spacing w:before="100" w:beforeAutospacing="1" w:after="100" w:afterAutospacing="1"/>
              <w:rPr>
                <w:rFonts w:ascii="Arial" w:hAnsi="Arial" w:cs="Arial"/>
                <w:sz w:val="20"/>
                <w:szCs w:val="20"/>
              </w:rPr>
            </w:pPr>
            <w:r w:rsidRPr="00816DE1">
              <w:rPr>
                <w:rFonts w:ascii="Arial" w:hAnsi="Arial" w:cs="Arial"/>
                <w:sz w:val="20"/>
                <w:szCs w:val="20"/>
              </w:rPr>
              <w:t xml:space="preserve">where in front of the main building line for a carport - have a maximum building height </w:t>
            </w:r>
            <w:r w:rsidRPr="00816DE1">
              <w:rPr>
                <w:rFonts w:ascii="Arial" w:hAnsi="Arial" w:cs="Arial"/>
                <w:sz w:val="20"/>
                <w:szCs w:val="20"/>
              </w:rPr>
              <w:lastRenderedPageBreak/>
              <w:t>of 3.3m and a mean height not exceeding 2.7m; or</w:t>
            </w:r>
          </w:p>
          <w:p w:rsidR="00816DE1" w:rsidRPr="00816DE1" w:rsidRDefault="00816DE1" w:rsidP="0069586D">
            <w:pPr>
              <w:numPr>
                <w:ilvl w:val="1"/>
                <w:numId w:val="38"/>
              </w:numPr>
              <w:spacing w:before="100" w:beforeAutospacing="1" w:after="100" w:afterAutospacing="1"/>
              <w:rPr>
                <w:rFonts w:ascii="Arial" w:hAnsi="Arial" w:cs="Arial"/>
                <w:sz w:val="20"/>
                <w:szCs w:val="20"/>
              </w:rPr>
            </w:pPr>
            <w:r w:rsidRPr="00816DE1">
              <w:rPr>
                <w:rFonts w:ascii="Arial" w:hAnsi="Arial" w:cs="Arial"/>
                <w:sz w:val="20"/>
                <w:szCs w:val="20"/>
              </w:rPr>
              <w:t>for all other instances - have a maximum building height of 4m and a mean height not exceeding 3.5m;</w:t>
            </w:r>
          </w:p>
          <w:p w:rsidR="00816DE1" w:rsidRPr="00816DE1" w:rsidRDefault="00816DE1" w:rsidP="0069586D">
            <w:pPr>
              <w:pStyle w:val="NormalWeb"/>
              <w:numPr>
                <w:ilvl w:val="0"/>
                <w:numId w:val="38"/>
              </w:numPr>
              <w:rPr>
                <w:rFonts w:ascii="Arial" w:hAnsi="Arial" w:cs="Arial"/>
                <w:sz w:val="20"/>
                <w:szCs w:val="20"/>
              </w:rPr>
            </w:pPr>
            <w:r w:rsidRPr="00816DE1">
              <w:rPr>
                <w:rFonts w:ascii="Arial" w:hAnsi="Arial" w:cs="Arial"/>
                <w:sz w:val="20"/>
                <w:szCs w:val="20"/>
              </w:rPr>
              <w:t>are located behind the main building line and not within the primary frontage, secondary frontage or trafficable water body setbacks except where for a carport and complying with the front setback for carports specified in this code.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c. above to determine the main building line a trafficable water body boundary is to be treated the same as a secondary frontage.</w:t>
                  </w: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is an alternative provision to the QDC, part MP1.1, A4 and part MP1.2, A4. Non-compliance with this provision for a Dwelling house requires a concurrence agency response from Council.</w:t>
                  </w:r>
                </w:p>
                <w:p w:rsidR="00816DE1" w:rsidRPr="00C64A89" w:rsidRDefault="00816DE1" w:rsidP="00E257BD">
                  <w:pPr>
                    <w:pStyle w:val="NormalWeb"/>
                    <w:rPr>
                      <w:rFonts w:ascii="Arial" w:hAnsi="Arial" w:cs="Arial"/>
                      <w:sz w:val="18"/>
                      <w:szCs w:val="20"/>
                    </w:rPr>
                  </w:pPr>
                  <w:r w:rsidRPr="00C64A89">
                    <w:rPr>
                      <w:rFonts w:ascii="Arial" w:hAnsi="Arial" w:cs="Arial"/>
                      <w:sz w:val="18"/>
                      <w:szCs w:val="20"/>
                    </w:rPr>
                    <w:t xml:space="preserve">Note - This is a quantifiable standard that is an alternative provision to the QDC, part MP1.1, A1 (a), (b) and (c), A2 (a), (b) and (d) and part MP1.2, A1 (a), (b) and (c), A2 (a), (b) and (d). Non-compliance with this provision for a Dwelling </w:t>
                  </w:r>
                  <w:proofErr w:type="spellStart"/>
                  <w:r w:rsidRPr="00C64A89">
                    <w:rPr>
                      <w:rFonts w:ascii="Arial" w:hAnsi="Arial" w:cs="Arial"/>
                      <w:sz w:val="18"/>
                      <w:szCs w:val="20"/>
                    </w:rPr>
                    <w:t>houserequires</w:t>
                  </w:r>
                  <w:proofErr w:type="spellEnd"/>
                  <w:r w:rsidRPr="00C64A89">
                    <w:rPr>
                      <w:rFonts w:ascii="Arial" w:hAnsi="Arial" w:cs="Arial"/>
                      <w:sz w:val="18"/>
                      <w:szCs w:val="20"/>
                    </w:rPr>
                    <w:t xml:space="preserve"> a concurrence agency response from Council. Note - Greater setbacks may be required if the lot adjoins an environmental corridor or area (Refer to values and constraints for details).</w:t>
                  </w:r>
                </w:p>
                <w:p w:rsidR="00816DE1" w:rsidRPr="00C64A89" w:rsidRDefault="00816DE1" w:rsidP="003D5BCB">
                  <w:pPr>
                    <w:rPr>
                      <w:rFonts w:ascii="Arial" w:hAnsi="Arial" w:cs="Arial"/>
                      <w:sz w:val="18"/>
                      <w:szCs w:val="20"/>
                    </w:rPr>
                  </w:pPr>
                  <w:r w:rsidRPr="00C64A89">
                    <w:rPr>
                      <w:rFonts w:ascii="Arial" w:hAnsi="Arial" w:cs="Arial"/>
                      <w:sz w:val="18"/>
                      <w:szCs w:val="20"/>
                    </w:rPr>
                    <w:t>Editor's note - The calculation for mean height is defined in the QDC.</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jc w:val="center"/>
              <w:rPr>
                <w:rFonts w:ascii="Arial" w:hAnsi="Arial" w:cs="Arial"/>
                <w:sz w:val="20"/>
                <w:szCs w:val="20"/>
              </w:rPr>
            </w:pPr>
            <w:r w:rsidRPr="00816DE1">
              <w:rPr>
                <w:rStyle w:val="Strong"/>
                <w:rFonts w:ascii="Arial" w:hAnsi="Arial" w:cs="Arial"/>
                <w:sz w:val="20"/>
                <w:szCs w:val="20"/>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jc w:val="center"/>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257BD" w:rsidRPr="00816DE1" w:rsidRDefault="00E257BD" w:rsidP="00E257BD">
            <w:pPr>
              <w:pStyle w:val="NormalWeb"/>
              <w:jc w:val="center"/>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lastRenderedPageBreak/>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PO23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avoids disturbing acid sulfate soils. Where development disturbs acid sulfate soils, development:</w:t>
            </w:r>
          </w:p>
          <w:p w:rsidR="00816DE1" w:rsidRPr="00816DE1" w:rsidRDefault="00816DE1" w:rsidP="0069586D">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managed to avoid or minimise the release of surface or groundwater flows containing acid and metal contaminants into the environment;</w:t>
            </w:r>
          </w:p>
          <w:p w:rsidR="00816DE1" w:rsidRPr="00816DE1" w:rsidRDefault="00816DE1" w:rsidP="0069586D">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protects the environmental and ecological values and health of receiving waters;</w:t>
            </w:r>
          </w:p>
          <w:p w:rsidR="00816DE1" w:rsidRPr="00816DE1" w:rsidRDefault="00816DE1" w:rsidP="0069586D">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protects buildings and infrastructure from the effects of acid sulfate soils.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involve:</w:t>
            </w:r>
          </w:p>
          <w:p w:rsidR="00816DE1" w:rsidRPr="00816DE1" w:rsidRDefault="00816DE1" w:rsidP="0069586D">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excavation or otherwise removing of more than 100m</w:t>
            </w:r>
            <w:r w:rsidRPr="00816DE1">
              <w:rPr>
                <w:rFonts w:ascii="Arial" w:eastAsia="Times New Roman" w:hAnsi="Arial" w:cs="Arial"/>
                <w:sz w:val="20"/>
                <w:szCs w:val="20"/>
                <w:vertAlign w:val="superscript"/>
              </w:rPr>
              <w:t>3</w:t>
            </w:r>
            <w:r w:rsidRPr="00816DE1">
              <w:rPr>
                <w:rFonts w:ascii="Arial" w:eastAsia="Times New Roman" w:hAnsi="Arial" w:cs="Arial"/>
                <w:sz w:val="20"/>
                <w:szCs w:val="20"/>
              </w:rPr>
              <w:t xml:space="preserve"> of soil or sediment where below than 5m Australian Height datum AHD; or</w:t>
            </w:r>
          </w:p>
          <w:p w:rsidR="00816DE1" w:rsidRPr="00816DE1" w:rsidRDefault="00816DE1" w:rsidP="0069586D">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filling of land of more than 500m</w:t>
            </w:r>
            <w:r w:rsidRPr="00816DE1">
              <w:rPr>
                <w:rFonts w:ascii="Arial" w:eastAsia="Times New Roman" w:hAnsi="Arial" w:cs="Arial"/>
                <w:sz w:val="20"/>
                <w:szCs w:val="20"/>
                <w:vertAlign w:val="superscript"/>
              </w:rPr>
              <w:t>3</w:t>
            </w:r>
            <w:r w:rsidRPr="00816DE1">
              <w:rPr>
                <w:rFonts w:ascii="Arial" w:eastAsia="Times New Roman" w:hAnsi="Arial" w:cs="Arial"/>
                <w:sz w:val="20"/>
                <w:szCs w:val="20"/>
              </w:rPr>
              <w:t xml:space="preserve"> of material with an average depth of 0.5m or greater where below the 5m Australian Height datum AHD.</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The following are excluded from the native vegetation clearing provisions of this planning scheme:</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located within an approved development footprint;</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reasonably necessary to remove or reduce the risk vegetation poses to serious personal injury or damage to infrastructure;</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reasonably necessary for the purpose of maintenance or works within a registered easement for public infrastructure or drainage purposes;</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in accordance with a bushfire management plan prepared by a suitably qualified person, submitted to and accepted by Council;</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associated with removal of recognised weed species, maintaining existing open pastures and cropping land, windbreaks, lawns or created gardens;</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Grazing of native pasture by stock;</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Native forest practice where accepted development under Part 1, 1.7.7 Accepted development</w:t>
                  </w:r>
                </w:p>
              </w:tc>
            </w:tr>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 xml:space="preserve">Note - Definition for native vegetation </w:t>
                  </w:r>
                  <w:proofErr w:type="gramStart"/>
                  <w:r w:rsidRPr="00816DE1">
                    <w:rPr>
                      <w:rFonts w:ascii="Arial" w:hAnsi="Arial" w:cs="Arial"/>
                      <w:sz w:val="20"/>
                      <w:szCs w:val="20"/>
                    </w:rPr>
                    <w:t>is located in</w:t>
                  </w:r>
                  <w:proofErr w:type="gramEnd"/>
                  <w:r w:rsidRPr="00816DE1">
                    <w:rPr>
                      <w:rFonts w:ascii="Arial" w:hAnsi="Arial" w:cs="Arial"/>
                      <w:sz w:val="20"/>
                      <w:szCs w:val="20"/>
                    </w:rPr>
                    <w:t xml:space="preserve"> Schedule 1 Definitions.</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lastRenderedPageBreak/>
                    <w:t xml:space="preserve">Note - Native vegetation subject to </w:t>
                  </w:r>
                  <w:proofErr w:type="gramStart"/>
                  <w:r w:rsidRPr="00816DE1">
                    <w:rPr>
                      <w:rFonts w:ascii="Arial" w:hAnsi="Arial" w:cs="Arial"/>
                      <w:sz w:val="20"/>
                      <w:szCs w:val="20"/>
                    </w:rPr>
                    <w:t>this criteria</w:t>
                  </w:r>
                  <w:proofErr w:type="gramEnd"/>
                  <w:r w:rsidRPr="00816DE1">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E257BD" w:rsidRPr="00816DE1" w:rsidRDefault="00E257BD" w:rsidP="00E257BD">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816DE1">
                    <w:rPr>
                      <w:rFonts w:ascii="Arial" w:hAnsi="Arial" w:cs="Arial"/>
                      <w:sz w:val="20"/>
                      <w:szCs w:val="20"/>
                    </w:rPr>
                    <w:t>above mentioned</w:t>
                  </w:r>
                  <w:proofErr w:type="gramEnd"/>
                  <w:r w:rsidRPr="00816DE1">
                    <w:rPr>
                      <w:rFonts w:ascii="Arial" w:hAnsi="Arial" w:cs="Arial"/>
                      <w:sz w:val="20"/>
                      <w:szCs w:val="20"/>
                    </w:rPr>
                    <w:t xml:space="preserve"> reports is provided in Planning scheme policy - Environmental areas.</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Vegetation clearing, ecological value and connectivity</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rsidR="00816DE1" w:rsidRPr="00816DE1" w:rsidRDefault="00816DE1" w:rsidP="0069586D">
            <w:pPr>
              <w:numPr>
                <w:ilvl w:val="0"/>
                <w:numId w:val="4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the quality and integrity of the biodiversity and ecological values inherent to a High Value Area and a Value Offset Area is maintained and not lost or degraded;</w:t>
            </w:r>
          </w:p>
          <w:p w:rsidR="00816DE1" w:rsidRPr="00816DE1" w:rsidRDefault="00816DE1" w:rsidP="0069586D">
            <w:pPr>
              <w:numPr>
                <w:ilvl w:val="0"/>
                <w:numId w:val="4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816DE1">
              <w:rPr>
                <w:rFonts w:ascii="Arial" w:eastAsia="Times New Roman" w:hAnsi="Arial" w:cs="Arial"/>
                <w:sz w:val="20"/>
                <w:szCs w:val="20"/>
              </w:rPr>
              <w:t>covenant,  the</w:t>
            </w:r>
            <w:proofErr w:type="gramEnd"/>
            <w:r w:rsidRPr="00816DE1">
              <w:rPr>
                <w:rFonts w:ascii="Arial" w:eastAsia="Times New Roman" w:hAnsi="Arial" w:cs="Arial"/>
                <w:sz w:val="20"/>
                <w:szCs w:val="20"/>
              </w:rPr>
              <w:t xml:space="preserv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lastRenderedPageBreak/>
                    <w:t xml:space="preserve">* </w:t>
                  </w:r>
                  <w:r w:rsidRPr="00C64A89">
                    <w:rPr>
                      <w:rFonts w:ascii="Arial" w:eastAsia="Times New Roman" w:hAnsi="Arial" w:cs="Arial"/>
                      <w:sz w:val="18"/>
                      <w:szCs w:val="20"/>
                    </w:rPr>
                    <w:t>Editor's note - This is not a requirement for an environmental offset under the Environmental Offsets Act 2014.</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provides for safe, unimpeded, convenient and ongoing wildlife movement and establishes and maintains habitat connectivity by:</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retaining habitat trees;</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contiguous patches of habitat;</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 replacement and rehabilitation planting to improve connectivity;</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the creation of fragmented and isolated patches of habitat;</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 xml:space="preserve">Editor's note - Wildlife movement infrastructure may include refuge poles, tree </w:t>
                  </w:r>
                  <w:proofErr w:type="spellStart"/>
                  <w:r w:rsidRPr="00C64A89">
                    <w:rPr>
                      <w:rFonts w:ascii="Arial" w:hAnsi="Arial" w:cs="Arial"/>
                      <w:sz w:val="18"/>
                      <w:szCs w:val="20"/>
                    </w:rPr>
                    <w:t>boulevarding</w:t>
                  </w:r>
                  <w:proofErr w:type="spellEnd"/>
                  <w:r w:rsidRPr="00C64A89">
                    <w:rPr>
                      <w:rFonts w:ascii="Arial" w:hAnsi="Arial" w:cs="Arial"/>
                      <w:sz w:val="18"/>
                      <w:szCs w:val="20"/>
                    </w:rPr>
                    <w:t>, ‘stepping stone’ vegetation plantings, tunnels, appropriate wildlife fencing; culverts with ledges, underpasses, overpasses, land bridges and rope bridges. Further information is provided in Planning scheme policy – Environmental areas.</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habitat protection</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the biodiversity quality and integrity of habitats is not adversely impacted upon but maintained and protected.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does not result in the net loss or degradation of habitat value in a High Value Area or a Value Offset Area.  Where </w:t>
            </w:r>
            <w:r w:rsidRPr="00816DE1">
              <w:rPr>
                <w:rFonts w:ascii="Arial" w:hAnsi="Arial" w:cs="Arial"/>
                <w:sz w:val="20"/>
                <w:szCs w:val="20"/>
              </w:rPr>
              <w:lastRenderedPageBreak/>
              <w:t>development does result in the loss or degradation of habitat value, development will:</w:t>
            </w:r>
          </w:p>
          <w:p w:rsidR="00816DE1" w:rsidRPr="00816DE1" w:rsidRDefault="00816DE1" w:rsidP="0069586D">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rehabilitate, revegetate, restore and enhance an area to ensure it continues to function as a viable and healthy habitat area;</w:t>
            </w:r>
          </w:p>
          <w:p w:rsidR="00816DE1" w:rsidRPr="00816DE1" w:rsidRDefault="00816DE1" w:rsidP="0069586D">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 replacement fauna nesting boxes in the event of habitat tree loss in accordance with Planning scheme policy - Environmental areas;</w:t>
            </w:r>
          </w:p>
          <w:p w:rsidR="00816DE1" w:rsidRPr="00816DE1" w:rsidRDefault="00816DE1" w:rsidP="0069586D">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undertake rehabilitation, revegetation and restoration in accordance with the South East Queensland Ecological Restoration Framework.</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safe, unimpeded, convenient and ongoing wildlife movement and habitat connectivity by:</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contiguous patches of habitat;</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the creation of fragmented and isolated patches of habitat;</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wildlife movement infrastructure;</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replacement and rehabilitation planting to improve connectivity.</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C64A89">
        <w:trPr>
          <w:trHeight w:val="336"/>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soil resource stability</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w:t>
            </w:r>
          </w:p>
          <w:p w:rsidR="00816DE1" w:rsidRPr="00816DE1" w:rsidRDefault="00816DE1" w:rsidP="0069586D">
            <w:pPr>
              <w:numPr>
                <w:ilvl w:val="0"/>
                <w:numId w:val="4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result in soil erosion or land degradation;</w:t>
            </w:r>
          </w:p>
          <w:p w:rsidR="00816DE1" w:rsidRPr="00816DE1" w:rsidRDefault="00816DE1" w:rsidP="0069586D">
            <w:pPr>
              <w:numPr>
                <w:ilvl w:val="0"/>
                <w:numId w:val="4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 xml:space="preserve">leave cleared land exposed for an unreasonable </w:t>
            </w:r>
            <w:proofErr w:type="gramStart"/>
            <w:r w:rsidRPr="00816DE1">
              <w:rPr>
                <w:rFonts w:ascii="Arial" w:eastAsia="Times New Roman" w:hAnsi="Arial" w:cs="Arial"/>
                <w:sz w:val="20"/>
                <w:szCs w:val="20"/>
              </w:rPr>
              <w:t>period of time</w:t>
            </w:r>
            <w:proofErr w:type="gramEnd"/>
            <w:r w:rsidRPr="00816DE1">
              <w:rPr>
                <w:rFonts w:ascii="Arial" w:eastAsia="Times New Roman" w:hAnsi="Arial" w:cs="Arial"/>
                <w:sz w:val="20"/>
                <w:szCs w:val="20"/>
              </w:rPr>
              <w:t xml:space="preserve"> but is rehabilitated in a timely manner.</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water quality</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maintains or improves the quality of groundwater and surface water within, and downstream, of a site by:</w:t>
            </w:r>
          </w:p>
          <w:p w:rsidR="00816DE1" w:rsidRPr="00816DE1" w:rsidRDefault="00816DE1" w:rsidP="0069586D">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ensuring an effective vegetated buffers and setbacks from waterbodies is retained to achieve natural filtration and reduce sediment loads;</w:t>
            </w:r>
          </w:p>
          <w:p w:rsidR="00816DE1" w:rsidRPr="00816DE1" w:rsidRDefault="00816DE1" w:rsidP="0069586D">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or minimising changes to landforms to maintain hydrological water flows;</w:t>
            </w:r>
          </w:p>
          <w:p w:rsidR="00816DE1" w:rsidRPr="00816DE1" w:rsidRDefault="00816DE1" w:rsidP="0069586D">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adopting suitable measures to exclude livestock from entering a waterbody where a site is being used for animal husbandry</w:t>
            </w:r>
            <w:r w:rsidRPr="00816DE1">
              <w:rPr>
                <w:rFonts w:ascii="Arial" w:eastAsia="Times New Roman" w:hAnsi="Arial" w:cs="Arial"/>
                <w:sz w:val="20"/>
                <w:szCs w:val="20"/>
                <w:vertAlign w:val="superscript"/>
              </w:rPr>
              <w:t>(</w:t>
            </w:r>
            <w:hyperlink r:id="rId46"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816DE1">
                <w:rPr>
                  <w:rStyle w:val="Hyperlink"/>
                  <w:rFonts w:ascii="Arial" w:eastAsia="Times New Roman" w:hAnsi="Arial" w:cs="Arial"/>
                  <w:sz w:val="20"/>
                  <w:szCs w:val="20"/>
                  <w:vertAlign w:val="superscript"/>
                </w:rPr>
                <w:t>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xml:space="preserve"> and animal keeping</w:t>
            </w:r>
            <w:r w:rsidRPr="00816DE1">
              <w:rPr>
                <w:rFonts w:ascii="Arial" w:eastAsia="Times New Roman" w:hAnsi="Arial" w:cs="Arial"/>
                <w:sz w:val="20"/>
                <w:szCs w:val="20"/>
                <w:vertAlign w:val="superscript"/>
              </w:rPr>
              <w:t>(</w:t>
            </w:r>
            <w:hyperlink r:id="rId47" w:anchor="target-d768251e570545" w:tooltip="Animal keeping - Premises used for boarding, breeding or training of animals.  The use may include ancillary temporary or permanent holding facilities on the same site and ancillary repair and servicing of machinery." w:history="1">
              <w:r w:rsidRPr="00816DE1">
                <w:rPr>
                  <w:rStyle w:val="Hyperlink"/>
                  <w:rFonts w:ascii="Arial" w:eastAsia="Times New Roman" w:hAnsi="Arial" w:cs="Arial"/>
                  <w:sz w:val="20"/>
                  <w:szCs w:val="20"/>
                  <w:vertAlign w:val="superscript"/>
                </w:rPr>
                <w:t>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xml:space="preserve"> activities.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minimises adverse impacts of stormwater run-off on water quality by:</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flow velocity to reduce erosion;</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hard surface areas;</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maximising the use of permeable surfaces;</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incorporating sediment retention devices;</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channelled flow.</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Vegetation clearing and access, edge effects and urban heat island effects</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minimises potential adverse ‘edge effects’ on ecological values by:</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dense planting buffers of native vegetation between a development and environmental areas;</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retaining patches of native vegetation of greatest possible size where located between a development and environmental </w:t>
            </w:r>
            <w:proofErr w:type="gramStart"/>
            <w:r w:rsidRPr="00816DE1">
              <w:rPr>
                <w:rFonts w:ascii="Arial" w:eastAsia="Times New Roman" w:hAnsi="Arial" w:cs="Arial"/>
                <w:sz w:val="20"/>
                <w:szCs w:val="20"/>
              </w:rPr>
              <w:t>areas ;</w:t>
            </w:r>
            <w:proofErr w:type="gramEnd"/>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restoring, rehabilitating and increasing the size of existing patches of native vegetation;</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ensuring that buildings and access (public and vehicle) are setback as far as possible from environmental areas and corridors;</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shd w:val="clear" w:color="auto" w:fill="FFFFFF"/>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Development avoids adverse microclimate change and does not result in increased urban heat island effects.  Adverse urban heat island effects are minimised by:</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pervious surfaces;</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deeply planted vegetation buffers and green linkage opportunities;</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with local native plant species to achieve well-shaded urban places;</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increasing the service extent of the urban forest canopy.</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Matters of Local Environmental Significance (MLES) environmental offsets</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Editor's note - For MSES Koala Offsets, the environmental offset provisions in Schedule 11 of the Regulation, in combination with the requirements of the Environmental Offsets Act 2014, apply.</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rPr>
                      <w:rFonts w:ascii="Arial" w:eastAsia="Times New Roman" w:hAnsi="Arial" w:cs="Arial"/>
                      <w:sz w:val="20"/>
                      <w:szCs w:val="20"/>
                    </w:rPr>
                  </w:pPr>
                  <w:r w:rsidRPr="00816DE1">
                    <w:rPr>
                      <w:rFonts w:ascii="Arial" w:eastAsia="Times New Roman" w:hAnsi="Arial" w:cs="Arial"/>
                      <w:sz w:val="20"/>
                      <w:szCs w:val="20"/>
                    </w:rPr>
                    <w:t>Note - To demonstrate achievement of the performance outcomes, a noise impact assessment report is prepared by a suitably qualified person. Guidance to preparing noise impact assessment report is provided in Planning scheme policy – Noise.</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Development does not increase the number of people living in the Extractive Resources separation area.</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E36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One dwelling house</w:t>
            </w:r>
            <w:r w:rsidRPr="00816DE1">
              <w:rPr>
                <w:rFonts w:ascii="Arial" w:hAnsi="Arial" w:cs="Arial"/>
                <w:sz w:val="20"/>
                <w:szCs w:val="20"/>
                <w:vertAlign w:val="superscript"/>
              </w:rPr>
              <w:t>(</w:t>
            </w:r>
            <w:hyperlink r:id="rId4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permitted per lot within separation area.</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introduce or increase uses that are sensitive to the impacts of an Extractive industry</w:t>
            </w:r>
            <w:r w:rsidRPr="00816DE1">
              <w:rPr>
                <w:rFonts w:ascii="Arial" w:eastAsia="Times New Roman" w:hAnsi="Arial" w:cs="Arial"/>
                <w:sz w:val="20"/>
                <w:szCs w:val="20"/>
                <w:vertAlign w:val="superscript"/>
              </w:rPr>
              <w:t>(</w:t>
            </w:r>
            <w:hyperlink r:id="rId49" w:anchor="target-d768251e570999" w:tooltip="Extractive industry - Premises used for the extraction or processing of extractive resources and associated activities, including their transportation to market." w:history="1">
              <w:r w:rsidRPr="00816DE1">
                <w:rPr>
                  <w:rStyle w:val="Hyperlink"/>
                  <w:rFonts w:ascii="Arial" w:eastAsia="Times New Roman" w:hAnsi="Arial" w:cs="Arial"/>
                  <w:sz w:val="20"/>
                  <w:szCs w:val="20"/>
                  <w:vertAlign w:val="superscript"/>
                </w:rPr>
                <w:t>27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compatible with the operation of an Extractive industry</w:t>
            </w:r>
            <w:r w:rsidRPr="00816DE1">
              <w:rPr>
                <w:rFonts w:ascii="Arial" w:eastAsia="Times New Roman" w:hAnsi="Arial" w:cs="Arial"/>
                <w:sz w:val="20"/>
                <w:szCs w:val="20"/>
                <w:vertAlign w:val="superscript"/>
              </w:rPr>
              <w:t>(</w:t>
            </w:r>
            <w:hyperlink r:id="rId50" w:anchor="target-d768251e570999" w:tooltip="Extractive industry - Premises used for the extraction or processing of extractive resources and associated activities, including their transportation to market." w:history="1">
              <w:r w:rsidRPr="00816DE1">
                <w:rPr>
                  <w:rStyle w:val="Hyperlink"/>
                  <w:rFonts w:ascii="Arial" w:eastAsia="Times New Roman" w:hAnsi="Arial" w:cs="Arial"/>
                  <w:sz w:val="20"/>
                  <w:szCs w:val="20"/>
                  <w:vertAlign w:val="superscript"/>
                </w:rPr>
                <w:t>27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comprise or undermine the function and integrity of the separation area in providing a buffer between key extractive and processing activities and sensitive, incompatible uses outside the separation area.</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E37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within the separation area does not include the following activities:</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51"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52"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5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54"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55"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56"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57"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58"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59"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60"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61"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6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63"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6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6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 achieve the noise levels listed in Schedule 1 Acoustic Quality Objectives, Environmental Protection (Noise) Policy 2008 and provides a safe, healthy and disturbance free living environment.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E38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All habitable rooms within the separation area are:</w:t>
            </w:r>
          </w:p>
          <w:p w:rsidR="00816DE1" w:rsidRPr="00816DE1" w:rsidRDefault="00816DE1" w:rsidP="0069586D">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acoustically insulated to achieve the noise levels listed in Schedule 1 Acoustic Quality Objectives, Environmental Protection (Noise) Policy 2008;</w:t>
            </w:r>
          </w:p>
          <w:p w:rsidR="00816DE1" w:rsidRPr="00816DE1" w:rsidRDefault="00816DE1" w:rsidP="0069586D">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provided with mechanical ventilation.</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provides open space areas for passive recreation in a manner where impacts from key extractive/processing activities, particularly noise, is minimised.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E39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Private open space areas are separated from the resource processing area by buildings or a 1.8m high solid structure.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lastRenderedPageBreak/>
              <w:t>Extractive resources transport route (refer Overlay map - Extractive resources (transport route and buffer) to determine if the following assessment criteria apply)</w:t>
            </w:r>
          </w:p>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does not increase in the number of people living </w:t>
            </w:r>
            <w:proofErr w:type="gramStart"/>
            <w:r w:rsidRPr="00816DE1">
              <w:rPr>
                <w:rFonts w:ascii="Arial" w:eastAsia="Times New Roman" w:hAnsi="Arial" w:cs="Arial"/>
                <w:sz w:val="20"/>
                <w:szCs w:val="20"/>
              </w:rPr>
              <w:t>in close proximity to</w:t>
            </w:r>
            <w:proofErr w:type="gramEnd"/>
            <w:r w:rsidRPr="00816DE1">
              <w:rPr>
                <w:rFonts w:ascii="Arial" w:eastAsia="Times New Roman" w:hAnsi="Arial" w:cs="Arial"/>
                <w:sz w:val="20"/>
                <w:szCs w:val="20"/>
              </w:rPr>
              <w:t xml:space="preserve"> a transport route and being subject to the adverse effects from the transportation route;</w:t>
            </w:r>
          </w:p>
          <w:p w:rsidR="00816DE1" w:rsidRPr="00816DE1" w:rsidRDefault="00816DE1" w:rsidP="0069586D">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result in the establishment of uses that are incompatible with the operation of Extractive resources transport routes;</w:t>
            </w:r>
          </w:p>
          <w:p w:rsidR="00816DE1" w:rsidRPr="00816DE1" w:rsidRDefault="00816DE1" w:rsidP="0069586D">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adopts design and location measures to satisfactorily mitigate the potential adverse impacts associated with transportation routes on sensitive land uses.  Such measures include, but are not limited to:</w:t>
            </w:r>
          </w:p>
          <w:p w:rsidR="00816DE1" w:rsidRPr="00816DE1" w:rsidRDefault="00816DE1" w:rsidP="0069586D">
            <w:pPr>
              <w:numPr>
                <w:ilvl w:val="1"/>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locating the furthest distance possible from the transportation route;</w:t>
            </w:r>
          </w:p>
          <w:p w:rsidR="00816DE1" w:rsidRPr="00816DE1" w:rsidRDefault="00816DE1" w:rsidP="0069586D">
            <w:pPr>
              <w:numPr>
                <w:ilvl w:val="1"/>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habitable rooms being located the furthest from the transportation route;</w:t>
            </w:r>
          </w:p>
          <w:p w:rsidR="00816DE1" w:rsidRPr="00816DE1" w:rsidRDefault="00816DE1" w:rsidP="0069586D">
            <w:pPr>
              <w:numPr>
                <w:ilvl w:val="1"/>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shielding and screening private outdoor recreation space from the transportation routes.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following uses are not located within the 100m wide transport route buffer:</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66"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except where located in the Extractive industry zone;</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67"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6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6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70"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71"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72"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73"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74"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75"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76"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77"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78"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79"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80"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8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impact upon the efficient and effective transportation of extractive material along a transportation route;</w:t>
            </w:r>
          </w:p>
          <w:p w:rsidR="00816DE1" w:rsidRPr="00816DE1" w:rsidRDefault="00816DE1" w:rsidP="0069586D">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ensures vehicle access and egress along transportation routes are designed and located to achieve a high degree of safety, having good visibility;</w:t>
            </w:r>
          </w:p>
          <w:p w:rsidR="00816DE1" w:rsidRPr="00816DE1" w:rsidRDefault="00816DE1" w:rsidP="0069586D">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utilises existing vehicle access points and where existing vehicle access points are sub-standard or poorly formed, they are upgraded to an appropriate standard.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E41.1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create a new vehicle access point onto an Extractive resources transport route.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E41.2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 vehicle access point is located, designed and constructed in accordance with Planning scheme policy - Integrated design.</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will:</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diminish or cause irreversible damage to the cultural heritage values present on the site, and associated with a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 the fabric and setting of the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be consistent with the form, scale and style of the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utilise similar materials to those existing, or where this is not reasonable or practicable, neutral materials and finishes;</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incorporate complementary elements, detailing and ornamentation to those </w:t>
            </w:r>
            <w:r w:rsidRPr="00816DE1">
              <w:rPr>
                <w:rFonts w:ascii="Arial" w:eastAsia="Times New Roman" w:hAnsi="Arial" w:cs="Arial"/>
                <w:sz w:val="20"/>
                <w:szCs w:val="20"/>
              </w:rPr>
              <w:lastRenderedPageBreak/>
              <w:t>present on the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 public access where this is currently provided.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816DE1" w:rsidTr="00816DE1">
              <w:trPr>
                <w:tblCellSpacing w:w="15" w:type="dxa"/>
              </w:trPr>
              <w:tc>
                <w:tcPr>
                  <w:tcW w:w="6192" w:type="dxa"/>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816DE1">
                    <w:rPr>
                      <w:rFonts w:ascii="Arial" w:eastAsia="Times New Roman" w:hAnsi="Arial" w:cs="Arial"/>
                      <w:sz w:val="20"/>
                      <w:szCs w:val="20"/>
                    </w:rPr>
                    <w:t>to, and</w:t>
                  </w:r>
                  <w:proofErr w:type="gramEnd"/>
                  <w:r w:rsidRPr="00816DE1">
                    <w:rPr>
                      <w:rFonts w:ascii="Arial" w:eastAsia="Times New Roman" w:hAnsi="Arial" w:cs="Arial"/>
                      <w:sz w:val="20"/>
                      <w:szCs w:val="20"/>
                    </w:rPr>
                    <w:t xml:space="preserve"> approved by Council prior to the commencement of any preservation, maintenance, repair and restoration works.</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Demolition and removal </w:t>
            </w:r>
            <w:proofErr w:type="gramStart"/>
            <w:r w:rsidRPr="00816DE1">
              <w:rPr>
                <w:rFonts w:ascii="Arial" w:hAnsi="Arial" w:cs="Arial"/>
                <w:sz w:val="20"/>
                <w:szCs w:val="20"/>
              </w:rPr>
              <w:t>is</w:t>
            </w:r>
            <w:proofErr w:type="gramEnd"/>
            <w:r w:rsidRPr="00816DE1">
              <w:rPr>
                <w:rFonts w:ascii="Arial" w:hAnsi="Arial" w:cs="Arial"/>
                <w:sz w:val="20"/>
                <w:szCs w:val="20"/>
              </w:rPr>
              <w:t xml:space="preserve"> only considered where:</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 report prepared by a suitably qualified conservation architect or conservation engineer demonstrates that the building is structurally unsound and is not reasonably capable of economic repair; or</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demolition is confined to the removal of outbuildings, extensions and alterations that are not part of the original structure; or</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limited demolition is performed in the course of repairs, maintenance or restoration; or</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demolition is performed following a catastrophic event which substantially destroys the building or object.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does not adversely impact upon the health and vitality of significant trees. Where development occurs in proximity to a significant </w:t>
            </w:r>
            <w:r w:rsidRPr="00816DE1">
              <w:rPr>
                <w:rFonts w:ascii="Arial" w:hAnsi="Arial" w:cs="Arial"/>
                <w:sz w:val="20"/>
                <w:szCs w:val="20"/>
              </w:rPr>
              <w:lastRenderedPageBreak/>
              <w:t>tree, construction measures and techniques as detailed in AS 4970-2009 Protection of trees on development sites are adopted to ensure a significant tree's health, wellbeing and vitality.</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w:t>
            </w:r>
          </w:p>
          <w:p w:rsidR="00816DE1" w:rsidRPr="00816DE1" w:rsidRDefault="00816DE1" w:rsidP="0069586D">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not result in the removal of a significant tree;</w:t>
            </w:r>
          </w:p>
          <w:p w:rsidR="00816DE1" w:rsidRPr="00816DE1" w:rsidRDefault="00816DE1" w:rsidP="0069586D">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occur within 20m of a protected tree;</w:t>
            </w:r>
          </w:p>
          <w:p w:rsidR="00816DE1" w:rsidRPr="00816DE1" w:rsidRDefault="00816DE1" w:rsidP="0069586D">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involve pruning of a tree in accordance with Australian Standard AS 4373-2007 – Pruning of Amenity Trees.</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Infrastructure buffers (refer Overlay map - Infrastructure buffers to determine if the following assessment criteria apply)</w:t>
            </w:r>
          </w:p>
          <w:p w:rsidR="00E257BD" w:rsidRPr="00816DE1" w:rsidRDefault="00E257BD" w:rsidP="00E257BD">
            <w:pPr>
              <w:pStyle w:val="NormalWeb"/>
              <w:rPr>
                <w:rStyle w:val="Strong"/>
                <w:rFonts w:ascii="Arial" w:hAnsi="Arial" w:cs="Arial"/>
                <w:sz w:val="20"/>
                <w:szCs w:val="20"/>
              </w:rPr>
            </w:pPr>
          </w:p>
        </w:tc>
      </w:tr>
      <w:tr w:rsidR="00E257BD" w:rsidRPr="00816DE1" w:rsidTr="003D5BCB">
        <w:trPr>
          <w:trHeight w:val="5036"/>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Odour sensitive development is separated from Wastewater treatment </w:t>
            </w:r>
            <w:proofErr w:type="gramStart"/>
            <w:r w:rsidRPr="00816DE1">
              <w:rPr>
                <w:rFonts w:ascii="Arial" w:hAnsi="Arial" w:cs="Arial"/>
                <w:sz w:val="20"/>
                <w:szCs w:val="20"/>
              </w:rPr>
              <w:t>plants</w:t>
            </w:r>
            <w:proofErr w:type="gramEnd"/>
            <w:r w:rsidRPr="00816DE1">
              <w:rPr>
                <w:rFonts w:ascii="Arial" w:hAnsi="Arial" w:cs="Arial"/>
                <w:sz w:val="20"/>
                <w:szCs w:val="20"/>
              </w:rPr>
              <w:t xml:space="preserve"> so they are not adversely affected by odour emission or other air pollutant impacts.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following uses are not located within a wastewater treatment site buffer:</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82"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83"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84"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8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86"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87"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88"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89"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90"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91"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92"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93"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94"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95"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96"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97"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Development within a Bulk water supply infrastructure buffer is located, designed and constructed to:</w:t>
            </w:r>
          </w:p>
          <w:p w:rsidR="00816DE1" w:rsidRPr="00816DE1" w:rsidRDefault="00816DE1" w:rsidP="0069586D">
            <w:pPr>
              <w:numPr>
                <w:ilvl w:val="0"/>
                <w:numId w:val="6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 the integrity of the water supply pipeline;</w:t>
            </w:r>
          </w:p>
          <w:p w:rsidR="00816DE1" w:rsidRPr="00816DE1" w:rsidRDefault="00816DE1" w:rsidP="0069586D">
            <w:pPr>
              <w:numPr>
                <w:ilvl w:val="0"/>
                <w:numId w:val="6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 adequate access for any required maintenance or upgrading work to the water supply pipeline;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6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does not involve the construction of any buildings or structures within a Bulk water supply infrastructure buffer;</w:t>
            </w:r>
          </w:p>
          <w:p w:rsidR="00816DE1" w:rsidRPr="00816DE1" w:rsidRDefault="00816DE1" w:rsidP="0069586D">
            <w:pPr>
              <w:numPr>
                <w:ilvl w:val="0"/>
                <w:numId w:val="6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involving a major hazard facility or environmentally relevant activity (ERA) is setback 30m from a Bulk water supply infrastructure buffer.</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is located and designed to maintain required access to Bulk water supply infrastructure.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restrict access to Bulk water supply infrastructure of any type or size, having regard to (among other things):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buildings or structures;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gates and fences;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storage of equipment or materials;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or earthworks or stormwater or other infrastructure.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within the Gas pipeline buffer:</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attracting people in large numbers to live, work or congregate;</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the storage of hazardous chemicals;</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maintains adequate access for any required maintenance or upgrading work;</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minimises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rHeight w:val="390"/>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 xml:space="preserve">Editor's note - The </w:t>
                  </w:r>
                  <w:r w:rsidRPr="00C64A89">
                    <w:rPr>
                      <w:rStyle w:val="Emphasis"/>
                      <w:rFonts w:ascii="Arial" w:eastAsia="Times New Roman" w:hAnsi="Arial" w:cs="Arial"/>
                      <w:sz w:val="18"/>
                      <w:szCs w:val="20"/>
                    </w:rPr>
                    <w:t>Petroleum and Gas (Production and Safety) Act 2004</w:t>
                  </w:r>
                  <w:r w:rsidRPr="00C64A89">
                    <w:rPr>
                      <w:rFonts w:ascii="Arial" w:eastAsia="Times New Roman" w:hAnsi="Arial" w:cs="Arial"/>
                      <w:sz w:val="18"/>
                      <w:szCs w:val="20"/>
                    </w:rPr>
                    <w:t xml:space="preserve"> (sections 807 and 808) requires that building or changes in surface level on pipeline land must not occur unless all the pipeline licence </w:t>
                  </w:r>
                  <w:proofErr w:type="gramStart"/>
                  <w:r w:rsidRPr="00C64A89">
                    <w:rPr>
                      <w:rFonts w:ascii="Arial" w:eastAsia="Times New Roman" w:hAnsi="Arial" w:cs="Arial"/>
                      <w:sz w:val="18"/>
                      <w:szCs w:val="20"/>
                    </w:rPr>
                    <w:t>holders</w:t>
                  </w:r>
                  <w:proofErr w:type="gramEnd"/>
                  <w:r w:rsidRPr="00C64A89">
                    <w:rPr>
                      <w:rFonts w:ascii="Arial" w:eastAsia="Times New Roman" w:hAnsi="Arial" w:cs="Arial"/>
                      <w:sz w:val="18"/>
                      <w:szCs w:val="20"/>
                    </w:rPr>
                    <w:t xml:space="preserve"> consent</w:t>
                  </w:r>
                  <w:r w:rsidRPr="00816DE1">
                    <w:rPr>
                      <w:rFonts w:ascii="Arial" w:eastAsia="Times New Roman"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816DE1" w:rsidTr="00816DE1">
              <w:trPr>
                <w:tblCellSpacing w:w="15" w:type="dxa"/>
              </w:trPr>
              <w:tc>
                <w:tcPr>
                  <w:tcW w:w="619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 xml:space="preserve">Editor's note - The </w:t>
                  </w:r>
                  <w:r w:rsidRPr="00C64A89">
                    <w:rPr>
                      <w:rStyle w:val="Emphasis"/>
                      <w:rFonts w:ascii="Arial" w:eastAsia="Times New Roman" w:hAnsi="Arial" w:cs="Arial"/>
                      <w:sz w:val="18"/>
                      <w:szCs w:val="20"/>
                    </w:rPr>
                    <w:t>Petroleum and Gas (Production and Safety) Act 2004</w:t>
                  </w:r>
                  <w:r w:rsidRPr="00C64A89">
                    <w:rPr>
                      <w:rFonts w:ascii="Arial" w:eastAsia="Times New Roman" w:hAnsi="Arial" w:cs="Arial"/>
                      <w:sz w:val="18"/>
                      <w:szCs w:val="20"/>
                    </w:rPr>
                    <w:t xml:space="preserve"> (sections 807 and 808) requires that building or changes in surface level on pipeline land must not occur unless all the pipeline licence </w:t>
                  </w:r>
                  <w:proofErr w:type="gramStart"/>
                  <w:r w:rsidRPr="00C64A89">
                    <w:rPr>
                      <w:rFonts w:ascii="Arial" w:eastAsia="Times New Roman" w:hAnsi="Arial" w:cs="Arial"/>
                      <w:sz w:val="18"/>
                      <w:szCs w:val="20"/>
                    </w:rPr>
                    <w:t>holders</w:t>
                  </w:r>
                  <w:proofErr w:type="gramEnd"/>
                  <w:r w:rsidRPr="00C64A89">
                    <w:rPr>
                      <w:rFonts w:ascii="Arial" w:eastAsia="Times New Roman" w:hAnsi="Arial" w:cs="Arial"/>
                      <w:sz w:val="18"/>
                      <w:szCs w:val="20"/>
                    </w:rPr>
                    <w:t xml:space="preserve"> consent</w:t>
                  </w:r>
                  <w:r w:rsidRPr="00816DE1">
                    <w:rPr>
                      <w:rFonts w:ascii="Arial" w:eastAsia="Times New Roman"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PO50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Odour sensitive development is separated from landfill </w:t>
            </w:r>
            <w:proofErr w:type="gramStart"/>
            <w:r w:rsidRPr="00816DE1">
              <w:rPr>
                <w:rFonts w:ascii="Arial" w:hAnsi="Arial" w:cs="Arial"/>
                <w:sz w:val="20"/>
                <w:szCs w:val="20"/>
              </w:rPr>
              <w:t>sites</w:t>
            </w:r>
            <w:proofErr w:type="gramEnd"/>
            <w:r w:rsidRPr="00816DE1">
              <w:rPr>
                <w:rFonts w:ascii="Arial" w:hAnsi="Arial" w:cs="Arial"/>
                <w:sz w:val="20"/>
                <w:szCs w:val="20"/>
              </w:rPr>
              <w:t xml:space="preserve"> so they are not adversely affected by odour emission or other air pollutant impacts.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following uses are not located within a Landfill buffer:</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98"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99"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10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10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102"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103"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104"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105"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106"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107"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108"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109"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110"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111"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112"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1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 within an Electricity supply substation buffer are located a sufficient distance from substations</w:t>
            </w:r>
            <w:r w:rsidRPr="00816DE1">
              <w:rPr>
                <w:rFonts w:ascii="Arial" w:hAnsi="Arial" w:cs="Arial"/>
                <w:sz w:val="20"/>
                <w:szCs w:val="20"/>
                <w:vertAlign w:val="superscript"/>
              </w:rPr>
              <w:t>(</w:t>
            </w:r>
            <w:hyperlink r:id="rId114" w:anchor="target-d768251e572400" w:tooltip="Substation - Premises forming part of a transmission grid or supply network under the Electricity Act 1994, and used for:" w:history="1">
              <w:r w:rsidRPr="00816DE1">
                <w:rPr>
                  <w:rStyle w:val="Hyperlink"/>
                  <w:rFonts w:ascii="Arial" w:hAnsi="Arial" w:cs="Arial"/>
                  <w:sz w:val="20"/>
                  <w:szCs w:val="20"/>
                  <w:vertAlign w:val="superscript"/>
                </w:rPr>
                <w:t>80</w:t>
              </w:r>
            </w:hyperlink>
            <w:r w:rsidRPr="00816DE1">
              <w:rPr>
                <w:rFonts w:ascii="Arial" w:hAnsi="Arial" w:cs="Arial"/>
                <w:sz w:val="20"/>
                <w:szCs w:val="20"/>
                <w:vertAlign w:val="superscript"/>
              </w:rPr>
              <w:t>)</w:t>
            </w:r>
            <w:r w:rsidRPr="00816DE1">
              <w:rPr>
                <w:rFonts w:ascii="Arial" w:hAnsi="Arial" w:cs="Arial"/>
                <w:sz w:val="20"/>
                <w:szCs w:val="20"/>
              </w:rPr>
              <w:t xml:space="preserve"> to avoid any potential adverse impacts on personal health and wellbeing from electromagnetic fields.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C64A89"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w:t>
            </w:r>
          </w:p>
          <w:p w:rsidR="00816DE1" w:rsidRPr="00816DE1" w:rsidRDefault="00816DE1" w:rsidP="0069586D">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located within an Electricity supply substation buffer; and</w:t>
            </w:r>
          </w:p>
          <w:p w:rsidR="00816DE1" w:rsidRPr="00816DE1" w:rsidRDefault="00816DE1" w:rsidP="0069586D">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proposed on a site subject to an Electricity supply </w:t>
            </w:r>
            <w:proofErr w:type="spellStart"/>
            <w:r w:rsidRPr="00816DE1">
              <w:rPr>
                <w:rFonts w:ascii="Arial" w:eastAsia="Times New Roman" w:hAnsi="Arial" w:cs="Arial"/>
                <w:sz w:val="20"/>
                <w:szCs w:val="20"/>
              </w:rPr>
              <w:t>supply</w:t>
            </w:r>
            <w:proofErr w:type="spellEnd"/>
            <w:r w:rsidRPr="00816DE1">
              <w:rPr>
                <w:rFonts w:ascii="Arial" w:eastAsia="Times New Roman" w:hAnsi="Arial" w:cs="Arial"/>
                <w:sz w:val="20"/>
                <w:szCs w:val="20"/>
              </w:rPr>
              <w:t xml:space="preserve"> substation</w:t>
            </w:r>
            <w:r w:rsidRPr="00816DE1">
              <w:rPr>
                <w:rFonts w:ascii="Arial" w:eastAsia="Times New Roman" w:hAnsi="Arial" w:cs="Arial"/>
                <w:sz w:val="20"/>
                <w:szCs w:val="20"/>
                <w:vertAlign w:val="superscript"/>
              </w:rPr>
              <w:t>(</w:t>
            </w:r>
            <w:hyperlink r:id="rId115" w:anchor="target-d768251e572400" w:tooltip="Substation - Premises forming part of a transmission grid or supply network under the Electricity Act 1994, and used for:" w:history="1">
              <w:r w:rsidRPr="00816DE1">
                <w:rPr>
                  <w:rStyle w:val="Hyperlink"/>
                  <w:rFonts w:ascii="Arial" w:eastAsia="Times New Roman" w:hAnsi="Arial" w:cs="Arial"/>
                  <w:sz w:val="20"/>
                  <w:szCs w:val="20"/>
                  <w:vertAlign w:val="superscript"/>
                </w:rPr>
                <w:t>80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are acoustically insulted to achieve the noise levels listed in Schedule 1, Acoustic Quality Objectives, Environmental Protection (Noise) Policy 2008.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C64A89" w:rsidTr="00816DE1">
              <w:trPr>
                <w:tblCellSpacing w:w="15" w:type="dxa"/>
              </w:trPr>
              <w:tc>
                <w:tcPr>
                  <w:tcW w:w="619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 within an Electricity supply substation buffer are acoustically insulated from the noise of a substation</w:t>
            </w:r>
            <w:r w:rsidRPr="00816DE1">
              <w:rPr>
                <w:rFonts w:ascii="Arial" w:hAnsi="Arial" w:cs="Arial"/>
                <w:sz w:val="20"/>
                <w:szCs w:val="20"/>
                <w:vertAlign w:val="superscript"/>
              </w:rPr>
              <w:t>(</w:t>
            </w:r>
            <w:hyperlink r:id="rId116" w:anchor="target-d768251e572400" w:tooltip="Substation - Premises forming part of a transmission grid or supply network under the Electricity Act 1994, and used for:" w:history="1">
              <w:r w:rsidRPr="00816DE1">
                <w:rPr>
                  <w:rStyle w:val="Hyperlink"/>
                  <w:rFonts w:ascii="Arial" w:hAnsi="Arial" w:cs="Arial"/>
                  <w:sz w:val="20"/>
                  <w:szCs w:val="20"/>
                  <w:vertAlign w:val="superscript"/>
                </w:rPr>
                <w:t>80</w:t>
              </w:r>
            </w:hyperlink>
            <w:r w:rsidRPr="00816DE1">
              <w:rPr>
                <w:rFonts w:ascii="Arial" w:hAnsi="Arial" w:cs="Arial"/>
                <w:sz w:val="20"/>
                <w:szCs w:val="20"/>
                <w:vertAlign w:val="superscript"/>
              </w:rPr>
              <w:t>)</w:t>
            </w:r>
            <w:r w:rsidRPr="00816DE1">
              <w:rPr>
                <w:rFonts w:ascii="Arial" w:hAnsi="Arial" w:cs="Arial"/>
                <w:sz w:val="20"/>
                <w:szCs w:val="20"/>
              </w:rPr>
              <w:t xml:space="preserve"> to achieve the noise levels listed in Schedule 1 Acoustic Quality </w:t>
            </w:r>
            <w:r w:rsidRPr="00816DE1">
              <w:rPr>
                <w:rFonts w:ascii="Arial" w:hAnsi="Arial" w:cs="Arial"/>
                <w:sz w:val="20"/>
                <w:szCs w:val="20"/>
              </w:rPr>
              <w:lastRenderedPageBreak/>
              <w:t>Objectives, Environmental Protection (Noise) Policy 2008 and provides a safe, healthy and disturbance free living environment.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 xml:space="preserve">Note - To demonstrate achievement of the performance outcome, a noise impact assessment report is prepared by a suitably qualified person. Guidance to preparing </w:t>
                  </w:r>
                  <w:proofErr w:type="gramStart"/>
                  <w:r w:rsidRPr="00C64A89">
                    <w:rPr>
                      <w:rFonts w:ascii="Arial" w:eastAsia="Times New Roman" w:hAnsi="Arial" w:cs="Arial"/>
                      <w:sz w:val="18"/>
                      <w:szCs w:val="20"/>
                    </w:rPr>
                    <w:t>an</w:t>
                  </w:r>
                  <w:proofErr w:type="gramEnd"/>
                  <w:r w:rsidRPr="00C64A89">
                    <w:rPr>
                      <w:rFonts w:ascii="Arial" w:eastAsia="Times New Roman" w:hAnsi="Arial" w:cs="Arial"/>
                      <w:sz w:val="18"/>
                      <w:szCs w:val="20"/>
                    </w:rPr>
                    <w:t xml:space="preserve"> noise impact assessment report is provided in Planning scheme policy – Noise.</w:t>
                  </w:r>
                </w:p>
              </w:tc>
            </w:tr>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within a High voltage electricity line buffer provides adequate buffers to high voltage electricity lines to protect amenity and health by ensuring development:</w:t>
            </w:r>
          </w:p>
          <w:p w:rsidR="00816DE1" w:rsidRPr="00816DE1" w:rsidRDefault="00816DE1" w:rsidP="0069586D">
            <w:pPr>
              <w:numPr>
                <w:ilvl w:val="0"/>
                <w:numId w:val="6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located and designed to avoid any potential adverse impacts on personal health and wellbeing from electromagnetic fields in accordance with the principle of prudent avoidance;</w:t>
            </w:r>
          </w:p>
          <w:p w:rsidR="00816DE1" w:rsidRPr="00816DE1" w:rsidRDefault="00816DE1" w:rsidP="0069586D">
            <w:pPr>
              <w:numPr>
                <w:ilvl w:val="0"/>
                <w:numId w:val="6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is located and designed in a manner that maintains a high level </w:t>
            </w:r>
            <w:proofErr w:type="gramStart"/>
            <w:r w:rsidRPr="00816DE1">
              <w:rPr>
                <w:rFonts w:ascii="Arial" w:eastAsia="Times New Roman" w:hAnsi="Arial" w:cs="Arial"/>
                <w:sz w:val="20"/>
                <w:szCs w:val="20"/>
              </w:rPr>
              <w:t>of  security</w:t>
            </w:r>
            <w:proofErr w:type="gramEnd"/>
            <w:r w:rsidRPr="00816DE1">
              <w:rPr>
                <w:rFonts w:ascii="Arial" w:eastAsia="Times New Roman" w:hAnsi="Arial" w:cs="Arial"/>
                <w:sz w:val="20"/>
                <w:szCs w:val="20"/>
              </w:rPr>
              <w:t xml:space="preserve"> of supply;</w:t>
            </w:r>
          </w:p>
          <w:p w:rsidR="00816DE1" w:rsidRPr="00816DE1" w:rsidRDefault="00816DE1" w:rsidP="0069586D">
            <w:pPr>
              <w:numPr>
                <w:ilvl w:val="0"/>
                <w:numId w:val="6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located and design so not to impede upon the functioning and maintenance of high voltage electrical infrastructure.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involve the construction of any buildings or structures within a High voltage electricity line buffer.</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6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minimises the risk to persons from overland flow;</w:t>
            </w:r>
          </w:p>
          <w:p w:rsidR="00816DE1" w:rsidRPr="00816DE1" w:rsidRDefault="00816DE1" w:rsidP="0069586D">
            <w:pPr>
              <w:numPr>
                <w:ilvl w:val="0"/>
                <w:numId w:val="6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increase the potential for damage from overland flow either on the premises or other premises, public land, watercourses, roads or infrastructure.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6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maintains the conveyance of overland flow predominantly unimpeded through the premises for any event up to and including the 1% AEP for the fully developed upstream catchment;</w:t>
            </w:r>
          </w:p>
          <w:p w:rsidR="00816DE1" w:rsidRPr="00816DE1" w:rsidRDefault="00816DE1" w:rsidP="0069586D">
            <w:pPr>
              <w:numPr>
                <w:ilvl w:val="0"/>
                <w:numId w:val="6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C64A89">
                    <w:rPr>
                      <w:rFonts w:ascii="Arial" w:eastAsia="Times New Roman" w:hAnsi="Arial" w:cs="Arial"/>
                      <w:sz w:val="18"/>
                      <w:szCs w:val="20"/>
                    </w:rPr>
                    <w:t>upstream, downstream or surrounding premises</w:t>
                  </w:r>
                  <w:proofErr w:type="gramEnd"/>
                  <w:r w:rsidRPr="00C64A89">
                    <w:rPr>
                      <w:rFonts w:ascii="Arial" w:eastAsia="Times New Roman" w:hAnsi="Arial" w:cs="Arial"/>
                      <w:sz w:val="18"/>
                      <w:szCs w:val="20"/>
                    </w:rPr>
                    <w:t>.</w:t>
                  </w:r>
                </w:p>
              </w:tc>
            </w:tr>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Reporting to be prepared in accordance with Planning scheme policy – Flood hazard, Coastal hazard and Overland flow.</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w:t>
            </w:r>
          </w:p>
          <w:p w:rsidR="00816DE1" w:rsidRPr="00816DE1" w:rsidRDefault="00816DE1" w:rsidP="0069586D">
            <w:pPr>
              <w:numPr>
                <w:ilvl w:val="0"/>
                <w:numId w:val="7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directly, indirectly or cumulatively cause any increase in overland flow velocity or level;</w:t>
            </w:r>
          </w:p>
          <w:p w:rsidR="00816DE1" w:rsidRPr="00816DE1" w:rsidRDefault="00816DE1" w:rsidP="0069586D">
            <w:pPr>
              <w:numPr>
                <w:ilvl w:val="0"/>
                <w:numId w:val="7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increase the potential for flood damage from overland flow either on the premises or other premises, public </w:t>
            </w:r>
            <w:r w:rsidRPr="00816DE1">
              <w:rPr>
                <w:rFonts w:ascii="Arial" w:eastAsia="Times New Roman" w:hAnsi="Arial" w:cs="Arial"/>
                <w:sz w:val="20"/>
                <w:szCs w:val="20"/>
              </w:rPr>
              <w:lastRenderedPageBreak/>
              <w:t>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Open concrete drains greater than 1m in width are not an acceptable outcome, nor are any other design options that may increase scouring.</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816DE1" w:rsidTr="00816DE1">
              <w:trPr>
                <w:tblCellSpacing w:w="15" w:type="dxa"/>
              </w:trPr>
              <w:tc>
                <w:tcPr>
                  <w:tcW w:w="619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which is not in a Rural zone ensures that overland flow is not conveyed from a road or public open space onto a private lot.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816DE1">
              <w:rPr>
                <w:rFonts w:ascii="Arial" w:hAnsi="Arial" w:cs="Arial"/>
                <w:sz w:val="20"/>
                <w:szCs w:val="20"/>
              </w:rPr>
              <w:t>are able to</w:t>
            </w:r>
            <w:proofErr w:type="gramEnd"/>
            <w:r w:rsidRPr="00816DE1">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C64A89">
                    <w:rPr>
                      <w:rFonts w:ascii="Arial" w:eastAsia="Times New Roman" w:hAnsi="Arial" w:cs="Arial"/>
                      <w:sz w:val="18"/>
                      <w:szCs w:val="20"/>
                    </w:rPr>
                    <w:t>upstream, downstream or surrounding premises</w:t>
                  </w:r>
                  <w:proofErr w:type="gramEnd"/>
                  <w:r w:rsidRPr="00C64A89">
                    <w:rPr>
                      <w:rFonts w:ascii="Arial" w:eastAsia="Times New Roman" w:hAnsi="Arial" w:cs="Arial"/>
                      <w:sz w:val="18"/>
                      <w:szCs w:val="20"/>
                    </w:rPr>
                    <w:t>.</w:t>
                  </w:r>
                </w:p>
              </w:tc>
            </w:tr>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Reporting to be prepared in accordance with Planning scheme policy – Flood hazard, Coastal hazard and Overland flow</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E59.1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roof and allotment drainage infrastructure is provided in accordance with the following relevant level as identified in QUDM:</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Urban area – Level III;</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area – N/A;</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Industrial area – Level V;</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Commercial area – Level V.</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E59.2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PO60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protects the conveyance of overland flow such that an easement for drainage purposes is provided over:</w:t>
            </w:r>
          </w:p>
          <w:p w:rsidR="00816DE1" w:rsidRPr="00816DE1" w:rsidRDefault="00816DE1" w:rsidP="0069586D">
            <w:pPr>
              <w:pStyle w:val="NormalWeb"/>
              <w:numPr>
                <w:ilvl w:val="0"/>
                <w:numId w:val="72"/>
              </w:numPr>
              <w:rPr>
                <w:rFonts w:ascii="Arial" w:hAnsi="Arial" w:cs="Arial"/>
                <w:sz w:val="20"/>
                <w:szCs w:val="20"/>
              </w:rPr>
            </w:pPr>
            <w:r w:rsidRPr="00816DE1">
              <w:rPr>
                <w:rFonts w:ascii="Arial" w:hAnsi="Arial" w:cs="Arial"/>
                <w:sz w:val="20"/>
                <w:szCs w:val="20"/>
              </w:rPr>
              <w:t>a stormwater pipe if the nominal pipe diameter exceeds 300mm;</w:t>
            </w:r>
          </w:p>
          <w:p w:rsidR="00816DE1" w:rsidRPr="00816DE1" w:rsidRDefault="00816DE1" w:rsidP="0069586D">
            <w:pPr>
              <w:pStyle w:val="NormalWeb"/>
              <w:numPr>
                <w:ilvl w:val="0"/>
                <w:numId w:val="72"/>
              </w:numPr>
              <w:rPr>
                <w:rFonts w:ascii="Arial" w:hAnsi="Arial" w:cs="Arial"/>
                <w:sz w:val="20"/>
                <w:szCs w:val="20"/>
              </w:rPr>
            </w:pPr>
            <w:r w:rsidRPr="00816DE1">
              <w:rPr>
                <w:rFonts w:ascii="Arial" w:hAnsi="Arial" w:cs="Arial"/>
                <w:sz w:val="20"/>
                <w:szCs w:val="20"/>
              </w:rPr>
              <w:t>an overland flow path where it crosses more than one premises;</w:t>
            </w:r>
          </w:p>
          <w:p w:rsidR="00816DE1" w:rsidRPr="00816DE1" w:rsidRDefault="00816DE1" w:rsidP="0069586D">
            <w:pPr>
              <w:pStyle w:val="NormalWeb"/>
              <w:numPr>
                <w:ilvl w:val="0"/>
                <w:numId w:val="72"/>
              </w:numPr>
              <w:rPr>
                <w:rFonts w:ascii="Arial" w:hAnsi="Arial" w:cs="Arial"/>
                <w:sz w:val="20"/>
                <w:szCs w:val="20"/>
              </w:rPr>
            </w:pPr>
            <w:r w:rsidRPr="00816DE1">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Integrated design for details and examples.</w:t>
                  </w:r>
                </w:p>
              </w:tc>
            </w:tr>
            <w:tr w:rsidR="00E257BD" w:rsidRPr="00816DE1" w:rsidTr="00816DE1">
              <w:trPr>
                <w:tblCellSpacing w:w="15" w:type="dxa"/>
              </w:trPr>
              <w:tc>
                <w:tcPr>
                  <w:tcW w:w="857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Stormwater Drainage easement dimensions are provided in accordance with Section 3.8.5 of QUDM.</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3D5BCB">
            <w:pPr>
              <w:pStyle w:val="NormalWeb"/>
              <w:rPr>
                <w:rFonts w:ascii="Arial" w:eastAsia="Times New Roman" w:hAnsi="Arial" w:cs="Arial"/>
                <w:sz w:val="20"/>
                <w:szCs w:val="20"/>
              </w:rPr>
            </w:pPr>
            <w:r w:rsidRPr="00816DE1">
              <w:rPr>
                <w:rStyle w:val="Strong"/>
                <w:rFonts w:ascii="Arial" w:hAnsi="Arial" w:cs="Arial"/>
                <w:sz w:val="20"/>
                <w:szCs w:val="20"/>
              </w:rPr>
              <w:t>Additional criteria for development for a Park</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for a Park</w:t>
            </w:r>
            <w:r w:rsidRPr="00816DE1">
              <w:rPr>
                <w:rFonts w:ascii="Arial" w:hAnsi="Arial" w:cs="Arial"/>
                <w:sz w:val="20"/>
                <w:szCs w:val="20"/>
                <w:vertAlign w:val="superscript"/>
              </w:rPr>
              <w:t>(</w:t>
            </w:r>
            <w:hyperlink r:id="rId1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16DE1">
                <w:rPr>
                  <w:rStyle w:val="Hyperlink"/>
                  <w:rFonts w:ascii="Arial" w:hAnsi="Arial" w:cs="Arial"/>
                  <w:sz w:val="20"/>
                  <w:szCs w:val="20"/>
                  <w:vertAlign w:val="superscript"/>
                </w:rPr>
                <w:t>57</w:t>
              </w:r>
            </w:hyperlink>
            <w:r w:rsidRPr="00816DE1">
              <w:rPr>
                <w:rFonts w:ascii="Arial" w:hAnsi="Arial" w:cs="Arial"/>
                <w:sz w:val="20"/>
                <w:szCs w:val="20"/>
                <w:vertAlign w:val="superscript"/>
              </w:rPr>
              <w:t>)</w:t>
            </w:r>
            <w:r w:rsidRPr="00816DE1">
              <w:rPr>
                <w:rFonts w:ascii="Arial" w:hAnsi="Arial" w:cs="Arial"/>
                <w:sz w:val="20"/>
                <w:szCs w:val="20"/>
              </w:rPr>
              <w:t xml:space="preserve"> ensures that the design and layout responds to the nature of the overland flow affecting the premises such that:</w:t>
            </w:r>
          </w:p>
          <w:p w:rsidR="00816DE1" w:rsidRPr="00816DE1" w:rsidRDefault="00816DE1" w:rsidP="0069586D">
            <w:pPr>
              <w:pStyle w:val="NormalWeb"/>
              <w:numPr>
                <w:ilvl w:val="0"/>
                <w:numId w:val="73"/>
              </w:numPr>
              <w:rPr>
                <w:rFonts w:ascii="Arial" w:hAnsi="Arial" w:cs="Arial"/>
                <w:sz w:val="20"/>
                <w:szCs w:val="20"/>
              </w:rPr>
            </w:pPr>
            <w:r w:rsidRPr="00816DE1">
              <w:rPr>
                <w:rFonts w:ascii="Arial" w:hAnsi="Arial" w:cs="Arial"/>
                <w:sz w:val="20"/>
                <w:szCs w:val="20"/>
              </w:rPr>
              <w:t xml:space="preserve">public benefit and enjoyment </w:t>
            </w:r>
            <w:proofErr w:type="gramStart"/>
            <w:r w:rsidRPr="00816DE1">
              <w:rPr>
                <w:rFonts w:ascii="Arial" w:hAnsi="Arial" w:cs="Arial"/>
                <w:sz w:val="20"/>
                <w:szCs w:val="20"/>
              </w:rPr>
              <w:t>is</w:t>
            </w:r>
            <w:proofErr w:type="gramEnd"/>
            <w:r w:rsidRPr="00816DE1">
              <w:rPr>
                <w:rFonts w:ascii="Arial" w:hAnsi="Arial" w:cs="Arial"/>
                <w:sz w:val="20"/>
                <w:szCs w:val="20"/>
              </w:rPr>
              <w:t xml:space="preserve"> maximised;</w:t>
            </w:r>
          </w:p>
          <w:p w:rsidR="00816DE1" w:rsidRPr="00816DE1" w:rsidRDefault="00816DE1" w:rsidP="0069586D">
            <w:pPr>
              <w:pStyle w:val="NormalWeb"/>
              <w:numPr>
                <w:ilvl w:val="0"/>
                <w:numId w:val="73"/>
              </w:numPr>
              <w:rPr>
                <w:rFonts w:ascii="Arial" w:hAnsi="Arial" w:cs="Arial"/>
                <w:sz w:val="20"/>
                <w:szCs w:val="20"/>
              </w:rPr>
            </w:pPr>
            <w:r w:rsidRPr="00816DE1">
              <w:rPr>
                <w:rFonts w:ascii="Arial" w:hAnsi="Arial" w:cs="Arial"/>
                <w:sz w:val="20"/>
                <w:szCs w:val="20"/>
              </w:rPr>
              <w:t>impacts on the asset life and integrity of park structures is minimised;</w:t>
            </w:r>
          </w:p>
          <w:p w:rsidR="00816DE1" w:rsidRPr="00816DE1" w:rsidRDefault="00816DE1" w:rsidP="0069586D">
            <w:pPr>
              <w:pStyle w:val="NormalWeb"/>
              <w:numPr>
                <w:ilvl w:val="0"/>
                <w:numId w:val="73"/>
              </w:numPr>
              <w:rPr>
                <w:rFonts w:ascii="Arial" w:hAnsi="Arial" w:cs="Arial"/>
                <w:sz w:val="20"/>
                <w:szCs w:val="20"/>
              </w:rPr>
            </w:pPr>
            <w:r w:rsidRPr="00816DE1">
              <w:rPr>
                <w:rFonts w:ascii="Arial" w:hAnsi="Arial" w:cs="Arial"/>
                <w:sz w:val="20"/>
                <w:szCs w:val="20"/>
              </w:rPr>
              <w:t>maintenance and replacement costs are minimised.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for a Park</w:t>
            </w:r>
            <w:r w:rsidRPr="00816DE1">
              <w:rPr>
                <w:rFonts w:ascii="Arial" w:hAnsi="Arial" w:cs="Arial"/>
                <w:sz w:val="20"/>
                <w:szCs w:val="20"/>
                <w:vertAlign w:val="superscript"/>
              </w:rPr>
              <w:t>(</w:t>
            </w:r>
            <w:hyperlink r:id="rId1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16DE1">
                <w:rPr>
                  <w:rStyle w:val="Hyperlink"/>
                  <w:rFonts w:ascii="Arial" w:hAnsi="Arial" w:cs="Arial"/>
                  <w:sz w:val="20"/>
                  <w:szCs w:val="20"/>
                  <w:vertAlign w:val="superscript"/>
                </w:rPr>
                <w:t>57</w:t>
              </w:r>
            </w:hyperlink>
            <w:r w:rsidRPr="00816DE1">
              <w:rPr>
                <w:rFonts w:ascii="Arial" w:hAnsi="Arial" w:cs="Arial"/>
                <w:sz w:val="20"/>
                <w:szCs w:val="20"/>
                <w:vertAlign w:val="superscript"/>
              </w:rPr>
              <w:t>)</w:t>
            </w:r>
            <w:r w:rsidRPr="00816DE1">
              <w:rPr>
                <w:rFonts w:ascii="Arial" w:hAnsi="Arial" w:cs="Arial"/>
                <w:sz w:val="20"/>
                <w:szCs w:val="20"/>
              </w:rPr>
              <w:t xml:space="preserve"> ensures works are provided in accordance with the requirements set out in Appendix B of the Planning scheme policy - Integrated design.</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Riparian and wetland setbacks</w:t>
            </w:r>
          </w:p>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provides and maintains a suitable setback from waterways and wetlands that protects natural and environmental values.  This </w:t>
            </w:r>
            <w:r w:rsidRPr="00816DE1">
              <w:rPr>
                <w:rFonts w:ascii="Arial" w:hAnsi="Arial" w:cs="Arial"/>
                <w:sz w:val="20"/>
                <w:szCs w:val="20"/>
              </w:rPr>
              <w:lastRenderedPageBreak/>
              <w:t>is achieved by recognising and responding to the following matters:</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on fauna habitats;</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on wildlife corridors and connectivity;</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on stream integrity;</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of opportunities for revegetation and rehabilitation planting;</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edge effects.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E62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occur within:</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t>50m from top of bank for W1 waterway and drainage line</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lastRenderedPageBreak/>
              <w:t>30m from top of bank for W2 waterway and drainage line</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t>20m from top of bank for W3 waterway and drainage line</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C64A89" w:rsidTr="00816DE1">
              <w:trPr>
                <w:tblCellSpacing w:w="15" w:type="dxa"/>
              </w:trPr>
              <w:tc>
                <w:tcPr>
                  <w:tcW w:w="619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W1, W2 and W3 waterway and drainage lines, and wetlands are mapped on Schedule 2, Section 2.5 Overlay Maps – Riparian and wetland setbacks.</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Scenic amenity - Regionally significant (Hills) and Locally important (Coast) (refer Overlay map - Scenic amenity to determine if the following assessment criteria apply)</w:t>
            </w:r>
          </w:p>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being viewed as a visually conspicuous built form on a hill top or ridgeline;</w:t>
            </w:r>
          </w:p>
          <w:p w:rsidR="00816DE1" w:rsidRPr="00816DE1" w:rsidRDefault="00816DE1" w:rsidP="0069586D">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 the natural character or bushland settings as the dominant landscape characteristic;</w:t>
            </w:r>
          </w:p>
          <w:p w:rsidR="00816DE1" w:rsidRPr="00816DE1" w:rsidRDefault="00816DE1" w:rsidP="0069586D">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viewed as being visually consistent with the natural landscape setting and does not diminish the scenic and visual qualities present in the environment.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Regionally significant (Hills) scenic amenity overlay, buildings and structures are not:</w:t>
            </w:r>
          </w:p>
          <w:p w:rsidR="00816DE1" w:rsidRPr="00816DE1" w:rsidRDefault="00816DE1" w:rsidP="0069586D">
            <w:pPr>
              <w:numPr>
                <w:ilvl w:val="0"/>
                <w:numId w:val="7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located on a hill top or ridge line;</w:t>
            </w:r>
          </w:p>
          <w:p w:rsidR="00816DE1" w:rsidRPr="00816DE1" w:rsidRDefault="00816DE1" w:rsidP="0069586D">
            <w:pPr>
              <w:numPr>
                <w:ilvl w:val="0"/>
                <w:numId w:val="7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all parts of the building and structure are located below the hill top or ridge line.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7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detract or degrade the quality of views, vista or key landmarks;</w:t>
            </w:r>
          </w:p>
          <w:p w:rsidR="00816DE1" w:rsidRPr="00816DE1" w:rsidRDefault="00816DE1" w:rsidP="0069586D">
            <w:pPr>
              <w:numPr>
                <w:ilvl w:val="0"/>
                <w:numId w:val="7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retains the natural character or bushland settings as the dominant landscape characteristic.</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Regionally significant (Hills) scenic amenity overlay, driveways and accessways:</w:t>
            </w:r>
          </w:p>
          <w:p w:rsidR="00816DE1" w:rsidRPr="00816DE1" w:rsidRDefault="00816DE1" w:rsidP="0069586D">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go across land contours, and do not cut straight up slopes;</w:t>
            </w:r>
          </w:p>
          <w:p w:rsidR="00816DE1" w:rsidRPr="00816DE1" w:rsidRDefault="00816DE1" w:rsidP="0069586D">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follow natural contours, not resulting in batters or retaining walls being greater than 900mm in height.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PO65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and structures incorporate colours and finishes that:</w:t>
            </w:r>
          </w:p>
          <w:p w:rsidR="00816DE1" w:rsidRPr="00816DE1" w:rsidRDefault="00816DE1" w:rsidP="0069586D">
            <w:pPr>
              <w:numPr>
                <w:ilvl w:val="0"/>
                <w:numId w:val="8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consistent with a natural, open space character and bushland environment;</w:t>
            </w:r>
          </w:p>
          <w:p w:rsidR="00816DE1" w:rsidRPr="00816DE1" w:rsidRDefault="00816DE1" w:rsidP="0069586D">
            <w:pPr>
              <w:numPr>
                <w:ilvl w:val="0"/>
                <w:numId w:val="8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 not produce glare or appear visual incompatible with the surrounding natural character and bushland environment;</w:t>
            </w:r>
          </w:p>
          <w:p w:rsidR="00816DE1" w:rsidRPr="00816DE1" w:rsidRDefault="00816DE1" w:rsidP="0069586D">
            <w:pPr>
              <w:numPr>
                <w:ilvl w:val="0"/>
                <w:numId w:val="8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visually dominant or detract from the natural qualities of the landscape.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E65.1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Regionally significant (hills) scenic amenity overlay, roofs and wall surfaces of buildings and structures adopt the following colours: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08"/>
              <w:gridCol w:w="1701"/>
              <w:gridCol w:w="1983"/>
            </w:tblGrid>
            <w:tr w:rsidR="00816DE1" w:rsidRPr="00816DE1" w:rsidTr="003D5BCB">
              <w:trPr>
                <w:tblCellSpacing w:w="15" w:type="dxa"/>
              </w:trPr>
              <w:tc>
                <w:tcPr>
                  <w:tcW w:w="5232" w:type="dxa"/>
                  <w:gridSpan w:val="3"/>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Colours from Australian Standard AS2700s – 1996</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G12 – Holly</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G54 – Mist Green</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 44 – Bridge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G13 – Emerald</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G55 – Lichen</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N45 – Koala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G14 – Moss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G56 – Sage Green</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N52 – Mid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G15 – Rainforest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G62 – Rivergum</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N54 – Basalt</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G16 – Traffic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G64 – Slate</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N55 – Lead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G17 – Mint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xml:space="preserve">G65 – </w:t>
                  </w:r>
                  <w:proofErr w:type="spellStart"/>
                  <w:r w:rsidRPr="00816DE1">
                    <w:rPr>
                      <w:rFonts w:ascii="Arial" w:eastAsia="Times New Roman" w:hAnsi="Arial" w:cs="Arial"/>
                      <w:sz w:val="20"/>
                      <w:szCs w:val="20"/>
                    </w:rPr>
                    <w:t>Ti</w:t>
                  </w:r>
                  <w:proofErr w:type="spellEnd"/>
                  <w:r w:rsidRPr="00816DE1">
                    <w:rPr>
                      <w:rFonts w:ascii="Arial" w:eastAsia="Times New Roman" w:hAnsi="Arial" w:cs="Arial"/>
                      <w:sz w:val="20"/>
                      <w:szCs w:val="20"/>
                    </w:rPr>
                    <w:t xml:space="preserve"> Tree</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X54 – Brown</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G21 – Jade</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N25 – Birch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X61 – Wombat</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G22 – Serpentine</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N32 – Green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X62 – Dark Earth</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G23 – Shamrock</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N33 – Lightbox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X63 – Iron Bark</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G24 – Fern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N35 – Light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Y51 – Bronze Olive</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G25 – Olive</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N41 – Oyster</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Y61 – Black Olive</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G34 – Avocado</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N42 – Storm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Y63 – Khaki</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G52 – Eucalyptus</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N43 – Pipeline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Y66 – Mudstone</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G53 – Banksia</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E65.2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Where located in the Regionally significant (hills) scenic amenity overlay, roofs and wall surfaces of buildings and structures are painted or finished such that reflectivity is less than 35%.</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Landscaping</w:t>
            </w:r>
          </w:p>
          <w:p w:rsidR="00816DE1" w:rsidRPr="00816DE1" w:rsidRDefault="00816DE1" w:rsidP="0069586D">
            <w:pPr>
              <w:numPr>
                <w:ilvl w:val="0"/>
                <w:numId w:val="8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complements the coastal landscape character and amenity;</w:t>
            </w:r>
          </w:p>
          <w:p w:rsidR="00816DE1" w:rsidRPr="00816DE1" w:rsidRDefault="00816DE1" w:rsidP="0069586D">
            <w:pPr>
              <w:numPr>
                <w:ilvl w:val="0"/>
                <w:numId w:val="8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has known resilience and robustness in the coastal environment;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Fences and walls:</w:t>
            </w:r>
          </w:p>
          <w:p w:rsidR="00816DE1" w:rsidRPr="00816DE1" w:rsidRDefault="00816DE1" w:rsidP="0069586D">
            <w:pPr>
              <w:numPr>
                <w:ilvl w:val="0"/>
                <w:numId w:val="8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 not appear visually dominant or conspicuous within its setting;</w:t>
            </w:r>
          </w:p>
          <w:p w:rsidR="00816DE1" w:rsidRPr="00816DE1" w:rsidRDefault="00816DE1" w:rsidP="0069586D">
            <w:pPr>
              <w:numPr>
                <w:ilvl w:val="0"/>
                <w:numId w:val="8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reduce visual appearance </w:t>
            </w:r>
            <w:proofErr w:type="gramStart"/>
            <w:r w:rsidRPr="00816DE1">
              <w:rPr>
                <w:rFonts w:ascii="Arial" w:eastAsia="Times New Roman" w:hAnsi="Arial" w:cs="Arial"/>
                <w:sz w:val="20"/>
                <w:szCs w:val="20"/>
              </w:rPr>
              <w:t>through the use of</w:t>
            </w:r>
            <w:proofErr w:type="gramEnd"/>
            <w:r w:rsidRPr="00816DE1">
              <w:rPr>
                <w:rFonts w:ascii="Arial" w:eastAsia="Times New Roman" w:hAnsi="Arial" w:cs="Arial"/>
                <w:sz w:val="20"/>
                <w:szCs w:val="20"/>
              </w:rPr>
              <w:t xml:space="preserve"> built form articulation, setbacks, and plant screening;</w:t>
            </w:r>
          </w:p>
          <w:p w:rsidR="00816DE1" w:rsidRPr="00816DE1" w:rsidRDefault="00816DE1" w:rsidP="0069586D">
            <w:pPr>
              <w:numPr>
                <w:ilvl w:val="0"/>
                <w:numId w:val="8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use materials and colours that are complementary to the coastal environment.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Building design responds to the bayside location and complements the </w:t>
            </w:r>
            <w:proofErr w:type="gramStart"/>
            <w:r w:rsidRPr="00816DE1">
              <w:rPr>
                <w:rFonts w:ascii="Arial" w:hAnsi="Arial" w:cs="Arial"/>
                <w:sz w:val="20"/>
                <w:szCs w:val="20"/>
              </w:rPr>
              <w:t>particular bayside</w:t>
            </w:r>
            <w:proofErr w:type="gramEnd"/>
            <w:r w:rsidRPr="00816DE1">
              <w:rPr>
                <w:rFonts w:ascii="Arial" w:hAnsi="Arial" w:cs="Arial"/>
                <w:sz w:val="20"/>
                <w:szCs w:val="20"/>
              </w:rPr>
              <w:t xml:space="preserve"> character and amenity by adopting and incorporating a range of architectural character elements.</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Vegetation that contributes to bayside character and identity are:</w:t>
            </w:r>
          </w:p>
          <w:p w:rsidR="00816DE1" w:rsidRPr="00816DE1" w:rsidRDefault="00816DE1" w:rsidP="0069586D">
            <w:pPr>
              <w:numPr>
                <w:ilvl w:val="0"/>
                <w:numId w:val="8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retained;</w:t>
            </w:r>
          </w:p>
          <w:p w:rsidR="00816DE1" w:rsidRPr="00816DE1" w:rsidRDefault="00816DE1" w:rsidP="0069586D">
            <w:pPr>
              <w:numPr>
                <w:ilvl w:val="0"/>
                <w:numId w:val="8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protected from development diminishing their significance.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Locally Important (Coast) scenic amenity overlay:</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comprises indigenous coastal species;</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fences and walls are no higher than 1m; and</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existing pine trees, palm trees, mature fig and cotton trees are retained.</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over 12m in height, the building design includes the following architectural character elements: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curving balcony edges and walls, strong vertical blades and wall planes;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balcony roofs, wall articulation expressed with different colours, curves in plan and section, and window awnings;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roof top outlooks, tensile structures as shading devices;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lightweight structures use white frame elements in steel and timber, bold colour contrast.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4"/>
            </w:tblGrid>
            <w:tr w:rsidR="00E257BD" w:rsidRPr="00816DE1" w:rsidTr="00816DE1">
              <w:trPr>
                <w:tblCellSpacing w:w="15" w:type="dxa"/>
              </w:trPr>
              <w:tc>
                <w:tcPr>
                  <w:tcW w:w="14944" w:type="dxa"/>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lastRenderedPageBreak/>
                    <w:t>Note - This is for information purposes only. No requirements for accepted development or assessable criteria apply. Development located within a Transport Noise Corridor must satisfy the requirements of the Queensland Development Code</w:t>
                  </w:r>
                </w:p>
              </w:tc>
            </w:tr>
          </w:tbl>
          <w:p w:rsidR="00E257BD" w:rsidRPr="00816DE1" w:rsidRDefault="00E257BD" w:rsidP="00E257BD">
            <w:pPr>
              <w:pStyle w:val="NormalWeb"/>
              <w:rPr>
                <w:rStyle w:val="Strong"/>
                <w:rFonts w:ascii="Arial" w:hAnsi="Arial" w:cs="Arial"/>
                <w:sz w:val="20"/>
                <w:szCs w:val="20"/>
              </w:rPr>
            </w:pPr>
          </w:p>
        </w:tc>
      </w:tr>
    </w:tbl>
    <w:p w:rsidR="00641E2E" w:rsidRDefault="00641E2E">
      <w:pPr>
        <w:rPr>
          <w:rFonts w:ascii="Arial" w:hAnsi="Arial" w:cs="Arial"/>
        </w:rPr>
      </w:pPr>
    </w:p>
    <w:p w:rsidR="00B11E22" w:rsidRPr="00076E12" w:rsidRDefault="00B11E22" w:rsidP="00B11E22">
      <w:pPr>
        <w:shd w:val="clear" w:color="auto" w:fill="FFFFFF"/>
        <w:spacing w:before="100" w:beforeAutospacing="1" w:after="100" w:afterAutospacing="1"/>
        <w:ind w:right="150"/>
        <w:jc w:val="center"/>
        <w:rPr>
          <w:rFonts w:ascii="Arial" w:eastAsia="Times New Roman" w:hAnsi="Arial" w:cs="Arial"/>
          <w:sz w:val="20"/>
          <w:szCs w:val="20"/>
        </w:rPr>
      </w:pPr>
      <w:r w:rsidRPr="00076E12">
        <w:rPr>
          <w:rFonts w:ascii="Arial" w:eastAsia="Times New Roman" w:hAnsi="Arial" w:cs="Arial"/>
          <w:b/>
          <w:bCs/>
          <w:sz w:val="20"/>
          <w:szCs w:val="20"/>
        </w:rPr>
        <w:t>Setback Tables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378"/>
        <w:gridCol w:w="1690"/>
        <w:gridCol w:w="1371"/>
        <w:gridCol w:w="1257"/>
        <w:gridCol w:w="1525"/>
        <w:gridCol w:w="1362"/>
        <w:gridCol w:w="1344"/>
        <w:gridCol w:w="1317"/>
        <w:gridCol w:w="1371"/>
      </w:tblGrid>
      <w:tr w:rsidR="00B11E22" w:rsidRPr="009451ED" w:rsidTr="00DB20B8">
        <w:trPr>
          <w:tblCellSpacing w:w="15" w:type="dxa"/>
        </w:trPr>
        <w:tc>
          <w:tcPr>
            <w:tcW w:w="0" w:type="auto"/>
            <w:gridSpan w:val="11"/>
            <w:tcBorders>
              <w:top w:val="nil"/>
              <w:left w:val="nil"/>
              <w:bottom w:val="nil"/>
              <w:right w:val="nil"/>
            </w:tcBorders>
            <w:shd w:val="clear" w:color="auto" w:fill="CCCCCC"/>
            <w:vAlign w:val="center"/>
            <w:hideMark/>
          </w:tcPr>
          <w:p w:rsidR="00B11E22" w:rsidRPr="009451ED" w:rsidRDefault="00B11E22"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9.3.1.3 Setbacks</w:t>
            </w:r>
          </w:p>
        </w:tc>
      </w:tr>
      <w:tr w:rsidR="00B11E22" w:rsidRPr="009451ED" w:rsidTr="00DB20B8">
        <w:trPr>
          <w:tblCellSpacing w:w="15" w:type="dxa"/>
        </w:trPr>
        <w:tc>
          <w:tcPr>
            <w:tcW w:w="5126"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 xml:space="preserve">Coastal </w:t>
            </w:r>
            <w:proofErr w:type="gramStart"/>
            <w:r w:rsidRPr="009451ED">
              <w:rPr>
                <w:rStyle w:val="Strong"/>
                <w:rFonts w:ascii="Arial" w:hAnsi="Arial" w:cs="Arial"/>
                <w:sz w:val="20"/>
                <w:szCs w:val="20"/>
              </w:rPr>
              <w:t>communities</w:t>
            </w:r>
            <w:proofErr w:type="gramEnd"/>
            <w:r w:rsidRPr="009451ED">
              <w:rPr>
                <w:rStyle w:val="Strong"/>
                <w:rFonts w:ascii="Arial" w:hAnsi="Arial" w:cs="Arial"/>
                <w:sz w:val="20"/>
                <w:szCs w:val="20"/>
              </w:rPr>
              <w:t xml:space="preserve"> precinct and Redcliffe Kippa-Ring local plan - Interim residential precinct</w:t>
            </w:r>
          </w:p>
        </w:tc>
      </w:tr>
      <w:tr w:rsidR="00B11E22" w:rsidRPr="009451ED" w:rsidTr="00DB20B8">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86" w:type="pct"/>
            <w:gridSpan w:val="3"/>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16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Frontage</w:t>
            </w:r>
          </w:p>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 Secondary to lane</w:t>
            </w:r>
          </w:p>
        </w:tc>
        <w:tc>
          <w:tcPr>
            <w:tcW w:w="437"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 xml:space="preserve">Side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Trafficable water body </w:t>
            </w:r>
          </w:p>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 and wall</w:t>
            </w:r>
          </w:p>
        </w:tc>
      </w:tr>
      <w:tr w:rsidR="009451ED" w:rsidRPr="009451ED" w:rsidTr="00DB20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DB20B8">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48"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552"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B11E22" w:rsidRPr="009451ED" w:rsidRDefault="00B11E22" w:rsidP="00DB20B8">
            <w:pPr>
              <w:rPr>
                <w:rFonts w:ascii="Arial" w:eastAsia="Times New Roman" w:hAnsi="Arial" w:cs="Arial"/>
                <w:sz w:val="20"/>
                <w:szCs w:val="20"/>
              </w:rPr>
            </w:pPr>
          </w:p>
        </w:tc>
        <w:tc>
          <w:tcPr>
            <w:tcW w:w="446"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08"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97"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B11E22" w:rsidRPr="009451ED" w:rsidRDefault="00B11E22" w:rsidP="00DB20B8">
            <w:pPr>
              <w:rPr>
                <w:rFonts w:ascii="Arial" w:eastAsia="Times New Roman" w:hAnsi="Arial" w:cs="Arial"/>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DB20B8">
            <w:pPr>
              <w:pStyle w:val="NormalWeb"/>
              <w:jc w:val="center"/>
              <w:rPr>
                <w:rFonts w:ascii="Arial" w:hAnsi="Arial" w:cs="Arial"/>
                <w:sz w:val="20"/>
                <w:szCs w:val="20"/>
              </w:rPr>
            </w:pPr>
            <w:r w:rsidRPr="009451ED">
              <w:rPr>
                <w:rStyle w:val="Strong"/>
                <w:rFonts w:ascii="Arial" w:hAnsi="Arial" w:cs="Arial"/>
                <w:sz w:val="20"/>
                <w:szCs w:val="20"/>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DB20B8">
            <w:pPr>
              <w:rPr>
                <w:rFonts w:ascii="Arial" w:hAnsi="Arial" w:cs="Arial"/>
                <w:sz w:val="20"/>
                <w:szCs w:val="20"/>
              </w:rPr>
            </w:pPr>
          </w:p>
        </w:tc>
      </w:tr>
      <w:tr w:rsidR="00B11E22" w:rsidRPr="009451ED" w:rsidTr="00DB20B8">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Style w:val="Strong"/>
                <w:rFonts w:ascii="Arial" w:hAnsi="Arial" w:cs="Arial"/>
                <w:sz w:val="20"/>
                <w:szCs w:val="20"/>
              </w:rPr>
              <w:t>Less than 4.5m</w:t>
            </w:r>
          </w:p>
        </w:tc>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5.4</w:t>
            </w:r>
          </w:p>
        </w:tc>
        <w:tc>
          <w:tcPr>
            <w:tcW w:w="44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5.4</w:t>
            </w:r>
          </w:p>
        </w:tc>
        <w:tc>
          <w:tcPr>
            <w:tcW w:w="443"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r>
      <w:tr w:rsidR="00B11E22" w:rsidRPr="009451ED" w:rsidTr="00DB20B8">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Style w:val="Strong"/>
                <w:rFonts w:ascii="Arial" w:hAnsi="Arial" w:cs="Arial"/>
                <w:sz w:val="20"/>
                <w:szCs w:val="20"/>
              </w:rPr>
              <w:t>4.5m to 8.5m</w:t>
            </w:r>
          </w:p>
        </w:tc>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r>
      <w:tr w:rsidR="00B11E22" w:rsidRPr="009451ED" w:rsidTr="00DB20B8">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DB20B8">
            <w:pPr>
              <w:pStyle w:val="NormalWeb"/>
              <w:rPr>
                <w:rFonts w:ascii="Arial" w:hAnsi="Arial" w:cs="Arial"/>
                <w:sz w:val="20"/>
                <w:szCs w:val="20"/>
              </w:rPr>
            </w:pPr>
            <w:r w:rsidRPr="009451ED">
              <w:rPr>
                <w:rFonts w:ascii="Arial" w:hAnsi="Arial" w:cs="Arial"/>
                <w:sz w:val="20"/>
                <w:szCs w:val="20"/>
              </w:rPr>
              <w:t>Min 4.5m</w:t>
            </w:r>
          </w:p>
          <w:p w:rsidR="00B11E22" w:rsidRPr="009451ED" w:rsidRDefault="00B11E22" w:rsidP="00DB20B8">
            <w:pPr>
              <w:rPr>
                <w:rFonts w:ascii="Arial" w:eastAsia="Times New Roman" w:hAnsi="Arial" w:cs="Arial"/>
                <w:sz w:val="20"/>
                <w:szCs w:val="20"/>
              </w:rPr>
            </w:pPr>
          </w:p>
        </w:tc>
      </w:tr>
    </w:tbl>
    <w:p w:rsidR="00B11E22" w:rsidRDefault="00B11E22">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73"/>
        <w:gridCol w:w="1358"/>
        <w:gridCol w:w="1292"/>
        <w:gridCol w:w="1476"/>
        <w:gridCol w:w="1647"/>
        <w:gridCol w:w="1250"/>
        <w:gridCol w:w="1521"/>
        <w:gridCol w:w="1356"/>
        <w:gridCol w:w="1356"/>
        <w:gridCol w:w="1356"/>
        <w:gridCol w:w="1413"/>
      </w:tblGrid>
      <w:tr w:rsidR="009451ED" w:rsidRPr="009451ED" w:rsidTr="00DB20B8">
        <w:trPr>
          <w:tblCellSpacing w:w="15" w:type="dxa"/>
        </w:trPr>
        <w:tc>
          <w:tcPr>
            <w:tcW w:w="0" w:type="auto"/>
            <w:gridSpan w:val="11"/>
            <w:tcBorders>
              <w:top w:val="nil"/>
              <w:left w:val="nil"/>
              <w:bottom w:val="nil"/>
              <w:right w:val="nil"/>
            </w:tcBorders>
            <w:shd w:val="clear" w:color="auto" w:fill="CCCCCC"/>
            <w:vAlign w:val="center"/>
            <w:hideMark/>
          </w:tcPr>
          <w:p w:rsidR="009451ED" w:rsidRPr="009451ED" w:rsidRDefault="009451ED"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9.3.1.4 Setbacks</w:t>
            </w:r>
          </w:p>
        </w:tc>
      </w:tr>
      <w:tr w:rsidR="009451ED" w:rsidRPr="009451ED" w:rsidTr="009451ED">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General residential zone - Suburban neighbourhood precinct and Township zone - Residential precinct</w:t>
            </w:r>
          </w:p>
        </w:tc>
      </w:tr>
      <w:tr w:rsidR="009451ED" w:rsidRPr="009451ED" w:rsidTr="009451ED">
        <w:trPr>
          <w:tblCellSpacing w:w="15" w:type="dxa"/>
        </w:trPr>
        <w:tc>
          <w:tcPr>
            <w:tcW w:w="44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43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Side</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39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rsidTr="009451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DB20B8">
            <w:pPr>
              <w:rPr>
                <w:rFonts w:ascii="Arial" w:hAnsi="Arial" w:cs="Arial"/>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18"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DB20B8">
            <w:pPr>
              <w:jc w:val="center"/>
              <w:rPr>
                <w:rFonts w:ascii="Arial" w:eastAsia="Times New Roman"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04"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74"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DB20B8">
            <w:pPr>
              <w:jc w:val="center"/>
              <w:rPr>
                <w:rFonts w:ascii="Arial" w:eastAsia="Times New Roman" w:hAnsi="Arial" w:cs="Arial"/>
                <w:sz w:val="20"/>
                <w:szCs w:val="20"/>
              </w:rPr>
            </w:pP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 xml:space="preserve">, </w:t>
            </w:r>
            <w:r w:rsidRPr="009451ED">
              <w:rPr>
                <w:rStyle w:val="Strong"/>
                <w:rFonts w:ascii="Arial" w:hAnsi="Arial" w:cs="Arial"/>
                <w:sz w:val="20"/>
                <w:szCs w:val="20"/>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DB20B8">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DB20B8">
            <w:pPr>
              <w:rPr>
                <w:rFonts w:ascii="Arial" w:hAnsi="Arial" w:cs="Arial"/>
                <w:sz w:val="20"/>
                <w:szCs w:val="20"/>
              </w:rPr>
            </w:pPr>
          </w:p>
        </w:tc>
      </w:tr>
      <w:tr w:rsidR="009451ED" w:rsidRPr="009451ED"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Less than 4.5m</w:t>
            </w:r>
          </w:p>
        </w:tc>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w:t>
            </w:r>
          </w:p>
        </w:tc>
        <w:tc>
          <w:tcPr>
            <w:tcW w:w="536"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4.5m to 8.5m</w:t>
            </w:r>
          </w:p>
        </w:tc>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Greater than 8.5.</w:t>
            </w:r>
          </w:p>
        </w:tc>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bl>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62"/>
        <w:gridCol w:w="1260"/>
        <w:gridCol w:w="1543"/>
        <w:gridCol w:w="1353"/>
        <w:gridCol w:w="1374"/>
        <w:gridCol w:w="1552"/>
        <w:gridCol w:w="1429"/>
        <w:gridCol w:w="1510"/>
        <w:gridCol w:w="1359"/>
        <w:gridCol w:w="1257"/>
      </w:tblGrid>
      <w:tr w:rsidR="009451ED" w:rsidRPr="009451ED" w:rsidTr="00DB20B8">
        <w:trPr>
          <w:tblCellSpacing w:w="15" w:type="dxa"/>
        </w:trPr>
        <w:tc>
          <w:tcPr>
            <w:tcW w:w="0" w:type="auto"/>
            <w:gridSpan w:val="11"/>
            <w:tcBorders>
              <w:top w:val="nil"/>
              <w:left w:val="nil"/>
              <w:bottom w:val="nil"/>
              <w:right w:val="nil"/>
            </w:tcBorders>
            <w:shd w:val="clear" w:color="auto" w:fill="CCCCCC"/>
            <w:vAlign w:val="center"/>
            <w:hideMark/>
          </w:tcPr>
          <w:p w:rsidR="009451ED" w:rsidRPr="009451ED" w:rsidRDefault="009451ED"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9.3.1.5 Setbacks</w:t>
            </w:r>
          </w:p>
        </w:tc>
      </w:tr>
      <w:tr w:rsidR="009451ED" w:rsidRPr="009451ED" w:rsidTr="00DB20B8">
        <w:trPr>
          <w:tblCellSpacing w:w="15" w:type="dxa"/>
        </w:trPr>
        <w:tc>
          <w:tcPr>
            <w:tcW w:w="5699"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 xml:space="preserve"> Emerging community zone - Transition precinct (developed lot), General residential zone - Next generation neighbourhood precinct </w:t>
            </w:r>
          </w:p>
        </w:tc>
      </w:tr>
      <w:tr w:rsidR="009451ED" w:rsidRPr="009451ED" w:rsidTr="00DB20B8">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2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rsidTr="00DB20B8">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09"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503"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DB20B8">
            <w:pPr>
              <w:rPr>
                <w:rFonts w:ascii="Arial" w:eastAsia="Times New Roman"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47"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506"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DB20B8">
            <w:pPr>
              <w:rPr>
                <w:rFonts w:ascii="Arial" w:eastAsia="Times New Roman" w:hAnsi="Arial" w:cs="Arial"/>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r>
      <w:tr w:rsidR="009451ED" w:rsidRPr="009451ED" w:rsidTr="00DB20B8">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Less than 4.5m</w:t>
            </w:r>
          </w:p>
        </w:tc>
        <w:tc>
          <w:tcPr>
            <w:tcW w:w="44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5.4m*</w:t>
            </w:r>
          </w:p>
        </w:tc>
        <w:tc>
          <w:tcPr>
            <w:tcW w:w="44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5.4m*</w:t>
            </w:r>
          </w:p>
        </w:tc>
        <w:tc>
          <w:tcPr>
            <w:tcW w:w="46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rsidTr="00DB20B8">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4.5m to 8.5m</w:t>
            </w:r>
          </w:p>
        </w:tc>
        <w:tc>
          <w:tcPr>
            <w:tcW w:w="44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rsidTr="00DB20B8">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Greater than 8.5m</w:t>
            </w:r>
          </w:p>
        </w:tc>
        <w:tc>
          <w:tcPr>
            <w:tcW w:w="44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6m</w:t>
            </w:r>
          </w:p>
        </w:tc>
        <w:tc>
          <w:tcPr>
            <w:tcW w:w="4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5m</w:t>
            </w:r>
          </w:p>
        </w:tc>
        <w:tc>
          <w:tcPr>
            <w:tcW w:w="50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4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50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bl>
    <w:p w:rsidR="009451ED" w:rsidRDefault="009451ED">
      <w:pPr>
        <w:rPr>
          <w:rFonts w:ascii="Arial" w:hAnsi="Arial" w:cs="Arial"/>
        </w:rPr>
      </w:pPr>
    </w:p>
    <w:p w:rsidR="009451ED" w:rsidRPr="009451ED" w:rsidRDefault="009451ED" w:rsidP="009451ED">
      <w:pPr>
        <w:rPr>
          <w:rFonts w:ascii="Arial" w:hAnsi="Arial" w:cs="Arial"/>
          <w:sz w:val="20"/>
          <w:szCs w:val="20"/>
        </w:rPr>
      </w:pPr>
      <w:r w:rsidRPr="009451ED">
        <w:rPr>
          <w:rFonts w:ascii="Arial" w:hAnsi="Arial" w:cs="Arial"/>
          <w:sz w:val="20"/>
          <w:szCs w:val="20"/>
        </w:rPr>
        <w:t>*Note - The minimum setback to covered car parking spaces may be reduced to 4.5m where:</w:t>
      </w:r>
    </w:p>
    <w:p w:rsidR="009451ED" w:rsidRDefault="009451ED" w:rsidP="0069586D">
      <w:pPr>
        <w:numPr>
          <w:ilvl w:val="0"/>
          <w:numId w:val="85"/>
        </w:numPr>
        <w:rPr>
          <w:rFonts w:ascii="Arial" w:hAnsi="Arial" w:cs="Arial"/>
          <w:sz w:val="20"/>
          <w:szCs w:val="20"/>
        </w:rPr>
      </w:pPr>
      <w:r w:rsidRPr="009451ED">
        <w:rPr>
          <w:rFonts w:ascii="Arial" w:hAnsi="Arial" w:cs="Arial"/>
          <w:sz w:val="20"/>
          <w:szCs w:val="20"/>
        </w:rPr>
        <w:t>the primary or secondary frontage of the lot adjoins a road reserve with a minimum rear verge width of 1m or greater and includes a footpath with a width of 2m or greater;</w:t>
      </w:r>
    </w:p>
    <w:p w:rsidR="009451ED" w:rsidRPr="009451ED" w:rsidRDefault="009451ED" w:rsidP="0069586D">
      <w:pPr>
        <w:numPr>
          <w:ilvl w:val="0"/>
          <w:numId w:val="85"/>
        </w:numPr>
        <w:rPr>
          <w:rFonts w:ascii="Arial" w:hAnsi="Arial" w:cs="Arial"/>
          <w:sz w:val="20"/>
          <w:szCs w:val="20"/>
        </w:rPr>
      </w:pPr>
      <w:r w:rsidRPr="009451ED">
        <w:rPr>
          <w:rFonts w:ascii="Arial" w:hAnsi="Arial" w:cs="Arial"/>
          <w:sz w:val="20"/>
          <w:szCs w:val="20"/>
        </w:rPr>
        <w:t>the lot has a primary frontage greater than 7.5m and no greater than 10m (Lot type B).</w:t>
      </w: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296"/>
        <w:gridCol w:w="1522"/>
        <w:gridCol w:w="1531"/>
        <w:gridCol w:w="1317"/>
        <w:gridCol w:w="1447"/>
        <w:gridCol w:w="1383"/>
        <w:gridCol w:w="1383"/>
        <w:gridCol w:w="1383"/>
        <w:gridCol w:w="1353"/>
      </w:tblGrid>
      <w:tr w:rsidR="009451ED" w:rsidRPr="009451ED" w:rsidTr="00DB20B8">
        <w:trPr>
          <w:tblCellSpacing w:w="15" w:type="dxa"/>
        </w:trPr>
        <w:tc>
          <w:tcPr>
            <w:tcW w:w="0" w:type="auto"/>
            <w:gridSpan w:val="11"/>
            <w:tcBorders>
              <w:top w:val="nil"/>
              <w:left w:val="nil"/>
              <w:bottom w:val="nil"/>
              <w:right w:val="nil"/>
            </w:tcBorders>
            <w:shd w:val="clear" w:color="auto" w:fill="CCCCCC"/>
            <w:vAlign w:val="center"/>
            <w:hideMark/>
          </w:tcPr>
          <w:p w:rsidR="009451ED" w:rsidRPr="009451ED" w:rsidRDefault="009451ED"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9.3.1.6 Setbacks</w:t>
            </w:r>
          </w:p>
        </w:tc>
      </w:tr>
      <w:tr w:rsidR="009451ED" w:rsidRPr="009451ED" w:rsidTr="00DB20B8">
        <w:trPr>
          <w:tblCellSpacing w:w="15" w:type="dxa"/>
        </w:trPr>
        <w:tc>
          <w:tcPr>
            <w:tcW w:w="5605"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General residential zone - Urban neighbourhood precinct, and Emerging community zone - Transition precinct (developed lot) and identified in the Morayfield South urban area on Figure 9.3.1.1</w:t>
            </w:r>
          </w:p>
        </w:tc>
      </w:tr>
      <w:tr w:rsidR="009451ED" w:rsidRPr="009451ED" w:rsidTr="00DB20B8">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293"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20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Frontage </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rsidTr="00DB20B8">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21"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96"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DB20B8">
            <w:pPr>
              <w:rPr>
                <w:rFonts w:ascii="Arial" w:eastAsia="Times New Roman"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wall</w:t>
            </w:r>
          </w:p>
        </w:tc>
        <w:tc>
          <w:tcPr>
            <w:tcW w:w="428"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p>
        </w:tc>
        <w:tc>
          <w:tcPr>
            <w:tcW w:w="471"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DB20B8">
            <w:pPr>
              <w:rPr>
                <w:rFonts w:ascii="Arial" w:eastAsia="Times New Roman"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DB20B8">
            <w:pPr>
              <w:rPr>
                <w:rFonts w:ascii="Arial" w:hAnsi="Arial" w:cs="Arial"/>
                <w:sz w:val="20"/>
                <w:szCs w:val="20"/>
              </w:rPr>
            </w:pPr>
          </w:p>
        </w:tc>
      </w:tr>
      <w:tr w:rsidR="009451ED" w:rsidRPr="009451ED" w:rsidTr="00DB20B8">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Less than4.5m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5.4m</w:t>
            </w:r>
          </w:p>
        </w:tc>
        <w:tc>
          <w:tcPr>
            <w:tcW w:w="49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5.4m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rsidTr="00DB20B8">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4.5 to 8.5m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r w:rsidR="009451ED" w:rsidRPr="009451ED" w:rsidTr="00DB20B8">
        <w:trPr>
          <w:trHeight w:val="1200"/>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5m</w:t>
            </w:r>
          </w:p>
        </w:tc>
        <w:tc>
          <w:tcPr>
            <w:tcW w:w="42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3m</w:t>
            </w:r>
          </w:p>
        </w:tc>
        <w:tc>
          <w:tcPr>
            <w:tcW w:w="49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2m</w:t>
            </w:r>
          </w:p>
        </w:tc>
        <w:tc>
          <w:tcPr>
            <w:tcW w:w="428"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Min 4.5m</w:t>
            </w:r>
          </w:p>
        </w:tc>
      </w:tr>
    </w:tbl>
    <w:p w:rsidR="009451ED" w:rsidRDefault="009451ED">
      <w:pPr>
        <w:rPr>
          <w:rFonts w:ascii="Arial" w:hAnsi="Arial" w:cs="Arial"/>
        </w:rPr>
      </w:pPr>
    </w:p>
    <w:p w:rsidR="009451ED" w:rsidRDefault="009451ED">
      <w:pPr>
        <w:rPr>
          <w:rFonts w:ascii="Arial" w:hAnsi="Arial" w:cs="Arial"/>
        </w:rPr>
      </w:pPr>
    </w:p>
    <w:p w:rsidR="00534E2C" w:rsidRDefault="00534E2C" w:rsidP="00534E2C">
      <w:pPr>
        <w:rPr>
          <w:rFonts w:ascii="Arial" w:hAnsi="Arial" w:cs="Arial"/>
        </w:rPr>
      </w:pPr>
    </w:p>
    <w:p w:rsidR="00F75CAD" w:rsidRDefault="00F75CAD" w:rsidP="00534E2C">
      <w:pPr>
        <w:rPr>
          <w:rFonts w:ascii="Arial" w:hAnsi="Arial" w:cs="Arial"/>
        </w:rPr>
      </w:pPr>
    </w:p>
    <w:p w:rsidR="00F75CAD" w:rsidRDefault="00F75CAD" w:rsidP="00534E2C">
      <w:pPr>
        <w:rPr>
          <w:rFonts w:ascii="Arial" w:hAnsi="Arial" w:cs="Arial"/>
        </w:rPr>
      </w:pPr>
    </w:p>
    <w:p w:rsidR="00F75CAD" w:rsidRDefault="00F75CAD" w:rsidP="00534E2C">
      <w:pPr>
        <w:rPr>
          <w:rFonts w:ascii="Arial" w:hAnsi="Arial" w:cs="Arial"/>
        </w:rPr>
      </w:pPr>
    </w:p>
    <w:p w:rsidR="00F75CAD" w:rsidRDefault="00F75CAD" w:rsidP="00534E2C">
      <w:pPr>
        <w:rPr>
          <w:rFonts w:ascii="Arial" w:hAnsi="Arial" w:cs="Arial"/>
        </w:rPr>
      </w:pPr>
    </w:p>
    <w:p w:rsidR="00F75CAD" w:rsidRDefault="00F75CAD" w:rsidP="00534E2C">
      <w:pPr>
        <w:rPr>
          <w:rFonts w:ascii="Arial" w:hAnsi="Arial" w:cs="Arial"/>
        </w:rPr>
      </w:pPr>
    </w:p>
    <w:p w:rsidR="00F75CAD" w:rsidRDefault="00F75CAD" w:rsidP="00534E2C">
      <w:pPr>
        <w:rPr>
          <w:rFonts w:ascii="Arial" w:hAnsi="Arial" w:cs="Arial"/>
        </w:rPr>
      </w:pPr>
    </w:p>
    <w:p w:rsidR="00534E2C" w:rsidRDefault="00534E2C" w:rsidP="00534E2C">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62"/>
        <w:gridCol w:w="1260"/>
        <w:gridCol w:w="1543"/>
        <w:gridCol w:w="1353"/>
        <w:gridCol w:w="1374"/>
        <w:gridCol w:w="1552"/>
        <w:gridCol w:w="1429"/>
        <w:gridCol w:w="1510"/>
        <w:gridCol w:w="1359"/>
        <w:gridCol w:w="1257"/>
      </w:tblGrid>
      <w:tr w:rsidR="00534E2C" w:rsidRPr="009451ED" w:rsidTr="0078208D">
        <w:trPr>
          <w:tblCellSpacing w:w="15" w:type="dxa"/>
        </w:trPr>
        <w:tc>
          <w:tcPr>
            <w:tcW w:w="0" w:type="auto"/>
            <w:gridSpan w:val="11"/>
            <w:tcBorders>
              <w:top w:val="nil"/>
              <w:left w:val="nil"/>
              <w:bottom w:val="nil"/>
              <w:right w:val="nil"/>
            </w:tcBorders>
            <w:shd w:val="clear" w:color="auto" w:fill="CCCCCC"/>
            <w:vAlign w:val="center"/>
            <w:hideMark/>
          </w:tcPr>
          <w:p w:rsidR="00534E2C" w:rsidRPr="009451ED" w:rsidRDefault="00534E2C" w:rsidP="0078208D">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w:t>
            </w:r>
            <w:r>
              <w:rPr>
                <w:rStyle w:val="Strong"/>
                <w:rFonts w:ascii="Arial" w:eastAsia="Times New Roman" w:hAnsi="Arial" w:cs="Arial"/>
                <w:sz w:val="20"/>
                <w:szCs w:val="20"/>
              </w:rPr>
              <w:t>7</w:t>
            </w:r>
            <w:r w:rsidRPr="009451ED">
              <w:rPr>
                <w:rStyle w:val="Strong"/>
                <w:rFonts w:ascii="Arial" w:eastAsia="Times New Roman" w:hAnsi="Arial" w:cs="Arial"/>
                <w:sz w:val="20"/>
                <w:szCs w:val="20"/>
              </w:rPr>
              <w:t xml:space="preserve"> Setbacks</w:t>
            </w:r>
          </w:p>
        </w:tc>
      </w:tr>
      <w:tr w:rsidR="00534E2C" w:rsidRPr="009451ED" w:rsidTr="0078208D">
        <w:trPr>
          <w:tblCellSpacing w:w="15" w:type="dxa"/>
        </w:trPr>
        <w:tc>
          <w:tcPr>
            <w:tcW w:w="5699"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534E2C" w:rsidRPr="00534E2C" w:rsidRDefault="00534E2C" w:rsidP="0078208D">
            <w:pPr>
              <w:pStyle w:val="NormalWeb"/>
              <w:jc w:val="center"/>
              <w:rPr>
                <w:rFonts w:ascii="Arial" w:hAnsi="Arial" w:cs="Arial"/>
                <w:sz w:val="20"/>
                <w:szCs w:val="20"/>
              </w:rPr>
            </w:pPr>
            <w:r w:rsidRPr="009451ED">
              <w:rPr>
                <w:rStyle w:val="Strong"/>
                <w:rFonts w:ascii="Arial" w:hAnsi="Arial" w:cs="Arial"/>
                <w:sz w:val="20"/>
                <w:szCs w:val="20"/>
              </w:rPr>
              <w:t> </w:t>
            </w:r>
            <w:r w:rsidRPr="00534E2C">
              <w:rPr>
                <w:rStyle w:val="Strong"/>
                <w:rFonts w:ascii="Arial" w:hAnsi="Arial" w:cs="Arial"/>
                <w:sz w:val="20"/>
                <w:szCs w:val="20"/>
              </w:rPr>
              <w:t>C</w:t>
            </w:r>
            <w:r w:rsidRPr="00CB25C6">
              <w:rPr>
                <w:rStyle w:val="Strong"/>
                <w:rFonts w:ascii="Arial" w:hAnsi="Arial" w:cs="Arial"/>
                <w:sz w:val="20"/>
              </w:rPr>
              <w:t>aboolture West Local Plan - Urban living precinct - Next generation sub-precinct</w:t>
            </w:r>
            <w:r w:rsidRPr="00534E2C">
              <w:rPr>
                <w:rStyle w:val="Strong"/>
                <w:rFonts w:ascii="Arial" w:hAnsi="Arial" w:cs="Arial"/>
                <w:sz w:val="20"/>
                <w:szCs w:val="20"/>
              </w:rPr>
              <w:t xml:space="preserve"> </w:t>
            </w:r>
          </w:p>
        </w:tc>
      </w:tr>
      <w:tr w:rsidR="00534E2C" w:rsidRPr="009451ED" w:rsidTr="0078208D">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2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534E2C" w:rsidRPr="009451ED" w:rsidTr="0078208D">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E2C" w:rsidRPr="009451ED" w:rsidRDefault="00534E2C" w:rsidP="0078208D">
            <w:pPr>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To wall</w:t>
            </w:r>
          </w:p>
        </w:tc>
        <w:tc>
          <w:tcPr>
            <w:tcW w:w="409"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To OMP</w:t>
            </w:r>
          </w:p>
        </w:tc>
        <w:tc>
          <w:tcPr>
            <w:tcW w:w="503"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534E2C" w:rsidRPr="009451ED" w:rsidRDefault="00534E2C" w:rsidP="0078208D">
            <w:pPr>
              <w:rPr>
                <w:rFonts w:ascii="Arial" w:eastAsia="Times New Roman"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To wall</w:t>
            </w:r>
          </w:p>
        </w:tc>
        <w:tc>
          <w:tcPr>
            <w:tcW w:w="447"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To OMP</w:t>
            </w:r>
          </w:p>
        </w:tc>
        <w:tc>
          <w:tcPr>
            <w:tcW w:w="506"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534E2C" w:rsidRPr="009451ED" w:rsidRDefault="00534E2C" w:rsidP="0078208D">
            <w:pPr>
              <w:rPr>
                <w:rFonts w:ascii="Arial" w:eastAsia="Times New Roman" w:hAnsi="Arial" w:cs="Arial"/>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534E2C" w:rsidRPr="009451ED" w:rsidRDefault="00534E2C" w:rsidP="0078208D">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E2C" w:rsidRPr="009451ED" w:rsidRDefault="00534E2C" w:rsidP="0078208D">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E2C" w:rsidRPr="009451ED" w:rsidRDefault="00534E2C" w:rsidP="0078208D">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E2C" w:rsidRPr="009451ED" w:rsidRDefault="00534E2C" w:rsidP="0078208D">
            <w:pPr>
              <w:rPr>
                <w:rFonts w:ascii="Arial" w:hAnsi="Arial" w:cs="Arial"/>
                <w:sz w:val="20"/>
                <w:szCs w:val="20"/>
              </w:rPr>
            </w:pPr>
          </w:p>
        </w:tc>
      </w:tr>
      <w:tr w:rsidR="00534E2C" w:rsidRPr="009451ED" w:rsidTr="0078208D">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Style w:val="Strong"/>
                <w:rFonts w:ascii="Arial" w:hAnsi="Arial" w:cs="Arial"/>
                <w:sz w:val="20"/>
                <w:szCs w:val="20"/>
              </w:rPr>
              <w:t>Less than 4.5m</w:t>
            </w:r>
          </w:p>
        </w:tc>
        <w:tc>
          <w:tcPr>
            <w:tcW w:w="443"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5.4m*</w:t>
            </w:r>
          </w:p>
        </w:tc>
        <w:tc>
          <w:tcPr>
            <w:tcW w:w="440"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5.4m*</w:t>
            </w:r>
          </w:p>
        </w:tc>
        <w:tc>
          <w:tcPr>
            <w:tcW w:w="465"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rPr>
                <w:rFonts w:ascii="Arial" w:eastAsia="Times New Roman" w:hAnsi="Arial" w:cs="Arial"/>
                <w:sz w:val="20"/>
                <w:szCs w:val="20"/>
              </w:rPr>
            </w:pPr>
            <w:r w:rsidRPr="00534E2C">
              <w:rPr>
                <w:rFonts w:ascii="Arial" w:eastAsia="Times New Roman" w:hAnsi="Arial" w:cs="Arial"/>
                <w:sz w:val="20"/>
                <w:szCs w:val="20"/>
              </w:rPr>
              <w:t>F</w:t>
            </w:r>
            <w:r w:rsidRPr="00CB25C6">
              <w:rPr>
                <w:rFonts w:ascii="Arial" w:eastAsia="Times New Roman" w:hAnsi="Arial" w:cs="Arial"/>
                <w:sz w:val="20"/>
                <w:szCs w:val="20"/>
              </w:rPr>
              <w:t>or lots</w:t>
            </w:r>
            <w:r>
              <w:rPr>
                <w:rFonts w:ascii="Arial" w:eastAsia="Times New Roman" w:hAnsi="Arial" w:cs="Arial"/>
                <w:sz w:val="20"/>
                <w:szCs w:val="20"/>
              </w:rPr>
              <w:t xml:space="preserve"> </w:t>
            </w:r>
            <w:r w:rsidRPr="00CB25C6">
              <w:rPr>
                <w:rFonts w:ascii="Arial" w:eastAsia="Times New Roman" w:hAnsi="Arial" w:cs="Arial"/>
                <w:sz w:val="20"/>
                <w:szCs w:val="16"/>
              </w:rPr>
              <w:t>with</w:t>
            </w:r>
            <w:r>
              <w:rPr>
                <w:rFonts w:ascii="Arial" w:eastAsia="Times New Roman" w:hAnsi="Arial" w:cs="Arial"/>
                <w:szCs w:val="20"/>
              </w:rPr>
              <w:t xml:space="preserve"> </w:t>
            </w:r>
            <w:r w:rsidRPr="00CB25C6">
              <w:rPr>
                <w:rFonts w:ascii="Arial" w:eastAsia="Times New Roman" w:hAnsi="Arial" w:cs="Arial"/>
                <w:sz w:val="20"/>
                <w:szCs w:val="16"/>
              </w:rPr>
              <w:t xml:space="preserve">a frontage &lt;9.5m - </w:t>
            </w:r>
            <w:r w:rsidRPr="009451ED">
              <w:rPr>
                <w:rFonts w:ascii="Arial" w:eastAsia="Times New Roman" w:hAnsi="Arial" w:cs="Arial"/>
                <w:sz w:val="20"/>
                <w:szCs w:val="20"/>
              </w:rPr>
              <w:t>Refer to standard as in QDC</w:t>
            </w:r>
            <w:r>
              <w:rPr>
                <w:rFonts w:ascii="Arial" w:eastAsia="Times New Roman" w:hAnsi="Arial" w:cs="Arial"/>
                <w:sz w:val="20"/>
                <w:szCs w:val="20"/>
              </w:rPr>
              <w:t>;</w:t>
            </w:r>
            <w:r>
              <w:rPr>
                <w:rFonts w:ascii="Arial" w:eastAsia="Times New Roman" w:hAnsi="Arial" w:cs="Arial"/>
                <w:szCs w:val="20"/>
              </w:rPr>
              <w:t xml:space="preserve"> </w:t>
            </w:r>
            <w:r w:rsidRPr="00CB25C6">
              <w:rPr>
                <w:rFonts w:ascii="Arial" w:eastAsia="Times New Roman" w:hAnsi="Arial" w:cs="Arial"/>
                <w:sz w:val="20"/>
                <w:szCs w:val="16"/>
              </w:rPr>
              <w:t xml:space="preserve">or </w:t>
            </w:r>
            <w:proofErr w:type="gramStart"/>
            <w:r w:rsidRPr="00CB25C6">
              <w:rPr>
                <w:rFonts w:ascii="Arial" w:eastAsia="Times New Roman" w:hAnsi="Arial" w:cs="Arial"/>
                <w:sz w:val="20"/>
                <w:szCs w:val="16"/>
              </w:rPr>
              <w:t>For</w:t>
            </w:r>
            <w:proofErr w:type="gramEnd"/>
            <w:r w:rsidRPr="00CB25C6">
              <w:rPr>
                <w:rFonts w:ascii="Arial" w:eastAsia="Times New Roman" w:hAnsi="Arial" w:cs="Arial"/>
                <w:sz w:val="20"/>
                <w:szCs w:val="16"/>
              </w:rPr>
              <w:t xml:space="preserve"> lots with a frontage </w:t>
            </w:r>
            <w:r w:rsidRPr="00CB25C6">
              <w:rPr>
                <w:rFonts w:ascii="Arial" w:eastAsia="Times New Roman" w:hAnsi="Arial" w:cs="Arial"/>
                <w:sz w:val="20"/>
                <w:szCs w:val="16"/>
                <w:u w:val="single"/>
              </w:rPr>
              <w:t>&gt;</w:t>
            </w:r>
            <w:r w:rsidRPr="00CB25C6">
              <w:rPr>
                <w:rFonts w:ascii="Arial" w:eastAsia="Times New Roman" w:hAnsi="Arial" w:cs="Arial"/>
                <w:sz w:val="20"/>
                <w:szCs w:val="16"/>
              </w:rPr>
              <w:t>9.5m - Min 5m</w:t>
            </w:r>
          </w:p>
        </w:tc>
        <w:tc>
          <w:tcPr>
            <w:tcW w:w="437"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4.5m</w:t>
            </w:r>
          </w:p>
        </w:tc>
      </w:tr>
      <w:tr w:rsidR="00534E2C" w:rsidRPr="009451ED" w:rsidTr="0078208D">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Style w:val="Strong"/>
                <w:rFonts w:ascii="Arial" w:hAnsi="Arial" w:cs="Arial"/>
                <w:sz w:val="20"/>
                <w:szCs w:val="20"/>
              </w:rPr>
              <w:t>4.5m to 8.5m</w:t>
            </w:r>
          </w:p>
        </w:tc>
        <w:tc>
          <w:tcPr>
            <w:tcW w:w="443"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rPr>
                <w:rFonts w:ascii="Arial" w:eastAsia="Times New Roman" w:hAnsi="Arial" w:cs="Arial"/>
                <w:sz w:val="20"/>
                <w:szCs w:val="20"/>
              </w:rPr>
            </w:pPr>
            <w:r w:rsidRPr="00534E2C">
              <w:rPr>
                <w:rFonts w:ascii="Arial" w:eastAsia="Times New Roman" w:hAnsi="Arial" w:cs="Arial"/>
                <w:sz w:val="20"/>
                <w:szCs w:val="20"/>
              </w:rPr>
              <w:t>F</w:t>
            </w:r>
            <w:r w:rsidRPr="0078208D">
              <w:rPr>
                <w:rFonts w:ascii="Arial" w:eastAsia="Times New Roman" w:hAnsi="Arial" w:cs="Arial"/>
                <w:sz w:val="20"/>
                <w:szCs w:val="20"/>
              </w:rPr>
              <w:t>or lots</w:t>
            </w:r>
            <w:r>
              <w:rPr>
                <w:rFonts w:ascii="Arial" w:eastAsia="Times New Roman" w:hAnsi="Arial" w:cs="Arial"/>
                <w:sz w:val="20"/>
                <w:szCs w:val="20"/>
              </w:rPr>
              <w:t xml:space="preserve"> </w:t>
            </w:r>
            <w:r w:rsidRPr="0078208D">
              <w:rPr>
                <w:rFonts w:ascii="Arial" w:eastAsia="Times New Roman" w:hAnsi="Arial" w:cs="Arial"/>
                <w:sz w:val="20"/>
                <w:szCs w:val="16"/>
              </w:rPr>
              <w:t>with</w:t>
            </w:r>
            <w:r>
              <w:rPr>
                <w:rFonts w:ascii="Arial" w:eastAsia="Times New Roman" w:hAnsi="Arial" w:cs="Arial"/>
                <w:szCs w:val="20"/>
              </w:rPr>
              <w:t xml:space="preserve"> </w:t>
            </w:r>
            <w:r w:rsidRPr="0078208D">
              <w:rPr>
                <w:rFonts w:ascii="Arial" w:eastAsia="Times New Roman" w:hAnsi="Arial" w:cs="Arial"/>
                <w:sz w:val="20"/>
                <w:szCs w:val="16"/>
              </w:rPr>
              <w:t xml:space="preserve">a frontage &lt;9.5m - </w:t>
            </w:r>
            <w:r w:rsidRPr="009451ED">
              <w:rPr>
                <w:rFonts w:ascii="Arial" w:eastAsia="Times New Roman" w:hAnsi="Arial" w:cs="Arial"/>
                <w:sz w:val="20"/>
                <w:szCs w:val="20"/>
              </w:rPr>
              <w:t>Refer to standard as in QDC</w:t>
            </w:r>
            <w:r w:rsidR="00827FDD">
              <w:rPr>
                <w:rFonts w:ascii="Arial" w:eastAsia="Times New Roman" w:hAnsi="Arial" w:cs="Arial"/>
                <w:sz w:val="20"/>
                <w:szCs w:val="20"/>
              </w:rPr>
              <w:t>;</w:t>
            </w:r>
            <w:r w:rsidR="00827FDD">
              <w:rPr>
                <w:rFonts w:ascii="Arial" w:eastAsia="Times New Roman" w:hAnsi="Arial" w:cs="Arial"/>
                <w:szCs w:val="20"/>
              </w:rPr>
              <w:t xml:space="preserve"> </w:t>
            </w:r>
            <w:r w:rsidR="00827FDD" w:rsidRPr="0078208D">
              <w:rPr>
                <w:rFonts w:ascii="Arial" w:eastAsia="Times New Roman" w:hAnsi="Arial" w:cs="Arial"/>
                <w:sz w:val="20"/>
                <w:szCs w:val="16"/>
              </w:rPr>
              <w:t xml:space="preserve">or </w:t>
            </w:r>
            <w:proofErr w:type="gramStart"/>
            <w:r w:rsidR="00827FDD" w:rsidRPr="0078208D">
              <w:rPr>
                <w:rFonts w:ascii="Arial" w:eastAsia="Times New Roman" w:hAnsi="Arial" w:cs="Arial"/>
                <w:sz w:val="20"/>
                <w:szCs w:val="16"/>
              </w:rPr>
              <w:t>For</w:t>
            </w:r>
            <w:proofErr w:type="gramEnd"/>
            <w:r w:rsidR="00827FDD" w:rsidRPr="0078208D">
              <w:rPr>
                <w:rFonts w:ascii="Arial" w:eastAsia="Times New Roman" w:hAnsi="Arial" w:cs="Arial"/>
                <w:sz w:val="20"/>
                <w:szCs w:val="16"/>
              </w:rPr>
              <w:t xml:space="preserve"> lots with a frontage </w:t>
            </w:r>
            <w:r w:rsidR="00827FDD" w:rsidRPr="0078208D">
              <w:rPr>
                <w:rFonts w:ascii="Arial" w:eastAsia="Times New Roman" w:hAnsi="Arial" w:cs="Arial"/>
                <w:sz w:val="20"/>
                <w:szCs w:val="16"/>
                <w:u w:val="single"/>
              </w:rPr>
              <w:t>&gt;</w:t>
            </w:r>
            <w:r w:rsidR="00827FDD" w:rsidRPr="0078208D">
              <w:rPr>
                <w:rFonts w:ascii="Arial" w:eastAsia="Times New Roman" w:hAnsi="Arial" w:cs="Arial"/>
                <w:sz w:val="20"/>
                <w:szCs w:val="16"/>
              </w:rPr>
              <w:t>9.5m - Min 5m</w:t>
            </w:r>
          </w:p>
        </w:tc>
        <w:tc>
          <w:tcPr>
            <w:tcW w:w="437"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4.5m</w:t>
            </w:r>
          </w:p>
        </w:tc>
      </w:tr>
      <w:tr w:rsidR="00534E2C" w:rsidRPr="009451ED" w:rsidTr="0078208D">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Style w:val="Strong"/>
                <w:rFonts w:ascii="Arial" w:hAnsi="Arial" w:cs="Arial"/>
                <w:sz w:val="20"/>
                <w:szCs w:val="20"/>
              </w:rPr>
              <w:t>Greater than 8.5m</w:t>
            </w:r>
          </w:p>
        </w:tc>
        <w:tc>
          <w:tcPr>
            <w:tcW w:w="443"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6m</w:t>
            </w:r>
          </w:p>
        </w:tc>
        <w:tc>
          <w:tcPr>
            <w:tcW w:w="409"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5m</w:t>
            </w:r>
          </w:p>
        </w:tc>
        <w:tc>
          <w:tcPr>
            <w:tcW w:w="503"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3m</w:t>
            </w:r>
          </w:p>
        </w:tc>
        <w:tc>
          <w:tcPr>
            <w:tcW w:w="447"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2m</w:t>
            </w:r>
          </w:p>
        </w:tc>
        <w:tc>
          <w:tcPr>
            <w:tcW w:w="506"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rPr>
                <w:rFonts w:ascii="Arial" w:eastAsia="Times New Roman" w:hAnsi="Arial" w:cs="Arial"/>
                <w:sz w:val="20"/>
                <w:szCs w:val="20"/>
              </w:rPr>
            </w:pPr>
            <w:r w:rsidRPr="00534E2C">
              <w:rPr>
                <w:rFonts w:ascii="Arial" w:eastAsia="Times New Roman" w:hAnsi="Arial" w:cs="Arial"/>
                <w:sz w:val="20"/>
                <w:szCs w:val="20"/>
              </w:rPr>
              <w:t>F</w:t>
            </w:r>
            <w:r w:rsidRPr="0078208D">
              <w:rPr>
                <w:rFonts w:ascii="Arial" w:eastAsia="Times New Roman" w:hAnsi="Arial" w:cs="Arial"/>
                <w:sz w:val="20"/>
                <w:szCs w:val="20"/>
              </w:rPr>
              <w:t>or lots</w:t>
            </w:r>
            <w:r>
              <w:rPr>
                <w:rFonts w:ascii="Arial" w:eastAsia="Times New Roman" w:hAnsi="Arial" w:cs="Arial"/>
                <w:sz w:val="20"/>
                <w:szCs w:val="20"/>
              </w:rPr>
              <w:t xml:space="preserve"> </w:t>
            </w:r>
            <w:r w:rsidRPr="0078208D">
              <w:rPr>
                <w:rFonts w:ascii="Arial" w:eastAsia="Times New Roman" w:hAnsi="Arial" w:cs="Arial"/>
                <w:sz w:val="20"/>
                <w:szCs w:val="16"/>
              </w:rPr>
              <w:t>with</w:t>
            </w:r>
            <w:r>
              <w:rPr>
                <w:rFonts w:ascii="Arial" w:eastAsia="Times New Roman" w:hAnsi="Arial" w:cs="Arial"/>
                <w:szCs w:val="20"/>
              </w:rPr>
              <w:t xml:space="preserve"> </w:t>
            </w:r>
            <w:r w:rsidRPr="0078208D">
              <w:rPr>
                <w:rFonts w:ascii="Arial" w:eastAsia="Times New Roman" w:hAnsi="Arial" w:cs="Arial"/>
                <w:sz w:val="20"/>
                <w:szCs w:val="16"/>
              </w:rPr>
              <w:t xml:space="preserve">a frontage &lt;9.5m - </w:t>
            </w:r>
            <w:r w:rsidRPr="009451ED">
              <w:rPr>
                <w:rFonts w:ascii="Arial" w:eastAsia="Times New Roman" w:hAnsi="Arial" w:cs="Arial"/>
                <w:sz w:val="20"/>
                <w:szCs w:val="20"/>
              </w:rPr>
              <w:t>Refer to standard as in QDC</w:t>
            </w:r>
            <w:r w:rsidR="00827FDD">
              <w:rPr>
                <w:rFonts w:ascii="Arial" w:eastAsia="Times New Roman" w:hAnsi="Arial" w:cs="Arial"/>
                <w:sz w:val="20"/>
                <w:szCs w:val="20"/>
              </w:rPr>
              <w:t>;</w:t>
            </w:r>
            <w:r w:rsidR="00827FDD">
              <w:rPr>
                <w:rFonts w:ascii="Arial" w:eastAsia="Times New Roman" w:hAnsi="Arial" w:cs="Arial"/>
                <w:szCs w:val="20"/>
              </w:rPr>
              <w:t xml:space="preserve"> </w:t>
            </w:r>
            <w:r w:rsidR="00827FDD" w:rsidRPr="0078208D">
              <w:rPr>
                <w:rFonts w:ascii="Arial" w:eastAsia="Times New Roman" w:hAnsi="Arial" w:cs="Arial"/>
                <w:sz w:val="20"/>
                <w:szCs w:val="16"/>
              </w:rPr>
              <w:t xml:space="preserve">or </w:t>
            </w:r>
            <w:proofErr w:type="gramStart"/>
            <w:r w:rsidR="00827FDD" w:rsidRPr="0078208D">
              <w:rPr>
                <w:rFonts w:ascii="Arial" w:eastAsia="Times New Roman" w:hAnsi="Arial" w:cs="Arial"/>
                <w:sz w:val="20"/>
                <w:szCs w:val="16"/>
              </w:rPr>
              <w:t>For</w:t>
            </w:r>
            <w:proofErr w:type="gramEnd"/>
            <w:r w:rsidR="00827FDD" w:rsidRPr="0078208D">
              <w:rPr>
                <w:rFonts w:ascii="Arial" w:eastAsia="Times New Roman" w:hAnsi="Arial" w:cs="Arial"/>
                <w:sz w:val="20"/>
                <w:szCs w:val="16"/>
              </w:rPr>
              <w:t xml:space="preserve"> lots with a frontage </w:t>
            </w:r>
            <w:r w:rsidR="00827FDD" w:rsidRPr="0078208D">
              <w:rPr>
                <w:rFonts w:ascii="Arial" w:eastAsia="Times New Roman" w:hAnsi="Arial" w:cs="Arial"/>
                <w:sz w:val="20"/>
                <w:szCs w:val="16"/>
                <w:u w:val="single"/>
              </w:rPr>
              <w:t>&gt;</w:t>
            </w:r>
            <w:r w:rsidR="00827FDD" w:rsidRPr="0078208D">
              <w:rPr>
                <w:rFonts w:ascii="Arial" w:eastAsia="Times New Roman" w:hAnsi="Arial" w:cs="Arial"/>
                <w:sz w:val="20"/>
                <w:szCs w:val="16"/>
              </w:rPr>
              <w:t>9.5m - Min 5m</w:t>
            </w:r>
          </w:p>
        </w:tc>
        <w:tc>
          <w:tcPr>
            <w:tcW w:w="437" w:type="pct"/>
            <w:tcBorders>
              <w:top w:val="single" w:sz="4" w:space="0" w:color="000000"/>
              <w:left w:val="single" w:sz="4" w:space="0" w:color="000000"/>
              <w:bottom w:val="single" w:sz="4" w:space="0" w:color="000000"/>
              <w:right w:val="single" w:sz="4" w:space="0" w:color="000000"/>
            </w:tcBorders>
            <w:hideMark/>
          </w:tcPr>
          <w:p w:rsidR="00534E2C" w:rsidRPr="009451ED" w:rsidRDefault="00534E2C" w:rsidP="0078208D">
            <w:pPr>
              <w:pStyle w:val="NormalWeb"/>
              <w:rPr>
                <w:rFonts w:ascii="Arial" w:hAnsi="Arial" w:cs="Arial"/>
                <w:sz w:val="20"/>
                <w:szCs w:val="20"/>
              </w:rPr>
            </w:pPr>
            <w:r w:rsidRPr="009451ED">
              <w:rPr>
                <w:rFonts w:ascii="Arial" w:hAnsi="Arial" w:cs="Arial"/>
                <w:sz w:val="20"/>
                <w:szCs w:val="20"/>
              </w:rPr>
              <w:t>Min 4.5m</w:t>
            </w:r>
          </w:p>
        </w:tc>
      </w:tr>
    </w:tbl>
    <w:p w:rsidR="00534E2C" w:rsidRDefault="00534E2C" w:rsidP="00534E2C">
      <w:pPr>
        <w:rPr>
          <w:rFonts w:ascii="Arial" w:hAnsi="Arial" w:cs="Arial"/>
        </w:rPr>
      </w:pPr>
    </w:p>
    <w:p w:rsidR="00534E2C" w:rsidRPr="009451ED" w:rsidRDefault="00534E2C" w:rsidP="00534E2C">
      <w:pPr>
        <w:rPr>
          <w:rFonts w:ascii="Arial" w:hAnsi="Arial" w:cs="Arial"/>
          <w:sz w:val="20"/>
          <w:szCs w:val="20"/>
        </w:rPr>
      </w:pPr>
      <w:r w:rsidRPr="009451ED">
        <w:rPr>
          <w:rFonts w:ascii="Arial" w:hAnsi="Arial" w:cs="Arial"/>
          <w:sz w:val="20"/>
          <w:szCs w:val="20"/>
        </w:rPr>
        <w:t>*Note - The minimum setback to covered car parking spaces may be reduced to 4.5m where:</w:t>
      </w:r>
    </w:p>
    <w:p w:rsidR="00534E2C" w:rsidRDefault="00534E2C" w:rsidP="00534E2C">
      <w:pPr>
        <w:numPr>
          <w:ilvl w:val="0"/>
          <w:numId w:val="96"/>
        </w:numPr>
        <w:rPr>
          <w:rFonts w:ascii="Arial" w:hAnsi="Arial" w:cs="Arial"/>
          <w:sz w:val="20"/>
          <w:szCs w:val="20"/>
        </w:rPr>
      </w:pPr>
      <w:r w:rsidRPr="009451ED">
        <w:rPr>
          <w:rFonts w:ascii="Arial" w:hAnsi="Arial" w:cs="Arial"/>
          <w:sz w:val="20"/>
          <w:szCs w:val="20"/>
        </w:rPr>
        <w:lastRenderedPageBreak/>
        <w:t>the primary or secondary frontage of the lot adjoins a road reserve with a minimum rear verge width of 1m or greater and includes a footpath with a width of 2m or greater;</w:t>
      </w:r>
    </w:p>
    <w:p w:rsidR="00534E2C" w:rsidRPr="009451ED" w:rsidRDefault="00534E2C" w:rsidP="00534E2C">
      <w:pPr>
        <w:numPr>
          <w:ilvl w:val="0"/>
          <w:numId w:val="96"/>
        </w:numPr>
        <w:rPr>
          <w:rFonts w:ascii="Arial" w:hAnsi="Arial" w:cs="Arial"/>
          <w:sz w:val="20"/>
          <w:szCs w:val="20"/>
        </w:rPr>
      </w:pPr>
      <w:r w:rsidRPr="009451ED">
        <w:rPr>
          <w:rFonts w:ascii="Arial" w:hAnsi="Arial" w:cs="Arial"/>
          <w:sz w:val="20"/>
          <w:szCs w:val="20"/>
        </w:rPr>
        <w:t>the lot has a primary frontage greater than 7.5m and no greater than 10m (Lot type B).</w:t>
      </w:r>
    </w:p>
    <w:p w:rsidR="00534E2C" w:rsidRDefault="00534E2C" w:rsidP="00534E2C">
      <w:pPr>
        <w:rPr>
          <w:rFonts w:ascii="Arial" w:hAnsi="Arial" w:cs="Arial"/>
        </w:rPr>
      </w:pPr>
    </w:p>
    <w:p w:rsidR="00534E2C" w:rsidRDefault="00534E2C" w:rsidP="00534E2C">
      <w:pPr>
        <w:rPr>
          <w:rFonts w:ascii="Arial" w:hAnsi="Arial" w:cs="Arial"/>
        </w:rPr>
      </w:pPr>
    </w:p>
    <w:p w:rsidR="00534E2C" w:rsidRDefault="00534E2C" w:rsidP="00534E2C">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687"/>
        <w:gridCol w:w="2859"/>
        <w:gridCol w:w="3125"/>
        <w:gridCol w:w="3448"/>
        <w:gridCol w:w="4279"/>
      </w:tblGrid>
      <w:tr w:rsidR="009451ED" w:rsidRPr="009451ED" w:rsidTr="00DB20B8">
        <w:trPr>
          <w:trHeight w:val="458"/>
          <w:tblCellSpacing w:w="15" w:type="dxa"/>
        </w:trPr>
        <w:tc>
          <w:tcPr>
            <w:tcW w:w="0" w:type="auto"/>
            <w:gridSpan w:val="5"/>
            <w:tcBorders>
              <w:top w:val="nil"/>
              <w:left w:val="nil"/>
              <w:bottom w:val="nil"/>
              <w:right w:val="nil"/>
            </w:tcBorders>
            <w:shd w:val="clear" w:color="auto" w:fill="CCCCCC"/>
            <w:vAlign w:val="center"/>
            <w:hideMark/>
          </w:tcPr>
          <w:p w:rsidR="009451ED" w:rsidRPr="009451ED" w:rsidRDefault="009451ED" w:rsidP="00DB20B8">
            <w:pPr>
              <w:jc w:val="center"/>
              <w:rPr>
                <w:rFonts w:ascii="Arial" w:eastAsia="Times New Roman" w:hAnsi="Arial" w:cs="Arial"/>
                <w:sz w:val="20"/>
                <w:szCs w:val="20"/>
              </w:rPr>
            </w:pPr>
            <w:r w:rsidRPr="009451ED">
              <w:rPr>
                <w:rStyle w:val="Strong"/>
                <w:rFonts w:ascii="Arial" w:eastAsia="Times New Roman" w:hAnsi="Arial" w:cs="Arial"/>
                <w:sz w:val="20"/>
                <w:szCs w:val="20"/>
              </w:rPr>
              <w:t>Table 9.3.1.</w:t>
            </w:r>
            <w:r w:rsidR="00534E2C">
              <w:rPr>
                <w:rStyle w:val="Strong"/>
                <w:rFonts w:ascii="Arial" w:eastAsia="Times New Roman" w:hAnsi="Arial" w:cs="Arial"/>
                <w:sz w:val="20"/>
                <w:szCs w:val="20"/>
              </w:rPr>
              <w:t>8</w:t>
            </w:r>
            <w:r w:rsidRPr="009451ED">
              <w:rPr>
                <w:rStyle w:val="Strong"/>
                <w:rFonts w:ascii="Arial" w:eastAsia="Times New Roman" w:hAnsi="Arial" w:cs="Arial"/>
                <w:sz w:val="20"/>
                <w:szCs w:val="20"/>
              </w:rPr>
              <w:t xml:space="preserve"> Built to boundary walls</w:t>
            </w:r>
          </w:p>
        </w:tc>
      </w:tr>
      <w:tr w:rsidR="009451ED" w:rsidRPr="009451ED" w:rsidTr="00C64A89">
        <w:trPr>
          <w:tblCellSpacing w:w="15" w:type="dxa"/>
        </w:trPr>
        <w:tc>
          <w:tcPr>
            <w:tcW w:w="53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Lot frontage width</w:t>
            </w:r>
          </w:p>
        </w:tc>
        <w:tc>
          <w:tcPr>
            <w:tcW w:w="92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Mandatory / Optional</w:t>
            </w:r>
          </w:p>
        </w:tc>
        <w:tc>
          <w:tcPr>
            <w:tcW w:w="35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DB20B8">
            <w:pPr>
              <w:pStyle w:val="NormalWeb"/>
              <w:jc w:val="center"/>
              <w:rPr>
                <w:rFonts w:ascii="Arial" w:hAnsi="Arial" w:cs="Arial"/>
                <w:sz w:val="20"/>
                <w:szCs w:val="20"/>
              </w:rPr>
            </w:pPr>
            <w:r w:rsidRPr="009451ED">
              <w:rPr>
                <w:rStyle w:val="Strong"/>
                <w:rFonts w:ascii="Arial" w:hAnsi="Arial" w:cs="Arial"/>
                <w:sz w:val="20"/>
                <w:szCs w:val="20"/>
              </w:rPr>
              <w:t>Length and height of built to boundary wall</w:t>
            </w:r>
          </w:p>
        </w:tc>
      </w:tr>
      <w:tr w:rsidR="009451ED" w:rsidRPr="009451ED" w:rsidTr="00C64A89">
        <w:trPr>
          <w:trHeight w:val="2257"/>
          <w:tblCellSpacing w:w="15" w:type="dxa"/>
        </w:trPr>
        <w:tc>
          <w:tcPr>
            <w:tcW w:w="535" w:type="pct"/>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DB20B8">
            <w:pPr>
              <w:rPr>
                <w:rFonts w:ascii="Arial" w:hAnsi="Arial" w:cs="Arial"/>
                <w:sz w:val="20"/>
                <w:szCs w:val="20"/>
              </w:rPr>
            </w:pPr>
          </w:p>
        </w:tc>
        <w:tc>
          <w:tcPr>
            <w:tcW w:w="922" w:type="pct"/>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DB20B8">
            <w:pPr>
              <w:rPr>
                <w:rFonts w:ascii="Arial" w:hAnsi="Arial" w:cs="Arial"/>
                <w:sz w:val="20"/>
                <w:szCs w:val="20"/>
              </w:rPr>
            </w:pPr>
          </w:p>
        </w:tc>
        <w:tc>
          <w:tcPr>
            <w:tcW w:w="1009"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9451ED" w:rsidRPr="009451ED" w:rsidRDefault="009451ED" w:rsidP="0069586D">
            <w:pPr>
              <w:numPr>
                <w:ilvl w:val="0"/>
                <w:numId w:val="86"/>
              </w:numPr>
              <w:rPr>
                <w:rFonts w:ascii="Arial" w:eastAsia="Times New Roman" w:hAnsi="Arial" w:cs="Arial"/>
                <w:sz w:val="20"/>
                <w:szCs w:val="20"/>
              </w:rPr>
            </w:pPr>
            <w:r w:rsidRPr="009451ED">
              <w:rPr>
                <w:rStyle w:val="Strong"/>
                <w:rFonts w:ascii="Arial" w:eastAsia="Times New Roman" w:hAnsi="Arial" w:cs="Arial"/>
                <w:sz w:val="20"/>
                <w:szCs w:val="20"/>
              </w:rPr>
              <w:t xml:space="preserve">Coastal </w:t>
            </w:r>
            <w:proofErr w:type="gramStart"/>
            <w:r w:rsidRPr="009451ED">
              <w:rPr>
                <w:rStyle w:val="Strong"/>
                <w:rFonts w:ascii="Arial" w:eastAsia="Times New Roman" w:hAnsi="Arial" w:cs="Arial"/>
                <w:sz w:val="20"/>
                <w:szCs w:val="20"/>
              </w:rPr>
              <w:t>communities</w:t>
            </w:r>
            <w:proofErr w:type="gramEnd"/>
            <w:r w:rsidRPr="009451ED">
              <w:rPr>
                <w:rStyle w:val="Strong"/>
                <w:rFonts w:ascii="Arial" w:eastAsia="Times New Roman" w:hAnsi="Arial" w:cs="Arial"/>
                <w:sz w:val="20"/>
                <w:szCs w:val="20"/>
              </w:rPr>
              <w:t xml:space="preserve"> precinct</w:t>
            </w:r>
          </w:p>
          <w:p w:rsidR="009451ED" w:rsidRPr="009451ED" w:rsidRDefault="009451ED" w:rsidP="0069586D">
            <w:pPr>
              <w:numPr>
                <w:ilvl w:val="0"/>
                <w:numId w:val="86"/>
              </w:numPr>
              <w:rPr>
                <w:rFonts w:ascii="Arial" w:eastAsia="Times New Roman" w:hAnsi="Arial" w:cs="Arial"/>
                <w:sz w:val="20"/>
                <w:szCs w:val="20"/>
              </w:rPr>
            </w:pPr>
            <w:r w:rsidRPr="009451ED">
              <w:rPr>
                <w:rStyle w:val="Strong"/>
                <w:rFonts w:ascii="Arial" w:eastAsia="Times New Roman" w:hAnsi="Arial" w:cs="Arial"/>
                <w:sz w:val="20"/>
                <w:szCs w:val="20"/>
              </w:rPr>
              <w:t>Suburban neighbourhood precinct</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Redcliffe Kippa-Ring local plan:</w:t>
            </w:r>
          </w:p>
          <w:p w:rsidR="009451ED" w:rsidRPr="009451ED" w:rsidRDefault="009451ED" w:rsidP="0069586D">
            <w:pPr>
              <w:numPr>
                <w:ilvl w:val="0"/>
                <w:numId w:val="87"/>
              </w:numPr>
              <w:rPr>
                <w:rFonts w:ascii="Arial" w:eastAsia="Times New Roman" w:hAnsi="Arial" w:cs="Arial"/>
                <w:sz w:val="20"/>
                <w:szCs w:val="20"/>
              </w:rPr>
            </w:pPr>
            <w:r w:rsidRPr="009451ED">
              <w:rPr>
                <w:rStyle w:val="Strong"/>
                <w:rFonts w:ascii="Arial" w:eastAsia="Times New Roman" w:hAnsi="Arial" w:cs="Arial"/>
                <w:sz w:val="20"/>
                <w:szCs w:val="20"/>
              </w:rPr>
              <w:t>Interim residential precinct</w:t>
            </w:r>
          </w:p>
        </w:tc>
        <w:tc>
          <w:tcPr>
            <w:tcW w:w="1114"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9451ED" w:rsidRPr="009451ED" w:rsidRDefault="009451ED" w:rsidP="0069586D">
            <w:pPr>
              <w:pStyle w:val="NormalWeb"/>
              <w:numPr>
                <w:ilvl w:val="0"/>
                <w:numId w:val="88"/>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9451ED" w:rsidRPr="009451ED" w:rsidRDefault="009451ED" w:rsidP="0069586D">
            <w:pPr>
              <w:pStyle w:val="NormalWeb"/>
              <w:numPr>
                <w:ilvl w:val="0"/>
                <w:numId w:val="89"/>
              </w:numPr>
              <w:spacing w:before="0" w:beforeAutospacing="0" w:after="0" w:afterAutospacing="0"/>
              <w:rPr>
                <w:rFonts w:ascii="Arial" w:hAnsi="Arial" w:cs="Arial"/>
                <w:sz w:val="20"/>
                <w:szCs w:val="20"/>
              </w:rPr>
            </w:pPr>
            <w:r w:rsidRPr="009451ED">
              <w:rPr>
                <w:rStyle w:val="Strong"/>
                <w:rFonts w:ascii="Arial" w:hAnsi="Arial" w:cs="Arial"/>
                <w:sz w:val="20"/>
                <w:szCs w:val="20"/>
              </w:rPr>
              <w:t>Next generation neighbourhood precinct</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Caboolture West local plan:</w:t>
            </w:r>
          </w:p>
          <w:p w:rsidR="009451ED" w:rsidRPr="009451ED" w:rsidRDefault="009451ED" w:rsidP="0069586D">
            <w:pPr>
              <w:pStyle w:val="NormalWeb"/>
              <w:numPr>
                <w:ilvl w:val="0"/>
                <w:numId w:val="90"/>
              </w:numPr>
              <w:spacing w:before="0" w:beforeAutospacing="0" w:after="0" w:afterAutospacing="0"/>
              <w:rPr>
                <w:rFonts w:ascii="Arial" w:hAnsi="Arial" w:cs="Arial"/>
                <w:sz w:val="20"/>
                <w:szCs w:val="20"/>
              </w:rPr>
            </w:pPr>
            <w:r w:rsidRPr="009451ED">
              <w:rPr>
                <w:rStyle w:val="Strong"/>
                <w:rFonts w:ascii="Arial" w:hAnsi="Arial" w:cs="Arial"/>
                <w:sz w:val="20"/>
                <w:szCs w:val="20"/>
              </w:rPr>
              <w:t>Urban living precinct (Next generation sub-precinct)</w:t>
            </w:r>
          </w:p>
        </w:tc>
        <w:tc>
          <w:tcPr>
            <w:tcW w:w="1361"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9451ED" w:rsidRPr="009451ED" w:rsidRDefault="009451ED" w:rsidP="0069586D">
            <w:pPr>
              <w:pStyle w:val="NormalWeb"/>
              <w:numPr>
                <w:ilvl w:val="0"/>
                <w:numId w:val="91"/>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 if within the Morayfield South urban area on Figure 9.3.1.1</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9451ED" w:rsidRPr="009451ED" w:rsidRDefault="009451ED" w:rsidP="0069586D">
            <w:pPr>
              <w:pStyle w:val="NormalWeb"/>
              <w:numPr>
                <w:ilvl w:val="0"/>
                <w:numId w:val="92"/>
              </w:numPr>
              <w:spacing w:before="0" w:beforeAutospacing="0" w:after="0" w:afterAutospacing="0"/>
              <w:rPr>
                <w:rFonts w:ascii="Arial" w:hAnsi="Arial" w:cs="Arial"/>
                <w:sz w:val="20"/>
                <w:szCs w:val="20"/>
              </w:rPr>
            </w:pPr>
            <w:r w:rsidRPr="009451ED">
              <w:rPr>
                <w:rStyle w:val="Strong"/>
                <w:rFonts w:ascii="Arial" w:hAnsi="Arial" w:cs="Arial"/>
                <w:sz w:val="20"/>
                <w:szCs w:val="20"/>
              </w:rPr>
              <w:t>Urban neighbourhood precinct</w:t>
            </w:r>
          </w:p>
        </w:tc>
      </w:tr>
      <w:tr w:rsidR="009451ED" w:rsidRPr="009451ED" w:rsidTr="00C64A89">
        <w:trPr>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7.5m or less</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Mandatory - both sides unless a corner lot</w:t>
            </w:r>
          </w:p>
        </w:tc>
        <w:tc>
          <w:tcPr>
            <w:tcW w:w="100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Not permitted*</w:t>
            </w:r>
          </w:p>
        </w:tc>
        <w:tc>
          <w:tcPr>
            <w:tcW w:w="111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7.5m</w:t>
            </w:r>
          </w:p>
        </w:tc>
        <w:tc>
          <w:tcPr>
            <w:tcW w:w="1361"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8.5m</w:t>
            </w:r>
          </w:p>
        </w:tc>
      </w:tr>
      <w:tr w:rsidR="009451ED" w:rsidRPr="009451ED" w:rsidTr="00C64A89">
        <w:trPr>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More than 7.5m to 12.5m</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Mandatory - one side</w:t>
            </w:r>
          </w:p>
        </w:tc>
        <w:tc>
          <w:tcPr>
            <w:tcW w:w="100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Not permitted*</w:t>
            </w:r>
          </w:p>
        </w:tc>
        <w:tc>
          <w:tcPr>
            <w:tcW w:w="111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Max Length: 60% of the length of the boundary OR 80% if the lot adjoining that boundary has a frontage of 7.5m or less.</w:t>
            </w:r>
            <w:r w:rsidRPr="009451ED">
              <w:rPr>
                <w:rFonts w:ascii="Arial" w:hAnsi="Arial" w:cs="Arial"/>
                <w:sz w:val="20"/>
                <w:szCs w:val="20"/>
              </w:rPr>
              <w:br/>
              <w:t>Max Height: 7.5m</w:t>
            </w:r>
          </w:p>
        </w:tc>
        <w:tc>
          <w:tcPr>
            <w:tcW w:w="1361"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Max Length: 70% of the length of the boundary</w:t>
            </w:r>
            <w:r w:rsidRPr="009451ED">
              <w:rPr>
                <w:rFonts w:ascii="Arial" w:hAnsi="Arial" w:cs="Arial"/>
                <w:sz w:val="20"/>
                <w:szCs w:val="20"/>
              </w:rPr>
              <w:br/>
              <w:t>Max Height: 10.5m</w:t>
            </w:r>
          </w:p>
        </w:tc>
      </w:tr>
      <w:tr w:rsidR="009451ED" w:rsidRPr="009451ED" w:rsidTr="00C64A89">
        <w:trPr>
          <w:trHeight w:val="1440"/>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More than 12.5m to 18m</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Optional:</w:t>
            </w:r>
          </w:p>
          <w:p w:rsidR="009451ED" w:rsidRPr="009451ED" w:rsidRDefault="009451ED" w:rsidP="0069586D">
            <w:pPr>
              <w:pStyle w:val="NormalWeb"/>
              <w:numPr>
                <w:ilvl w:val="0"/>
                <w:numId w:val="93"/>
              </w:numPr>
              <w:rPr>
                <w:rFonts w:ascii="Arial" w:hAnsi="Arial" w:cs="Arial"/>
                <w:sz w:val="20"/>
                <w:szCs w:val="20"/>
              </w:rPr>
            </w:pPr>
            <w:r w:rsidRPr="009451ED">
              <w:rPr>
                <w:rFonts w:ascii="Arial" w:hAnsi="Arial" w:cs="Arial"/>
                <w:sz w:val="20"/>
                <w:szCs w:val="20"/>
              </w:rPr>
              <w:t>on 1 boundary only;</w:t>
            </w:r>
          </w:p>
          <w:p w:rsidR="009451ED" w:rsidRPr="009451ED" w:rsidRDefault="009451ED" w:rsidP="0069586D">
            <w:pPr>
              <w:pStyle w:val="NormalWeb"/>
              <w:numPr>
                <w:ilvl w:val="0"/>
                <w:numId w:val="93"/>
              </w:numPr>
              <w:rPr>
                <w:rFonts w:ascii="Arial" w:hAnsi="Arial" w:cs="Arial"/>
                <w:sz w:val="20"/>
                <w:szCs w:val="20"/>
              </w:rPr>
            </w:pPr>
            <w:r w:rsidRPr="009451ED">
              <w:rPr>
                <w:rFonts w:ascii="Arial" w:hAnsi="Arial" w:cs="Arial"/>
                <w:sz w:val="20"/>
                <w:szCs w:val="20"/>
              </w:rPr>
              <w:t>where the built to boundary wall adjoins a lot with a frontage less than 18m.</w:t>
            </w:r>
          </w:p>
          <w:p w:rsidR="009451ED" w:rsidRPr="009451ED" w:rsidRDefault="009451ED" w:rsidP="00DB20B8">
            <w:pPr>
              <w:pStyle w:val="NormalWeb"/>
              <w:rPr>
                <w:rFonts w:ascii="Arial" w:hAnsi="Arial" w:cs="Arial"/>
                <w:sz w:val="20"/>
                <w:szCs w:val="20"/>
              </w:rPr>
            </w:pPr>
            <w:r w:rsidRPr="009451ED">
              <w:rPr>
                <w:rFonts w:ascii="Arial" w:hAnsi="Arial" w:cs="Arial"/>
                <w:sz w:val="20"/>
                <w:szCs w:val="20"/>
              </w:rPr>
              <w:t>Not permitted - Otherwise</w:t>
            </w:r>
          </w:p>
        </w:tc>
        <w:tc>
          <w:tcPr>
            <w:tcW w:w="100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Not permitted*</w:t>
            </w:r>
          </w:p>
        </w:tc>
        <w:tc>
          <w:tcPr>
            <w:tcW w:w="111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7.5m</w:t>
            </w:r>
          </w:p>
        </w:tc>
        <w:tc>
          <w:tcPr>
            <w:tcW w:w="1361" w:type="pct"/>
            <w:tcBorders>
              <w:top w:val="outset" w:sz="6" w:space="0" w:color="auto"/>
              <w:left w:val="outset" w:sz="6" w:space="0" w:color="auto"/>
              <w:bottom w:val="outset" w:sz="6" w:space="0" w:color="auto"/>
              <w:right w:val="outset" w:sz="6" w:space="0" w:color="auto"/>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10.5m</w:t>
            </w:r>
          </w:p>
        </w:tc>
      </w:tr>
      <w:tr w:rsidR="009451ED" w:rsidRPr="009451ED" w:rsidTr="00C64A89">
        <w:trPr>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Style w:val="Strong"/>
                <w:rFonts w:ascii="Arial" w:hAnsi="Arial" w:cs="Arial"/>
                <w:sz w:val="20"/>
                <w:szCs w:val="20"/>
              </w:rPr>
              <w:t>Greater than 18m</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pStyle w:val="NormalWeb"/>
              <w:rPr>
                <w:rFonts w:ascii="Arial" w:hAnsi="Arial" w:cs="Arial"/>
                <w:sz w:val="20"/>
                <w:szCs w:val="20"/>
              </w:rPr>
            </w:pPr>
            <w:r w:rsidRPr="009451ED">
              <w:rPr>
                <w:rFonts w:ascii="Arial" w:hAnsi="Arial" w:cs="Arial"/>
                <w:sz w:val="20"/>
                <w:szCs w:val="20"/>
              </w:rPr>
              <w:t>Not permitted*</w:t>
            </w:r>
          </w:p>
        </w:tc>
        <w:tc>
          <w:tcPr>
            <w:tcW w:w="10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Not permitted*</w:t>
            </w:r>
          </w:p>
        </w:tc>
        <w:tc>
          <w:tcPr>
            <w:tcW w:w="1114"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Not permitted*</w:t>
            </w:r>
          </w:p>
        </w:tc>
        <w:tc>
          <w:tcPr>
            <w:tcW w:w="136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DB20B8">
            <w:pPr>
              <w:rPr>
                <w:rFonts w:ascii="Arial" w:eastAsia="Times New Roman" w:hAnsi="Arial" w:cs="Arial"/>
                <w:sz w:val="20"/>
                <w:szCs w:val="20"/>
              </w:rPr>
            </w:pPr>
            <w:r w:rsidRPr="009451ED">
              <w:rPr>
                <w:rFonts w:ascii="Arial" w:eastAsia="Times New Roman" w:hAnsi="Arial" w:cs="Arial"/>
                <w:sz w:val="20"/>
                <w:szCs w:val="20"/>
              </w:rPr>
              <w:t>Not permitted*</w:t>
            </w:r>
          </w:p>
        </w:tc>
      </w:tr>
    </w:tbl>
    <w:p w:rsidR="009451ED" w:rsidRDefault="009451ED">
      <w:pPr>
        <w:rPr>
          <w:rFonts w:ascii="Arial" w:hAnsi="Arial" w:cs="Arial"/>
        </w:rPr>
      </w:pPr>
    </w:p>
    <w:p w:rsidR="009451ED" w:rsidRPr="009451ED" w:rsidRDefault="009451ED" w:rsidP="009451ED">
      <w:pPr>
        <w:rPr>
          <w:rFonts w:ascii="Arial" w:hAnsi="Arial" w:cs="Arial"/>
          <w:sz w:val="20"/>
          <w:szCs w:val="20"/>
        </w:rPr>
      </w:pPr>
      <w:r w:rsidRPr="009451ED">
        <w:rPr>
          <w:rFonts w:ascii="Arial" w:hAnsi="Arial" w:cs="Arial"/>
          <w:sz w:val="20"/>
          <w:szCs w:val="20"/>
        </w:rPr>
        <w:t>Note -The above setbacks apply only to Class 1a and Class 10a buildings/structures.</w:t>
      </w:r>
    </w:p>
    <w:p w:rsidR="009451ED" w:rsidRPr="009451ED" w:rsidRDefault="009451ED" w:rsidP="009451ED">
      <w:pPr>
        <w:rPr>
          <w:rFonts w:ascii="Arial" w:hAnsi="Arial" w:cs="Arial"/>
          <w:sz w:val="20"/>
          <w:szCs w:val="20"/>
        </w:rPr>
      </w:pPr>
      <w:r w:rsidRPr="009451ED">
        <w:rPr>
          <w:rFonts w:ascii="Arial" w:hAnsi="Arial" w:cs="Arial"/>
          <w:sz w:val="20"/>
          <w:szCs w:val="20"/>
        </w:rPr>
        <w:br/>
        <w:t>Note - Max Length includes the length of walls of any other buildings on the same boundary. e.g. detached garage, carport or shed.</w:t>
      </w:r>
    </w:p>
    <w:p w:rsidR="009451ED" w:rsidRPr="009451ED" w:rsidRDefault="009451ED" w:rsidP="009451ED">
      <w:pPr>
        <w:rPr>
          <w:rFonts w:ascii="Arial" w:hAnsi="Arial" w:cs="Arial"/>
          <w:sz w:val="20"/>
          <w:szCs w:val="20"/>
        </w:rPr>
      </w:pPr>
      <w:r w:rsidRPr="009451ED">
        <w:rPr>
          <w:rFonts w:ascii="Arial" w:hAnsi="Arial" w:cs="Arial"/>
          <w:sz w:val="20"/>
          <w:szCs w:val="20"/>
        </w:rPr>
        <w:br/>
        <w:t>Note - For the maximum height of domestic outbuildings refer to the examples that achieve aspects of the performance outcomes for building height and domestic outbuildings.</w:t>
      </w:r>
    </w:p>
    <w:p w:rsidR="009451ED" w:rsidRPr="009451ED" w:rsidRDefault="009451ED">
      <w:pPr>
        <w:rPr>
          <w:rFonts w:ascii="Arial" w:hAnsi="Arial" w:cs="Arial"/>
          <w:sz w:val="20"/>
          <w:szCs w:val="20"/>
        </w:rPr>
      </w:pPr>
    </w:p>
    <w:p w:rsidR="009451ED" w:rsidRPr="009451ED" w:rsidRDefault="009451ED">
      <w:pPr>
        <w:rPr>
          <w:rFonts w:ascii="Arial" w:hAnsi="Arial" w:cs="Arial"/>
          <w:sz w:val="20"/>
          <w:szCs w:val="20"/>
        </w:rPr>
      </w:pPr>
      <w:r w:rsidRPr="009451ED">
        <w:rPr>
          <w:rFonts w:ascii="Arial" w:hAnsi="Arial" w:cs="Arial"/>
          <w:sz w:val="20"/>
          <w:szCs w:val="20"/>
        </w:rPr>
        <w:t>*Note - Built to boundary walls are not permitted, however, reduced side and rear boundary clearances may be permitted as prescribed (e.g. QDC). </w:t>
      </w:r>
    </w:p>
    <w:p w:rsidR="009451ED" w:rsidRDefault="009451E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827FDD" w:rsidRDefault="00827FD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F75CAD" w:rsidRDefault="00F75CAD">
      <w:pPr>
        <w:rPr>
          <w:rFonts w:ascii="Arial" w:hAnsi="Arial" w:cs="Arial"/>
        </w:rPr>
      </w:pPr>
    </w:p>
    <w:p w:rsidR="009451ED" w:rsidRDefault="009451ED">
      <w:pPr>
        <w:rPr>
          <w:rFonts w:ascii="Arial" w:hAnsi="Arial" w:cs="Arial"/>
        </w:rPr>
      </w:pPr>
    </w:p>
    <w:p w:rsidR="009451ED" w:rsidRPr="009451ED" w:rsidRDefault="009451ED" w:rsidP="009451ED">
      <w:pPr>
        <w:jc w:val="center"/>
        <w:rPr>
          <w:rFonts w:ascii="Arial" w:hAnsi="Arial" w:cs="Arial"/>
          <w:sz w:val="20"/>
          <w:szCs w:val="20"/>
        </w:rPr>
      </w:pPr>
      <w:r w:rsidRPr="009451ED">
        <w:rPr>
          <w:rStyle w:val="Strong"/>
          <w:rFonts w:ascii="Arial" w:eastAsia="Times New Roman" w:hAnsi="Arial" w:cs="Arial"/>
          <w:sz w:val="20"/>
          <w:szCs w:val="20"/>
        </w:rPr>
        <w:t>Figure 9.3.1.1 Morayfield South - Urban area</w:t>
      </w:r>
    </w:p>
    <w:p w:rsidR="009451ED" w:rsidRDefault="009451ED">
      <w:pPr>
        <w:rPr>
          <w:rFonts w:ascii="Arial" w:hAnsi="Arial" w:cs="Arial"/>
        </w:rPr>
      </w:pPr>
      <w:r>
        <w:rPr>
          <w:rFonts w:eastAsia="Times New Roman"/>
          <w:noProof/>
        </w:rPr>
        <w:drawing>
          <wp:anchor distT="0" distB="0" distL="114300" distR="114300" simplePos="0" relativeHeight="251658240" behindDoc="0" locked="0" layoutInCell="1" allowOverlap="1" wp14:anchorId="0E2E8AB7">
            <wp:simplePos x="0" y="0"/>
            <wp:positionH relativeFrom="margin">
              <wp:align>center</wp:align>
            </wp:positionH>
            <wp:positionV relativeFrom="paragraph">
              <wp:posOffset>286097</wp:posOffset>
            </wp:positionV>
            <wp:extent cx="5400675" cy="5000625"/>
            <wp:effectExtent l="0" t="0" r="9525" b="9525"/>
            <wp:wrapTopAndBottom/>
            <wp:docPr id="13" name="ID-2859427-532"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7-532" descr="Morayfield South - Urban area"/>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400675" cy="5000625"/>
                    </a:xfrm>
                    <a:prstGeom prst="rect">
                      <a:avLst/>
                    </a:prstGeom>
                    <a:noFill/>
                    <a:ln>
                      <a:noFill/>
                    </a:ln>
                  </pic:spPr>
                </pic:pic>
              </a:graphicData>
            </a:graphic>
          </wp:anchor>
        </w:drawing>
      </w:r>
    </w:p>
    <w:p w:rsidR="009451ED" w:rsidRDefault="009451ED">
      <w:pPr>
        <w:rPr>
          <w:rFonts w:ascii="Arial" w:hAnsi="Arial" w:cs="Arial"/>
        </w:rPr>
      </w:pPr>
    </w:p>
    <w:p w:rsidR="009451ED" w:rsidRPr="004E0E41" w:rsidRDefault="009451ED">
      <w:pPr>
        <w:rPr>
          <w:rFonts w:ascii="Arial" w:hAnsi="Arial" w:cs="Arial"/>
        </w:rPr>
      </w:pPr>
    </w:p>
    <w:sectPr w:rsidR="009451ED" w:rsidRPr="004E0E41" w:rsidSect="00816DE1">
      <w:footerReference w:type="default" r:id="rId1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734" w:rsidRDefault="00330734" w:rsidP="00C018E5">
      <w:r>
        <w:separator/>
      </w:r>
    </w:p>
  </w:endnote>
  <w:endnote w:type="continuationSeparator" w:id="0">
    <w:p w:rsidR="00330734" w:rsidRDefault="00330734" w:rsidP="00C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0B8" w:rsidRPr="00C018E5" w:rsidRDefault="00DB20B8" w:rsidP="00C018E5">
    <w:pPr>
      <w:pStyle w:val="Footer"/>
      <w:jc w:val="center"/>
      <w:rPr>
        <w:rFonts w:ascii="Arial" w:hAnsi="Arial" w:cs="Arial"/>
        <w:sz w:val="20"/>
        <w:szCs w:val="20"/>
      </w:rPr>
    </w:pPr>
    <w:r w:rsidRPr="00F75CAD">
      <w:rPr>
        <w:rFonts w:ascii="Arial" w:hAnsi="Arial" w:cs="Arial"/>
        <w:i/>
        <w:iCs/>
        <w:sz w:val="20"/>
        <w:szCs w:val="20"/>
      </w:rPr>
      <w:t>MBRC Planning Scheme Version 5</w:t>
    </w:r>
    <w:r w:rsidR="00F75CAD">
      <w:rPr>
        <w:rFonts w:ascii="Arial" w:hAnsi="Arial" w:cs="Arial"/>
        <w:i/>
        <w:iCs/>
        <w:sz w:val="20"/>
        <w:szCs w:val="20"/>
      </w:rPr>
      <w:t>-</w:t>
    </w:r>
    <w:r w:rsidRPr="00F75CAD">
      <w:rPr>
        <w:rFonts w:ascii="Arial" w:hAnsi="Arial" w:cs="Arial"/>
        <w:i/>
        <w:iCs/>
        <w:sz w:val="20"/>
        <w:szCs w:val="20"/>
      </w:rPr>
      <w:t xml:space="preserve"> Use codes - Dwelling house code - Assessable development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64A89">
      <w:rPr>
        <w:rFonts w:ascii="Arial" w:hAnsi="Arial" w:cs="Arial"/>
        <w:sz w:val="20"/>
        <w:szCs w:val="20"/>
      </w:rPr>
      <w:fldChar w:fldCharType="begin"/>
    </w:r>
    <w:r w:rsidRPr="00C64A89">
      <w:rPr>
        <w:rFonts w:ascii="Arial" w:hAnsi="Arial" w:cs="Arial"/>
        <w:sz w:val="20"/>
        <w:szCs w:val="20"/>
      </w:rPr>
      <w:instrText xml:space="preserve"> PAGE   \* MERGEFORMAT </w:instrText>
    </w:r>
    <w:r w:rsidRPr="00C64A89">
      <w:rPr>
        <w:rFonts w:ascii="Arial" w:hAnsi="Arial" w:cs="Arial"/>
        <w:sz w:val="20"/>
        <w:szCs w:val="20"/>
      </w:rPr>
      <w:fldChar w:fldCharType="separate"/>
    </w:r>
    <w:r w:rsidRPr="00C64A89">
      <w:rPr>
        <w:rFonts w:ascii="Arial" w:hAnsi="Arial" w:cs="Arial"/>
        <w:noProof/>
        <w:sz w:val="20"/>
        <w:szCs w:val="20"/>
      </w:rPr>
      <w:t>1</w:t>
    </w:r>
    <w:r w:rsidRPr="00C64A8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734" w:rsidRDefault="00330734" w:rsidP="00C018E5">
      <w:r>
        <w:separator/>
      </w:r>
    </w:p>
  </w:footnote>
  <w:footnote w:type="continuationSeparator" w:id="0">
    <w:p w:rsidR="00330734" w:rsidRDefault="00330734" w:rsidP="00C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890"/>
    <w:multiLevelType w:val="multilevel"/>
    <w:tmpl w:val="5FD02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EF4A19"/>
    <w:multiLevelType w:val="multilevel"/>
    <w:tmpl w:val="AF7465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4B1A05"/>
    <w:multiLevelType w:val="multilevel"/>
    <w:tmpl w:val="BB845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4D759B"/>
    <w:multiLevelType w:val="multilevel"/>
    <w:tmpl w:val="2E689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D97EA9"/>
    <w:multiLevelType w:val="multilevel"/>
    <w:tmpl w:val="005E7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C00012"/>
    <w:multiLevelType w:val="multilevel"/>
    <w:tmpl w:val="B97C3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C269E6"/>
    <w:multiLevelType w:val="hybridMultilevel"/>
    <w:tmpl w:val="BCB4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9C149A"/>
    <w:multiLevelType w:val="multilevel"/>
    <w:tmpl w:val="162C1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9D616F"/>
    <w:multiLevelType w:val="multilevel"/>
    <w:tmpl w:val="63F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5E56D2"/>
    <w:multiLevelType w:val="multilevel"/>
    <w:tmpl w:val="E570B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4849C5"/>
    <w:multiLevelType w:val="multilevel"/>
    <w:tmpl w:val="9948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B641DC"/>
    <w:multiLevelType w:val="multilevel"/>
    <w:tmpl w:val="976CA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D6209D5"/>
    <w:multiLevelType w:val="multilevel"/>
    <w:tmpl w:val="DA1020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9427DC"/>
    <w:multiLevelType w:val="multilevel"/>
    <w:tmpl w:val="9C4C8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A8274A"/>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ED11467"/>
    <w:multiLevelType w:val="multilevel"/>
    <w:tmpl w:val="C7ACC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08A36A6"/>
    <w:multiLevelType w:val="multilevel"/>
    <w:tmpl w:val="9E8CE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13A20CD"/>
    <w:multiLevelType w:val="multilevel"/>
    <w:tmpl w:val="1E4C8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D66DF5"/>
    <w:multiLevelType w:val="multilevel"/>
    <w:tmpl w:val="3BC2F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2F3259B"/>
    <w:multiLevelType w:val="multilevel"/>
    <w:tmpl w:val="A5B46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3972E16"/>
    <w:multiLevelType w:val="multilevel"/>
    <w:tmpl w:val="77E4E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193761"/>
    <w:multiLevelType w:val="multilevel"/>
    <w:tmpl w:val="65EED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48D1938"/>
    <w:multiLevelType w:val="multilevel"/>
    <w:tmpl w:val="764CD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494FA4"/>
    <w:multiLevelType w:val="multilevel"/>
    <w:tmpl w:val="23DCF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15:restartNumberingAfterBreak="0">
    <w:nsid w:val="17764482"/>
    <w:multiLevelType w:val="multilevel"/>
    <w:tmpl w:val="D68AF8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8CC0593"/>
    <w:multiLevelType w:val="multilevel"/>
    <w:tmpl w:val="2CD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1667EB"/>
    <w:multiLevelType w:val="multilevel"/>
    <w:tmpl w:val="CDF0F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E886F86"/>
    <w:multiLevelType w:val="multilevel"/>
    <w:tmpl w:val="4FBC3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01F04E9"/>
    <w:multiLevelType w:val="multilevel"/>
    <w:tmpl w:val="3BD4C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AB2376"/>
    <w:multiLevelType w:val="multilevel"/>
    <w:tmpl w:val="2E2C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2AE2F86"/>
    <w:multiLevelType w:val="multilevel"/>
    <w:tmpl w:val="C8249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3D6130F"/>
    <w:multiLevelType w:val="multilevel"/>
    <w:tmpl w:val="D954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F8640E"/>
    <w:multiLevelType w:val="multilevel"/>
    <w:tmpl w:val="794AA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9D506FB"/>
    <w:multiLevelType w:val="multilevel"/>
    <w:tmpl w:val="183E6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E7157B8"/>
    <w:multiLevelType w:val="multilevel"/>
    <w:tmpl w:val="D4EC1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07A6FBD"/>
    <w:multiLevelType w:val="multilevel"/>
    <w:tmpl w:val="034A6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610061"/>
    <w:multiLevelType w:val="multilevel"/>
    <w:tmpl w:val="909AE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16417F"/>
    <w:multiLevelType w:val="multilevel"/>
    <w:tmpl w:val="F3FE0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2221178"/>
    <w:multiLevelType w:val="multilevel"/>
    <w:tmpl w:val="D2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50144E"/>
    <w:multiLevelType w:val="multilevel"/>
    <w:tmpl w:val="3A845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509698E"/>
    <w:multiLevelType w:val="multilevel"/>
    <w:tmpl w:val="6A7C8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5E07FA0"/>
    <w:multiLevelType w:val="multilevel"/>
    <w:tmpl w:val="C8085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C62303F"/>
    <w:multiLevelType w:val="multilevel"/>
    <w:tmpl w:val="3DA66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C827683"/>
    <w:multiLevelType w:val="multilevel"/>
    <w:tmpl w:val="7D106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D8D027C"/>
    <w:multiLevelType w:val="multilevel"/>
    <w:tmpl w:val="0A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F162B5"/>
    <w:multiLevelType w:val="multilevel"/>
    <w:tmpl w:val="1AD47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0D032B5"/>
    <w:multiLevelType w:val="multilevel"/>
    <w:tmpl w:val="0B7E44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3792E4A"/>
    <w:multiLevelType w:val="multilevel"/>
    <w:tmpl w:val="2A9AA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51D212E"/>
    <w:multiLevelType w:val="multilevel"/>
    <w:tmpl w:val="132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3613D8"/>
    <w:multiLevelType w:val="multilevel"/>
    <w:tmpl w:val="D2940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8565E1B"/>
    <w:multiLevelType w:val="multilevel"/>
    <w:tmpl w:val="F4900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B567633"/>
    <w:multiLevelType w:val="multilevel"/>
    <w:tmpl w:val="CD782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C6C1018"/>
    <w:multiLevelType w:val="multilevel"/>
    <w:tmpl w:val="59BAB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D087D62"/>
    <w:multiLevelType w:val="multilevel"/>
    <w:tmpl w:val="C9AEA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0D11E74"/>
    <w:multiLevelType w:val="multilevel"/>
    <w:tmpl w:val="EEA24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1487603"/>
    <w:multiLevelType w:val="multilevel"/>
    <w:tmpl w:val="2E386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1EC21BE"/>
    <w:multiLevelType w:val="multilevel"/>
    <w:tmpl w:val="544A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EE4EA1"/>
    <w:multiLevelType w:val="multilevel"/>
    <w:tmpl w:val="764EF3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441651"/>
    <w:multiLevelType w:val="multilevel"/>
    <w:tmpl w:val="A87ADE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48A6FE6"/>
    <w:multiLevelType w:val="multilevel"/>
    <w:tmpl w:val="32FC7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63164D0"/>
    <w:multiLevelType w:val="multilevel"/>
    <w:tmpl w:val="783AC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694292E"/>
    <w:multiLevelType w:val="multilevel"/>
    <w:tmpl w:val="F8242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7006FE7"/>
    <w:multiLevelType w:val="multilevel"/>
    <w:tmpl w:val="974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27196B"/>
    <w:multiLevelType w:val="multilevel"/>
    <w:tmpl w:val="C09E2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E8863D9"/>
    <w:multiLevelType w:val="multilevel"/>
    <w:tmpl w:val="A2BC7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F0336DD"/>
    <w:multiLevelType w:val="multilevel"/>
    <w:tmpl w:val="065E8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0C0EE6"/>
    <w:multiLevelType w:val="multilevel"/>
    <w:tmpl w:val="A4389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F533558"/>
    <w:multiLevelType w:val="multilevel"/>
    <w:tmpl w:val="675A7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06E297B"/>
    <w:multiLevelType w:val="multilevel"/>
    <w:tmpl w:val="10D4E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0F02E8E"/>
    <w:multiLevelType w:val="multilevel"/>
    <w:tmpl w:val="82A46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217663D"/>
    <w:multiLevelType w:val="multilevel"/>
    <w:tmpl w:val="E45E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AC1288"/>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63C24D88"/>
    <w:multiLevelType w:val="multilevel"/>
    <w:tmpl w:val="1CA66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7DC3E3E"/>
    <w:multiLevelType w:val="multilevel"/>
    <w:tmpl w:val="127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576CAB"/>
    <w:multiLevelType w:val="multilevel"/>
    <w:tmpl w:val="33D03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A324F24"/>
    <w:multiLevelType w:val="multilevel"/>
    <w:tmpl w:val="DB2A7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C0A1A6B"/>
    <w:multiLevelType w:val="multilevel"/>
    <w:tmpl w:val="590448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CB12141"/>
    <w:multiLevelType w:val="multilevel"/>
    <w:tmpl w:val="FEE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2B40FB"/>
    <w:multiLevelType w:val="multilevel"/>
    <w:tmpl w:val="2722C8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6F0032DF"/>
    <w:multiLevelType w:val="multilevel"/>
    <w:tmpl w:val="8E049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FF672EF"/>
    <w:multiLevelType w:val="multilevel"/>
    <w:tmpl w:val="F0CEC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0CD4274"/>
    <w:multiLevelType w:val="multilevel"/>
    <w:tmpl w:val="47667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1481CCD"/>
    <w:multiLevelType w:val="multilevel"/>
    <w:tmpl w:val="51A6BD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494336E"/>
    <w:multiLevelType w:val="multilevel"/>
    <w:tmpl w:val="8B909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4F117B0"/>
    <w:multiLevelType w:val="multilevel"/>
    <w:tmpl w:val="CC7A1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56F67AE"/>
    <w:multiLevelType w:val="multilevel"/>
    <w:tmpl w:val="9EC681D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582577F"/>
    <w:multiLevelType w:val="multilevel"/>
    <w:tmpl w:val="C166EE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92D7730"/>
    <w:multiLevelType w:val="multilevel"/>
    <w:tmpl w:val="95929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9797C74"/>
    <w:multiLevelType w:val="multilevel"/>
    <w:tmpl w:val="65969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A571CC7"/>
    <w:multiLevelType w:val="multilevel"/>
    <w:tmpl w:val="62329F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D3F3214"/>
    <w:multiLevelType w:val="multilevel"/>
    <w:tmpl w:val="D92E34A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D9215A9"/>
    <w:multiLevelType w:val="multilevel"/>
    <w:tmpl w:val="576E8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E6701FF"/>
    <w:multiLevelType w:val="multilevel"/>
    <w:tmpl w:val="A984B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F930586"/>
    <w:multiLevelType w:val="multilevel"/>
    <w:tmpl w:val="38569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FC57C93"/>
    <w:multiLevelType w:val="multilevel"/>
    <w:tmpl w:val="B75A9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0"/>
  </w:num>
  <w:num w:numId="2">
    <w:abstractNumId w:val="80"/>
  </w:num>
  <w:num w:numId="3">
    <w:abstractNumId w:val="31"/>
  </w:num>
  <w:num w:numId="4">
    <w:abstractNumId w:val="12"/>
  </w:num>
  <w:num w:numId="5">
    <w:abstractNumId w:val="91"/>
  </w:num>
  <w:num w:numId="6">
    <w:abstractNumId w:val="77"/>
  </w:num>
  <w:num w:numId="7">
    <w:abstractNumId w:val="25"/>
  </w:num>
  <w:num w:numId="8">
    <w:abstractNumId w:val="50"/>
  </w:num>
  <w:num w:numId="9">
    <w:abstractNumId w:val="55"/>
  </w:num>
  <w:num w:numId="10">
    <w:abstractNumId w:val="58"/>
  </w:num>
  <w:num w:numId="11">
    <w:abstractNumId w:val="93"/>
  </w:num>
  <w:num w:numId="12">
    <w:abstractNumId w:val="71"/>
  </w:num>
  <w:num w:numId="13">
    <w:abstractNumId w:val="8"/>
  </w:num>
  <w:num w:numId="14">
    <w:abstractNumId w:val="57"/>
  </w:num>
  <w:num w:numId="15">
    <w:abstractNumId w:val="32"/>
  </w:num>
  <w:num w:numId="16">
    <w:abstractNumId w:val="10"/>
  </w:num>
  <w:num w:numId="17">
    <w:abstractNumId w:val="3"/>
  </w:num>
  <w:num w:numId="18">
    <w:abstractNumId w:val="47"/>
  </w:num>
  <w:num w:numId="19">
    <w:abstractNumId w:val="84"/>
  </w:num>
  <w:num w:numId="20">
    <w:abstractNumId w:val="41"/>
  </w:num>
  <w:num w:numId="21">
    <w:abstractNumId w:val="54"/>
  </w:num>
  <w:num w:numId="22">
    <w:abstractNumId w:val="85"/>
  </w:num>
  <w:num w:numId="23">
    <w:abstractNumId w:val="73"/>
  </w:num>
  <w:num w:numId="24">
    <w:abstractNumId w:val="92"/>
  </w:num>
  <w:num w:numId="25">
    <w:abstractNumId w:val="53"/>
  </w:num>
  <w:num w:numId="26">
    <w:abstractNumId w:val="75"/>
  </w:num>
  <w:num w:numId="27">
    <w:abstractNumId w:val="43"/>
  </w:num>
  <w:num w:numId="28">
    <w:abstractNumId w:val="87"/>
  </w:num>
  <w:num w:numId="29">
    <w:abstractNumId w:val="16"/>
  </w:num>
  <w:num w:numId="30">
    <w:abstractNumId w:val="11"/>
  </w:num>
  <w:num w:numId="31">
    <w:abstractNumId w:val="23"/>
  </w:num>
  <w:num w:numId="32">
    <w:abstractNumId w:val="90"/>
  </w:num>
  <w:num w:numId="33">
    <w:abstractNumId w:val="1"/>
  </w:num>
  <w:num w:numId="34">
    <w:abstractNumId w:val="18"/>
  </w:num>
  <w:num w:numId="35">
    <w:abstractNumId w:val="7"/>
  </w:num>
  <w:num w:numId="36">
    <w:abstractNumId w:val="20"/>
  </w:num>
  <w:num w:numId="37">
    <w:abstractNumId w:val="48"/>
  </w:num>
  <w:num w:numId="38">
    <w:abstractNumId w:val="86"/>
  </w:num>
  <w:num w:numId="39">
    <w:abstractNumId w:val="42"/>
  </w:num>
  <w:num w:numId="40">
    <w:abstractNumId w:val="94"/>
  </w:num>
  <w:num w:numId="41">
    <w:abstractNumId w:val="69"/>
  </w:num>
  <w:num w:numId="42">
    <w:abstractNumId w:val="82"/>
  </w:num>
  <w:num w:numId="43">
    <w:abstractNumId w:val="19"/>
  </w:num>
  <w:num w:numId="44">
    <w:abstractNumId w:val="40"/>
  </w:num>
  <w:num w:numId="45">
    <w:abstractNumId w:val="22"/>
  </w:num>
  <w:num w:numId="46">
    <w:abstractNumId w:val="89"/>
  </w:num>
  <w:num w:numId="47">
    <w:abstractNumId w:val="33"/>
  </w:num>
  <w:num w:numId="48">
    <w:abstractNumId w:val="67"/>
  </w:num>
  <w:num w:numId="49">
    <w:abstractNumId w:val="5"/>
  </w:num>
  <w:num w:numId="50">
    <w:abstractNumId w:val="35"/>
  </w:num>
  <w:num w:numId="51">
    <w:abstractNumId w:val="46"/>
  </w:num>
  <w:num w:numId="52">
    <w:abstractNumId w:val="29"/>
  </w:num>
  <w:num w:numId="53">
    <w:abstractNumId w:val="36"/>
  </w:num>
  <w:num w:numId="54">
    <w:abstractNumId w:val="59"/>
  </w:num>
  <w:num w:numId="55">
    <w:abstractNumId w:val="17"/>
  </w:num>
  <w:num w:numId="56">
    <w:abstractNumId w:val="44"/>
  </w:num>
  <w:num w:numId="57">
    <w:abstractNumId w:val="4"/>
  </w:num>
  <w:num w:numId="58">
    <w:abstractNumId w:val="76"/>
  </w:num>
  <w:num w:numId="59">
    <w:abstractNumId w:val="2"/>
  </w:num>
  <w:num w:numId="60">
    <w:abstractNumId w:val="30"/>
  </w:num>
  <w:num w:numId="61">
    <w:abstractNumId w:val="66"/>
  </w:num>
  <w:num w:numId="62">
    <w:abstractNumId w:val="62"/>
  </w:num>
  <w:num w:numId="63">
    <w:abstractNumId w:val="61"/>
  </w:num>
  <w:num w:numId="64">
    <w:abstractNumId w:val="52"/>
  </w:num>
  <w:num w:numId="65">
    <w:abstractNumId w:val="65"/>
  </w:num>
  <w:num w:numId="66">
    <w:abstractNumId w:val="38"/>
  </w:num>
  <w:num w:numId="67">
    <w:abstractNumId w:val="95"/>
  </w:num>
  <w:num w:numId="68">
    <w:abstractNumId w:val="9"/>
  </w:num>
  <w:num w:numId="69">
    <w:abstractNumId w:val="56"/>
  </w:num>
  <w:num w:numId="70">
    <w:abstractNumId w:val="37"/>
  </w:num>
  <w:num w:numId="71">
    <w:abstractNumId w:val="0"/>
  </w:num>
  <w:num w:numId="72">
    <w:abstractNumId w:val="34"/>
  </w:num>
  <w:num w:numId="73">
    <w:abstractNumId w:val="51"/>
  </w:num>
  <w:num w:numId="74">
    <w:abstractNumId w:val="15"/>
  </w:num>
  <w:num w:numId="75">
    <w:abstractNumId w:val="27"/>
  </w:num>
  <w:num w:numId="76">
    <w:abstractNumId w:val="28"/>
  </w:num>
  <w:num w:numId="77">
    <w:abstractNumId w:val="64"/>
  </w:num>
  <w:num w:numId="78">
    <w:abstractNumId w:val="81"/>
  </w:num>
  <w:num w:numId="79">
    <w:abstractNumId w:val="68"/>
  </w:num>
  <w:num w:numId="80">
    <w:abstractNumId w:val="13"/>
  </w:num>
  <w:num w:numId="81">
    <w:abstractNumId w:val="88"/>
  </w:num>
  <w:num w:numId="82">
    <w:abstractNumId w:val="21"/>
  </w:num>
  <w:num w:numId="83">
    <w:abstractNumId w:val="60"/>
  </w:num>
  <w:num w:numId="84">
    <w:abstractNumId w:val="83"/>
  </w:num>
  <w:num w:numId="85">
    <w:abstractNumId w:val="72"/>
  </w:num>
  <w:num w:numId="86">
    <w:abstractNumId w:val="39"/>
  </w:num>
  <w:num w:numId="87">
    <w:abstractNumId w:val="45"/>
  </w:num>
  <w:num w:numId="88">
    <w:abstractNumId w:val="49"/>
  </w:num>
  <w:num w:numId="89">
    <w:abstractNumId w:val="78"/>
  </w:num>
  <w:num w:numId="90">
    <w:abstractNumId w:val="74"/>
  </w:num>
  <w:num w:numId="91">
    <w:abstractNumId w:val="63"/>
  </w:num>
  <w:num w:numId="92">
    <w:abstractNumId w:val="26"/>
  </w:num>
  <w:num w:numId="93">
    <w:abstractNumId w:val="79"/>
  </w:num>
  <w:num w:numId="94">
    <w:abstractNumId w:val="24"/>
  </w:num>
  <w:num w:numId="95">
    <w:abstractNumId w:val="6"/>
  </w:num>
  <w:num w:numId="96">
    <w:abstractNumId w:val="1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E1"/>
    <w:rsid w:val="00002482"/>
    <w:rsid w:val="001F24F3"/>
    <w:rsid w:val="00330734"/>
    <w:rsid w:val="003D5BCB"/>
    <w:rsid w:val="0045001E"/>
    <w:rsid w:val="004E0E41"/>
    <w:rsid w:val="00534E2C"/>
    <w:rsid w:val="00641E2E"/>
    <w:rsid w:val="0069586D"/>
    <w:rsid w:val="00762EFD"/>
    <w:rsid w:val="00816DE1"/>
    <w:rsid w:val="00827FDD"/>
    <w:rsid w:val="009451ED"/>
    <w:rsid w:val="009D1EB1"/>
    <w:rsid w:val="00A07A87"/>
    <w:rsid w:val="00A36F59"/>
    <w:rsid w:val="00B11E22"/>
    <w:rsid w:val="00C018E5"/>
    <w:rsid w:val="00C5791C"/>
    <w:rsid w:val="00C64A89"/>
    <w:rsid w:val="00C662F2"/>
    <w:rsid w:val="00CB25C6"/>
    <w:rsid w:val="00D755D7"/>
    <w:rsid w:val="00DB20B8"/>
    <w:rsid w:val="00E257BD"/>
    <w:rsid w:val="00F7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7DDD"/>
  <w15:chartTrackingRefBased/>
  <w15:docId w15:val="{D2568A3B-0A09-47A7-9557-EE27FFD5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E1"/>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816DE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6DE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6DE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16DE1"/>
    <w:pPr>
      <w:spacing w:before="100" w:beforeAutospacing="1" w:after="100" w:afterAutospacing="1"/>
      <w:outlineLvl w:val="3"/>
    </w:pPr>
    <w:rPr>
      <w:b/>
      <w:bCs/>
    </w:rPr>
  </w:style>
  <w:style w:type="paragraph" w:styleId="Heading5">
    <w:name w:val="heading 5"/>
    <w:basedOn w:val="Normal"/>
    <w:link w:val="Heading5Char"/>
    <w:uiPriority w:val="9"/>
    <w:qFormat/>
    <w:rsid w:val="00816DE1"/>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816DE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E1"/>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16DE1"/>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816DE1"/>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816DE1"/>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816DE1"/>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816DE1"/>
    <w:rPr>
      <w:rFonts w:ascii="Times New Roman" w:eastAsiaTheme="minorEastAsia" w:hAnsi="Times New Roman" w:cs="Times New Roman"/>
      <w:b/>
      <w:bCs/>
      <w:sz w:val="15"/>
      <w:szCs w:val="15"/>
      <w:lang w:eastAsia="en-AU"/>
    </w:rPr>
  </w:style>
  <w:style w:type="paragraph" w:customStyle="1" w:styleId="msonormal0">
    <w:name w:val="msonormal"/>
    <w:basedOn w:val="Normal"/>
    <w:rsid w:val="00816DE1"/>
    <w:pPr>
      <w:spacing w:before="100" w:beforeAutospacing="1" w:after="100" w:afterAutospacing="1"/>
    </w:pPr>
  </w:style>
  <w:style w:type="character" w:styleId="Hyperlink">
    <w:name w:val="Hyperlink"/>
    <w:basedOn w:val="DefaultParagraphFont"/>
    <w:uiPriority w:val="99"/>
    <w:semiHidden/>
    <w:unhideWhenUsed/>
    <w:rsid w:val="00816DE1"/>
    <w:rPr>
      <w:color w:val="0000FF"/>
      <w:u w:val="single"/>
    </w:rPr>
  </w:style>
  <w:style w:type="character" w:styleId="FollowedHyperlink">
    <w:name w:val="FollowedHyperlink"/>
    <w:basedOn w:val="DefaultParagraphFont"/>
    <w:uiPriority w:val="99"/>
    <w:semiHidden/>
    <w:unhideWhenUsed/>
    <w:rsid w:val="00816DE1"/>
    <w:rPr>
      <w:color w:val="800080"/>
      <w:u w:val="single"/>
    </w:rPr>
  </w:style>
  <w:style w:type="paragraph" w:customStyle="1" w:styleId="hidden">
    <w:name w:val="hidden"/>
    <w:basedOn w:val="Normal"/>
    <w:rsid w:val="00816DE1"/>
    <w:pPr>
      <w:spacing w:before="100" w:beforeAutospacing="1" w:after="100" w:afterAutospacing="1"/>
    </w:pPr>
  </w:style>
  <w:style w:type="paragraph" w:styleId="NormalWeb">
    <w:name w:val="Normal (Web)"/>
    <w:basedOn w:val="Normal"/>
    <w:uiPriority w:val="99"/>
    <w:unhideWhenUsed/>
    <w:rsid w:val="00816DE1"/>
    <w:pPr>
      <w:spacing w:before="100" w:beforeAutospacing="1" w:after="100" w:afterAutospacing="1"/>
    </w:pPr>
  </w:style>
  <w:style w:type="character" w:styleId="Strong">
    <w:name w:val="Strong"/>
    <w:basedOn w:val="DefaultParagraphFont"/>
    <w:uiPriority w:val="22"/>
    <w:qFormat/>
    <w:rsid w:val="00816DE1"/>
    <w:rPr>
      <w:b/>
      <w:bCs/>
    </w:rPr>
  </w:style>
  <w:style w:type="character" w:styleId="Emphasis">
    <w:name w:val="Emphasis"/>
    <w:basedOn w:val="DefaultParagraphFont"/>
    <w:uiPriority w:val="20"/>
    <w:qFormat/>
    <w:rsid w:val="00816DE1"/>
    <w:rPr>
      <w:i/>
      <w:iCs/>
    </w:rPr>
  </w:style>
  <w:style w:type="character" w:customStyle="1" w:styleId="highlightbackground">
    <w:name w:val="highlightbackground"/>
    <w:basedOn w:val="DefaultParagraphFont"/>
    <w:rsid w:val="00816DE1"/>
  </w:style>
  <w:style w:type="character" w:customStyle="1" w:styleId="number">
    <w:name w:val="number"/>
    <w:basedOn w:val="DefaultParagraphFont"/>
    <w:rsid w:val="00816DE1"/>
  </w:style>
  <w:style w:type="character" w:customStyle="1" w:styleId="newwindow">
    <w:name w:val="newwindow"/>
    <w:basedOn w:val="DefaultParagraphFont"/>
    <w:rsid w:val="00816DE1"/>
  </w:style>
  <w:style w:type="character" w:customStyle="1" w:styleId="highlighttext">
    <w:name w:val="highlighttext"/>
    <w:basedOn w:val="DefaultParagraphFont"/>
    <w:rsid w:val="00816DE1"/>
  </w:style>
  <w:style w:type="paragraph" w:customStyle="1" w:styleId="right">
    <w:name w:val="right"/>
    <w:basedOn w:val="Normal"/>
    <w:rsid w:val="00816DE1"/>
    <w:pPr>
      <w:spacing w:before="100" w:beforeAutospacing="1" w:after="100" w:afterAutospacing="1"/>
    </w:pPr>
  </w:style>
  <w:style w:type="paragraph" w:styleId="BalloonText">
    <w:name w:val="Balloon Text"/>
    <w:basedOn w:val="Normal"/>
    <w:link w:val="BalloonTextChar"/>
    <w:uiPriority w:val="99"/>
    <w:semiHidden/>
    <w:unhideWhenUsed/>
    <w:rsid w:val="00816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DE1"/>
    <w:rPr>
      <w:rFonts w:ascii="Segoe UI" w:eastAsiaTheme="minorEastAsia" w:hAnsi="Segoe UI" w:cs="Segoe UI"/>
      <w:sz w:val="18"/>
      <w:szCs w:val="18"/>
      <w:lang w:eastAsia="en-AU"/>
    </w:rPr>
  </w:style>
  <w:style w:type="paragraph" w:styleId="Header">
    <w:name w:val="header"/>
    <w:basedOn w:val="Normal"/>
    <w:link w:val="HeaderChar"/>
    <w:uiPriority w:val="99"/>
    <w:unhideWhenUsed/>
    <w:rsid w:val="00C018E5"/>
    <w:pPr>
      <w:tabs>
        <w:tab w:val="center" w:pos="4513"/>
        <w:tab w:val="right" w:pos="9026"/>
      </w:tabs>
    </w:pPr>
  </w:style>
  <w:style w:type="character" w:customStyle="1" w:styleId="HeaderChar">
    <w:name w:val="Header Char"/>
    <w:basedOn w:val="DefaultParagraphFont"/>
    <w:link w:val="Header"/>
    <w:uiPriority w:val="99"/>
    <w:rsid w:val="00C018E5"/>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C018E5"/>
    <w:pPr>
      <w:tabs>
        <w:tab w:val="center" w:pos="4513"/>
        <w:tab w:val="right" w:pos="9026"/>
      </w:tabs>
    </w:pPr>
  </w:style>
  <w:style w:type="character" w:customStyle="1" w:styleId="FooterChar">
    <w:name w:val="Footer Char"/>
    <w:basedOn w:val="DefaultParagraphFont"/>
    <w:link w:val="Footer"/>
    <w:uiPriority w:val="99"/>
    <w:rsid w:val="00C018E5"/>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117"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112" Type="http://schemas.openxmlformats.org/officeDocument/2006/relationships/hyperlink" Target="file:///C:\Users\seang\OneDrive%20-%20Objective%20Corp\Desktop\HTML-Export\section_s1332743627723.html" TargetMode="External"/><Relationship Id="rId16" Type="http://schemas.openxmlformats.org/officeDocument/2006/relationships/hyperlink" Target="file:///C:\Users\seang\OneDrive%20-%20Objective%20Corp\Desktop\HTML-Export\section_s1332743627723.html" TargetMode="External"/><Relationship Id="rId107"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09829826592.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102"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09829826592.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image" Target="media/image2.jpeg"/><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hyperlink" Target="file:///C:\Users\seang\OneDrive%20-%20Objective%20Corp\Desktop\HTML-Export\section_s1332743627723.html" TargetMode="External"/><Relationship Id="rId105" Type="http://schemas.openxmlformats.org/officeDocument/2006/relationships/hyperlink" Target="file:///C:\Users\seang\OneDrive%20-%20Objective%20Corp\Desktop\HTML-Export\section_s1332743627723.html" TargetMode="External"/><Relationship Id="rId113" Type="http://schemas.openxmlformats.org/officeDocument/2006/relationships/hyperlink" Target="file:///C:\Users\seang\OneDrive%20-%20Objective%20Corp\Desktop\HTML-Export\section_s1332743627723.html" TargetMode="External"/><Relationship Id="rId118" Type="http://schemas.openxmlformats.org/officeDocument/2006/relationships/hyperlink" Target="file:///C:\Users\seang\OneDrive%20-%20Objective%20Corp\Desktop\HTML-Export\section_s1332743627723.html" TargetMode="External"/><Relationship Id="rId8" Type="http://schemas.openxmlformats.org/officeDocument/2006/relationships/hyperlink" Target="file:///C:\Users\seang\OneDrive%20-%20Objective%20Corp\Desktop\HTML-Export\section_s1309829826592.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seang\OneDrive%20-%20Objective%20Corp\Desktop\HTML-Export\section_s1309829826592.html" TargetMode="External"/><Relationship Id="rId17" Type="http://schemas.openxmlformats.org/officeDocument/2006/relationships/hyperlink" Target="file:///C:\Users\seang\OneDrive%20-%20Objective%20Corp\Desktop\HTML-Export\section_s1309829826592.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hyperlink" Target="file:///C:\Users\seang\OneDrive%20-%20Objective%20Corp\Desktop\HTML-Export\section_s1332743627723.html" TargetMode="External"/><Relationship Id="rId108" Type="http://schemas.openxmlformats.org/officeDocument/2006/relationships/hyperlink" Target="file:///C:\Users\seang\OneDrive%20-%20Objective%20Corp\Desktop\HTML-Export\section_s1332743627723.html" TargetMode="External"/><Relationship Id="rId1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1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eang\OneDrive%20-%20Objective%20Corp\Desktop\HTML-Export\section_s1309829826592.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image" Target="media/image3.jpeg"/><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6" Type="http://schemas.openxmlformats.org/officeDocument/2006/relationships/hyperlink" Target="file:///C:\Users\seang\OneDrive%20-%20Objective%20Corp\Desktop\HTML-Export\section_s1332743627723.html" TargetMode="External"/><Relationship Id="rId114" Type="http://schemas.openxmlformats.org/officeDocument/2006/relationships/hyperlink" Target="file:///C:\Users\seang\OneDrive%20-%20Objective%20Corp\Desktop\HTML-Export\section_s1332743627723.html" TargetMode="External"/><Relationship Id="rId119" Type="http://schemas.openxmlformats.org/officeDocument/2006/relationships/image" Target="media/image4.jpg"/><Relationship Id="rId10" Type="http://schemas.openxmlformats.org/officeDocument/2006/relationships/hyperlink" Target="file:///C:\Users\seang\OneDrive%20-%20Objective%20Corp\Desktop\HTML-Export\section_s1309829826592.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hyperlink" Target="file:///C:\Users\seang\OneDrive%20-%20Objective%20Corp\Desktop\HTML-Export\section_s1332743627723.html" TargetMode="External"/><Relationship Id="rId101" Type="http://schemas.openxmlformats.org/officeDocument/2006/relationships/hyperlink" Target="file:///C:\Users\seang\OneDrive%20-%20Objective%20Corp\Desktop\HTML-Export\section_s1332743627723.html"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09829826592.html" TargetMode="External"/><Relationship Id="rId13" Type="http://schemas.openxmlformats.org/officeDocument/2006/relationships/hyperlink" Target="file:///C:\Users\seang\OneDrive%20-%20Objective%20Corp\Desktop\HTML-Export\section_s1309829826592.html" TargetMode="External"/><Relationship Id="rId18" Type="http://schemas.openxmlformats.org/officeDocument/2006/relationships/hyperlink" Target="file:///C:\Users\seang\OneDrive%20-%20Objective%20Corp\Desktop\HTML-Export\section_s1309829826592.html" TargetMode="External"/><Relationship Id="rId39" Type="http://schemas.openxmlformats.org/officeDocument/2006/relationships/hyperlink" Target="file:///C:\Users\seang\OneDrive%20-%20Objective%20Corp\Desktop\HTML-Export\section_s1332743627723.html" TargetMode="External"/><Relationship Id="rId109" Type="http://schemas.openxmlformats.org/officeDocument/2006/relationships/hyperlink" Target="file:///C:\Users\seang\OneDrive%20-%20Objective%20Corp\Desktop\HTML-Export\section_s1332743627723.html" TargetMode="External"/><Relationship Id="rId34" Type="http://schemas.openxmlformats.org/officeDocument/2006/relationships/image" Target="media/image1.jpeg"/><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 Id="rId104" Type="http://schemas.openxmlformats.org/officeDocument/2006/relationships/hyperlink" Target="file:///C:\Users\seang\OneDrive%20-%20Objective%20Corp\Desktop\HTML-Export\section_s1332743627723.html" TargetMode="External"/><Relationship Id="rId120" Type="http://schemas.openxmlformats.org/officeDocument/2006/relationships/footer" Target="footer1.xml"/><Relationship Id="rId7" Type="http://schemas.openxmlformats.org/officeDocument/2006/relationships/hyperlink" Target="file:///C:\Users\seang\OneDrive%20-%20Objective%20Corp\Desktop\HTML-Export\section_s1332743627723.html" TargetMode="Externa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29"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10" Type="http://schemas.openxmlformats.org/officeDocument/2006/relationships/hyperlink" Target="file:///C:\Users\seang\OneDrive%20-%20Objective%20Corp\Desktop\HTML-Export\section_s1332743627723.html" TargetMode="External"/><Relationship Id="rId115"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51</Pages>
  <Words>16854</Words>
  <Characters>96068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2021-10-13T01:39:00Z</dcterms:created>
  <dcterms:modified xsi:type="dcterms:W3CDTF">2021-10-13T05:17:00Z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A19466366</vt:lpwstr>
  </property>
  <property fmtid="{D5CDD505-2E9C-101B-9397-08002B2CF9AE}" pid="4" name="Objective-Title">
    <vt:lpwstr>9.3.1.2 Dwelling house code - Assessable UPDATED</vt:lpwstr>
  </property>
  <property fmtid="{D5CDD505-2E9C-101B-9397-08002B2CF9AE}" pid="5" name="Objective-Comment">
    <vt:lpwstr/>
  </property>
  <property fmtid="{D5CDD505-2E9C-101B-9397-08002B2CF9AE}" pid="6" name="Objective-CreationStamp">
    <vt:filetime>2019-12-12T04:25:17Z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2020-01-06T06:27:28Z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