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4743"/>
        <w:gridCol w:w="179"/>
        <w:gridCol w:w="5094"/>
        <w:gridCol w:w="322"/>
        <w:gridCol w:w="1432"/>
        <w:gridCol w:w="381"/>
        <w:gridCol w:w="3231"/>
      </w:tblGrid>
      <w:tr w:rsidR="005E3AE4" w:rsidRPr="005A4389" w:rsidTr="009C2853">
        <w:trPr>
          <w:trHeight w:val="361"/>
          <w:tblCellSpacing w:w="15" w:type="dxa"/>
        </w:trPr>
        <w:tc>
          <w:tcPr>
            <w:tcW w:w="0" w:type="auto"/>
            <w:gridSpan w:val="7"/>
            <w:shd w:val="clear" w:color="auto" w:fill="CCCCCC"/>
            <w:tcMar>
              <w:top w:w="30" w:type="dxa"/>
              <w:left w:w="30" w:type="dxa"/>
              <w:bottom w:w="30" w:type="dxa"/>
              <w:right w:w="30" w:type="dxa"/>
            </w:tcMar>
            <w:vAlign w:val="center"/>
            <w:hideMark/>
          </w:tcPr>
          <w:p w:rsidR="005E3AE4" w:rsidRPr="005A4389" w:rsidRDefault="005E3AE4" w:rsidP="005E3AE4">
            <w:pPr>
              <w:spacing w:before="100" w:beforeAutospacing="1" w:after="100" w:afterAutospacing="1" w:line="240" w:lineRule="auto"/>
              <w:jc w:val="center"/>
              <w:rPr>
                <w:rFonts w:ascii="Arial" w:eastAsia="Times New Roman" w:hAnsi="Arial" w:cs="Arial"/>
                <w:sz w:val="20"/>
                <w:szCs w:val="20"/>
                <w:lang w:eastAsia="en-AU"/>
              </w:rPr>
            </w:pPr>
            <w:r w:rsidRPr="005A4389">
              <w:rPr>
                <w:rFonts w:ascii="Arial" w:eastAsia="Times New Roman" w:hAnsi="Arial" w:cs="Arial"/>
                <w:b/>
                <w:bCs/>
                <w:sz w:val="20"/>
                <w:szCs w:val="20"/>
                <w:lang w:eastAsia="en-AU"/>
              </w:rPr>
              <w:t>Table 7.2.3.7.5.</w:t>
            </w:r>
            <w:r w:rsidR="00532D22">
              <w:rPr>
                <w:rFonts w:ascii="Arial" w:eastAsia="Times New Roman" w:hAnsi="Arial" w:cs="Arial"/>
                <w:b/>
                <w:bCs/>
                <w:sz w:val="20"/>
                <w:szCs w:val="20"/>
                <w:lang w:eastAsia="en-AU"/>
              </w:rPr>
              <w:t>1</w:t>
            </w:r>
            <w:r w:rsidRPr="005A4389">
              <w:rPr>
                <w:rFonts w:ascii="Arial" w:eastAsia="Times New Roman" w:hAnsi="Arial" w:cs="Arial"/>
                <w:b/>
                <w:bCs/>
                <w:sz w:val="20"/>
                <w:szCs w:val="20"/>
                <w:lang w:eastAsia="en-AU"/>
              </w:rPr>
              <w:t xml:space="preserve"> Assessable development - Reconfiguring a lot code - Rural living precinct</w:t>
            </w:r>
          </w:p>
        </w:tc>
      </w:tr>
      <w:tr w:rsidR="005A4389" w:rsidRPr="005A4389" w:rsidTr="00D019C7">
        <w:trPr>
          <w:tblCellSpacing w:w="15" w:type="dxa"/>
        </w:trPr>
        <w:tc>
          <w:tcPr>
            <w:tcW w:w="1594" w:type="pct"/>
            <w:gridSpan w:val="2"/>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Performance outcomes</w:t>
            </w:r>
          </w:p>
        </w:tc>
        <w:tc>
          <w:tcPr>
            <w:tcW w:w="1751" w:type="pct"/>
            <w:gridSpan w:val="2"/>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Examples that achieve aspects of the Performance Outcomes</w:t>
            </w:r>
          </w:p>
        </w:tc>
        <w:tc>
          <w:tcPr>
            <w:tcW w:w="577" w:type="pct"/>
            <w:gridSpan w:val="2"/>
            <w:shd w:val="clear" w:color="auto" w:fill="CCCCCC"/>
          </w:tcPr>
          <w:p w:rsidR="001074BA" w:rsidRPr="005A4389" w:rsidRDefault="001074BA" w:rsidP="001074BA">
            <w:pPr>
              <w:spacing w:after="0" w:line="240" w:lineRule="auto"/>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E Compliance</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Yes</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No See PO or</w:t>
            </w:r>
          </w:p>
          <w:p w:rsidR="001074BA" w:rsidRPr="005A4389" w:rsidRDefault="001074BA" w:rsidP="001B6A9C">
            <w:pPr>
              <w:pStyle w:val="ListParagraph"/>
              <w:numPr>
                <w:ilvl w:val="0"/>
                <w:numId w:val="7"/>
              </w:numPr>
              <w:spacing w:after="0" w:line="240" w:lineRule="auto"/>
              <w:ind w:left="373" w:hanging="284"/>
              <w:rPr>
                <w:rFonts w:eastAsia="Times New Roman" w:cs="Arial"/>
                <w:b/>
                <w:bCs/>
                <w:sz w:val="20"/>
                <w:szCs w:val="20"/>
                <w:lang w:eastAsia="en-AU"/>
              </w:rPr>
            </w:pPr>
            <w:r w:rsidRPr="005A4389">
              <w:rPr>
                <w:rFonts w:eastAsia="Times New Roman" w:cs="Arial"/>
                <w:b/>
                <w:bCs/>
                <w:sz w:val="20"/>
                <w:szCs w:val="20"/>
                <w:lang w:eastAsia="en-AU"/>
              </w:rPr>
              <w:t>NA</w:t>
            </w:r>
          </w:p>
        </w:tc>
        <w:tc>
          <w:tcPr>
            <w:tcW w:w="1029" w:type="pct"/>
            <w:shd w:val="clear" w:color="auto" w:fill="CCCCCC"/>
          </w:tcPr>
          <w:p w:rsidR="001074BA" w:rsidRPr="005A4389" w:rsidRDefault="001074BA" w:rsidP="001074B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Justification for compliance</w:t>
            </w:r>
          </w:p>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Structure plan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shd w:val="clear" w:color="auto" w:fill="FFFFFF"/>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PO1</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7.2.3.1 - Caboolture West structure plan with regards to:</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the provision of infrastructure and services associated with reconfiguring a lot and land development;</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utilities;</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parks and open space;</w:t>
            </w:r>
          </w:p>
          <w:p w:rsidR="001074BA" w:rsidRPr="005A4389" w:rsidRDefault="001074BA" w:rsidP="005E3AE4">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the recognition and provision of minor green corridors.</w:t>
            </w:r>
          </w:p>
        </w:tc>
        <w:tc>
          <w:tcPr>
            <w:tcW w:w="1751" w:type="pct"/>
            <w:gridSpan w:val="2"/>
            <w:shd w:val="clear" w:color="auto" w:fill="FFFFFF"/>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shd w:val="clear" w:color="auto" w:fill="FFFFFF"/>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shd w:val="clear" w:color="auto" w:fill="FFFFFF"/>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Lot size and design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PO2</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Lot size and design maintains the low density, open space character associated with a rural living environment by achieving a minimum lot size of 6000m</w:t>
            </w:r>
            <w:r w:rsidRPr="005A4389">
              <w:rPr>
                <w:rFonts w:ascii="Arial" w:eastAsia="Times New Roman" w:hAnsi="Arial" w:cs="Arial"/>
                <w:sz w:val="20"/>
                <w:szCs w:val="20"/>
                <w:vertAlign w:val="superscript"/>
                <w:lang w:eastAsia="en-AU"/>
              </w:rPr>
              <w:t>2</w:t>
            </w:r>
            <w:r w:rsidRPr="005A4389">
              <w:rPr>
                <w:rFonts w:ascii="Arial" w:eastAsia="Times New Roman" w:hAnsi="Arial" w:cs="Arial"/>
                <w:sz w:val="20"/>
                <w:szCs w:val="20"/>
                <w:lang w:eastAsia="en-AU"/>
              </w:rPr>
              <w:t xml:space="preserve"> and an average lot size of 8000m</w:t>
            </w:r>
            <w:r w:rsidRPr="005A4389">
              <w:rPr>
                <w:rFonts w:ascii="Arial" w:eastAsia="Times New Roman" w:hAnsi="Arial" w:cs="Arial"/>
                <w:sz w:val="20"/>
                <w:szCs w:val="20"/>
                <w:vertAlign w:val="superscript"/>
                <w:lang w:eastAsia="en-AU"/>
              </w:rPr>
              <w:t>2</w:t>
            </w:r>
            <w:r w:rsidRPr="005A4389">
              <w:rPr>
                <w:rFonts w:ascii="Arial" w:eastAsia="Times New Roman" w:hAnsi="Arial" w:cs="Arial"/>
                <w:sz w:val="20"/>
                <w:szCs w:val="20"/>
                <w:lang w:eastAsia="en-AU"/>
              </w:rPr>
              <w:t>, except where subdivision of land is for the purpose of a Park</w:t>
            </w:r>
            <w:r w:rsidRPr="005A4389">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Fonts w:ascii="Arial" w:eastAsia="Times New Roman" w:hAnsi="Arial" w:cs="Arial"/>
                  <w:sz w:val="20"/>
                  <w:szCs w:val="20"/>
                  <w:vertAlign w:val="superscript"/>
                  <w:lang w:eastAsia="en-AU"/>
                </w:rPr>
                <w:t>57</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or Outdoor sport and recreation use</w:t>
            </w:r>
            <w:r w:rsidRPr="005A4389">
              <w:rPr>
                <w:rFonts w:ascii="Arial" w:eastAsia="Times New Roman" w:hAnsi="Arial" w:cs="Arial"/>
                <w:sz w:val="20"/>
                <w:szCs w:val="20"/>
                <w:vertAlign w:val="superscript"/>
                <w:lang w:eastAsia="en-AU"/>
              </w:rPr>
              <w:t>(</w:t>
            </w:r>
            <w:hyperlink r:id="rId8" w:anchor="target-d60239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5A4389">
                <w:rPr>
                  <w:rFonts w:ascii="Arial" w:eastAsia="Times New Roman" w:hAnsi="Arial" w:cs="Arial"/>
                  <w:sz w:val="20"/>
                  <w:szCs w:val="20"/>
                  <w:vertAlign w:val="superscript"/>
                  <w:lang w:eastAsia="en-AU"/>
                </w:rPr>
                <w:t>55</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Utility installation</w:t>
            </w:r>
            <w:r w:rsidRPr="005A4389">
              <w:rPr>
                <w:rFonts w:ascii="Arial" w:eastAsia="Times New Roman" w:hAnsi="Arial" w:cs="Arial"/>
                <w:sz w:val="20"/>
                <w:szCs w:val="20"/>
                <w:vertAlign w:val="superscript"/>
                <w:lang w:eastAsia="en-AU"/>
              </w:rPr>
              <w:t>(</w:t>
            </w:r>
            <w:hyperlink r:id="rId9"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A4389">
                <w:rPr>
                  <w:rFonts w:ascii="Arial" w:eastAsia="Times New Roman" w:hAnsi="Arial" w:cs="Arial"/>
                  <w:sz w:val="20"/>
                  <w:szCs w:val="20"/>
                  <w:vertAlign w:val="superscript"/>
                  <w:lang w:eastAsia="en-AU"/>
                </w:rPr>
                <w:t>86</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or Telecommunication facility</w:t>
            </w:r>
            <w:r w:rsidRPr="005A4389">
              <w:rPr>
                <w:rFonts w:ascii="Arial" w:eastAsia="Times New Roman" w:hAnsi="Arial" w:cs="Arial"/>
                <w:sz w:val="20"/>
                <w:szCs w:val="20"/>
                <w:vertAlign w:val="superscript"/>
                <w:lang w:eastAsia="en-AU"/>
              </w:rPr>
              <w:t>(</w:t>
            </w:r>
            <w:hyperlink r:id="rId10" w:anchor="target-d60239e449122" w:tooltip="Telecommunications facility - Premises used for systems that carry communications and signals by means of radio, including guided or unguided electromagnetic energy, whether such facility is manned or remotely controlled." w:history="1">
              <w:r w:rsidRPr="005A4389">
                <w:rPr>
                  <w:rFonts w:ascii="Arial" w:eastAsia="Times New Roman" w:hAnsi="Arial" w:cs="Arial"/>
                  <w:sz w:val="20"/>
                  <w:szCs w:val="20"/>
                  <w:vertAlign w:val="superscript"/>
                  <w:lang w:eastAsia="en-AU"/>
                </w:rPr>
                <w:t>81</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where no minimum lot size applies.  </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PO3</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Lot size and design complies with the minimum lot size and dimensions specified in PO2 above and accommodates the following: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dwelling house</w:t>
            </w:r>
            <w:r w:rsidRPr="005A4389">
              <w:rPr>
                <w:rFonts w:ascii="Arial" w:eastAsia="Times New Roman" w:hAnsi="Arial" w:cs="Arial"/>
                <w:sz w:val="20"/>
                <w:szCs w:val="20"/>
                <w:vertAlign w:val="superscript"/>
                <w:lang w:eastAsia="en-AU"/>
              </w:rPr>
              <w:t>(</w:t>
            </w:r>
            <w:hyperlink r:id="rId1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5A4389">
                <w:rPr>
                  <w:rFonts w:ascii="Arial" w:eastAsia="Times New Roman" w:hAnsi="Arial" w:cs="Arial"/>
                  <w:sz w:val="20"/>
                  <w:szCs w:val="20"/>
                  <w:vertAlign w:val="superscript"/>
                  <w:lang w:eastAsia="en-AU"/>
                </w:rPr>
                <w:t>22</w:t>
              </w:r>
            </w:hyperlink>
            <w:r w:rsidRPr="005A4389">
              <w:rPr>
                <w:rFonts w:ascii="Arial" w:eastAsia="Times New Roman" w:hAnsi="Arial" w:cs="Arial"/>
                <w:sz w:val="20"/>
                <w:szCs w:val="20"/>
                <w:vertAlign w:val="superscript"/>
                <w:lang w:eastAsia="en-AU"/>
              </w:rPr>
              <w:t>)</w:t>
            </w:r>
            <w:r w:rsidRPr="005A4389">
              <w:rPr>
                <w:rFonts w:ascii="Arial" w:eastAsia="Times New Roman" w:hAnsi="Arial" w:cs="Arial"/>
                <w:sz w:val="20"/>
                <w:szCs w:val="20"/>
                <w:lang w:eastAsia="en-AU"/>
              </w:rPr>
              <w:t xml:space="preserve"> and associated structures; </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vehicle access, parking and manoeuvring;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private open space and landscaping;</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any required on-site services such as on-site effluent disposal areas, stormwater retention areas; and</w:t>
            </w:r>
          </w:p>
          <w:p w:rsidR="001074BA" w:rsidRPr="005A4389" w:rsidRDefault="001074BA" w:rsidP="005E3AE4">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any necessary buffering from constrained areas and essential infrastructure.</w:t>
            </w:r>
          </w:p>
        </w:tc>
        <w:tc>
          <w:tcPr>
            <w:tcW w:w="1751" w:type="pct"/>
            <w:gridSpan w:val="2"/>
            <w:tcMar>
              <w:top w:w="30" w:type="dxa"/>
              <w:left w:w="30" w:type="dxa"/>
              <w:bottom w:w="30" w:type="dxa"/>
              <w:right w:w="30" w:type="dxa"/>
            </w:tcMar>
            <w:hideMark/>
          </w:tcPr>
          <w:p w:rsidR="001074BA"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p w:rsidR="00544F27" w:rsidRPr="00544F27" w:rsidRDefault="00544F27" w:rsidP="00544F27">
            <w:pPr>
              <w:rPr>
                <w:rFonts w:ascii="Arial" w:eastAsia="Times New Roman" w:hAnsi="Arial" w:cs="Arial"/>
                <w:sz w:val="20"/>
                <w:szCs w:val="20"/>
                <w:lang w:eastAsia="en-AU"/>
              </w:rPr>
            </w:pPr>
          </w:p>
          <w:p w:rsidR="00544F27" w:rsidRPr="00544F27" w:rsidRDefault="00544F27" w:rsidP="00544F27">
            <w:pPr>
              <w:rPr>
                <w:rFonts w:ascii="Arial" w:eastAsia="Times New Roman" w:hAnsi="Arial" w:cs="Arial"/>
                <w:sz w:val="20"/>
                <w:szCs w:val="20"/>
                <w:lang w:eastAsia="en-AU"/>
              </w:rPr>
            </w:pPr>
          </w:p>
          <w:p w:rsidR="00544F27" w:rsidRPr="00544F27" w:rsidRDefault="00544F27" w:rsidP="00544F27">
            <w:pPr>
              <w:tabs>
                <w:tab w:val="left" w:pos="4539"/>
              </w:tabs>
              <w:rPr>
                <w:rFonts w:ascii="Arial" w:eastAsia="Times New Roman" w:hAnsi="Arial" w:cs="Arial"/>
                <w:sz w:val="20"/>
                <w:szCs w:val="20"/>
                <w:lang w:eastAsia="en-AU"/>
              </w:rPr>
            </w:pPr>
            <w:r>
              <w:rPr>
                <w:rFonts w:ascii="Arial" w:eastAsia="Times New Roman" w:hAnsi="Arial" w:cs="Arial"/>
                <w:sz w:val="20"/>
                <w:szCs w:val="20"/>
                <w:lang w:eastAsia="en-AU"/>
              </w:rPr>
              <w:tab/>
            </w:r>
          </w:p>
          <w:p w:rsidR="00544F27" w:rsidRPr="00544F27" w:rsidRDefault="00544F27" w:rsidP="00544F27">
            <w:pPr>
              <w:tabs>
                <w:tab w:val="left" w:pos="4539"/>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1623"/>
          <w:tblCellSpacing w:w="15" w:type="dxa"/>
        </w:trPr>
        <w:tc>
          <w:tcPr>
            <w:tcW w:w="1594" w:type="pct"/>
            <w:gridSpan w:val="2"/>
            <w:vMerge w:val="restart"/>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PO4</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Lot layout and street layout minimises the impacts of cutting, filling and retaining walls on the visual and physical amenity of the streetscape and adjoining lots. </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E4.1</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Development ensures that any cutting, filling, retaining walls and earthworks have maximum vertical dimensions of 1m either as a single element or a step in a terrace or series of terraces. </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166"/>
          <w:tblCellSpacing w:w="15" w:type="dxa"/>
        </w:trPr>
        <w:tc>
          <w:tcPr>
            <w:tcW w:w="1594" w:type="pct"/>
            <w:gridSpan w:val="2"/>
            <w:vMerge/>
            <w:tcMar>
              <w:top w:w="30" w:type="dxa"/>
              <w:left w:w="30" w:type="dxa"/>
              <w:bottom w:w="30" w:type="dxa"/>
              <w:right w:w="30" w:type="dxa"/>
            </w:tcMar>
            <w:vAlign w:val="center"/>
            <w:hideMark/>
          </w:tcPr>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E4.2</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Street alignment follows ridges or gullies or run perpendicular to slope.</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352"/>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PO5</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Lots are of a </w:t>
            </w:r>
            <w:proofErr w:type="gramStart"/>
            <w:r w:rsidRPr="005A4389">
              <w:rPr>
                <w:rFonts w:ascii="Arial" w:eastAsia="Times New Roman" w:hAnsi="Arial" w:cs="Arial"/>
                <w:sz w:val="20"/>
                <w:szCs w:val="20"/>
                <w:lang w:eastAsia="en-AU"/>
              </w:rPr>
              <w:t>sufficient</w:t>
            </w:r>
            <w:proofErr w:type="gramEnd"/>
            <w:r w:rsidRPr="005A4389">
              <w:rPr>
                <w:rFonts w:ascii="Arial" w:eastAsia="Times New Roman" w:hAnsi="Arial" w:cs="Arial"/>
                <w:sz w:val="20"/>
                <w:szCs w:val="20"/>
                <w:lang w:eastAsia="en-AU"/>
              </w:rPr>
              <w:t xml:space="preserve"> grade to accommodate effective stormwater drainage to a lawful point of discharge.</w:t>
            </w: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E5</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Street design and layout</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PO6</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Street layouts provide an efficient and legible movement network with high levels of connectivity within and external to the site by: </w:t>
            </w:r>
          </w:p>
          <w:p w:rsidR="001074BA" w:rsidRPr="005A4389"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t>facilitating increased activity transport through a focus on safety and amenity for pedestrians and cyclist;</w:t>
            </w:r>
          </w:p>
          <w:p w:rsidR="001074BA" w:rsidRPr="005A4389" w:rsidRDefault="001074BA" w:rsidP="005E3AE4">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facilitating possible future connections to adjoining sites for roads, green linkages and other essential infrastructure.</w:t>
            </w:r>
          </w:p>
          <w:tbl>
            <w:tblPr>
              <w:tblW w:w="473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30"/>
            </w:tblGrid>
            <w:tr w:rsidR="001074BA" w:rsidRPr="005A4389" w:rsidTr="0011683F">
              <w:trPr>
                <w:tblCellSpacing w:w="15" w:type="dxa"/>
              </w:trPr>
              <w:tc>
                <w:tcPr>
                  <w:tcW w:w="4670" w:type="dxa"/>
                  <w:vAlign w:val="cente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eastAsia="Times New Roman" w:hAnsi="Arial" w:cs="Arial"/>
                      <w:sz w:val="18"/>
                      <w:szCs w:val="20"/>
                      <w:lang w:eastAsia="en-AU"/>
                    </w:rPr>
                    <w:t>Note - Refer to Planning scheme policy - Integrated design for guidance on how to achieve compliance with this outcome.</w:t>
                  </w:r>
                </w:p>
              </w:tc>
            </w:tr>
          </w:tbl>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tcMar>
              <w:top w:w="30" w:type="dxa"/>
              <w:left w:w="30" w:type="dxa"/>
              <w:bottom w:w="30" w:type="dxa"/>
              <w:right w:w="30" w:type="dxa"/>
            </w:tcMa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E6</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7.2.3.2 - Movement, major streets, Figure 7.2.3.3 - Movement, walking and cycling.</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360FAD" w:rsidRPr="005A4389" w:rsidRDefault="00360FAD" w:rsidP="00360FAD">
            <w:pPr>
              <w:shd w:val="clear" w:color="auto" w:fill="FFFFFF"/>
              <w:spacing w:before="150" w:after="150" w:line="240" w:lineRule="auto"/>
              <w:ind w:left="150" w:right="150"/>
              <w:rPr>
                <w:rFonts w:ascii="Arial" w:eastAsia="Times New Roman" w:hAnsi="Arial" w:cs="Arial"/>
                <w:b/>
                <w:bCs/>
                <w:sz w:val="20"/>
                <w:szCs w:val="20"/>
                <w:lang w:eastAsia="en-AU"/>
              </w:rPr>
            </w:pPr>
            <w:r w:rsidRPr="005A4389">
              <w:rPr>
                <w:rFonts w:ascii="Arial" w:eastAsia="Times New Roman" w:hAnsi="Arial" w:cs="Arial"/>
                <w:b/>
                <w:bCs/>
                <w:sz w:val="20"/>
                <w:szCs w:val="20"/>
                <w:lang w:eastAsia="en-AU"/>
              </w:rPr>
              <w:t>PO7</w:t>
            </w:r>
          </w:p>
          <w:p w:rsidR="00360FAD" w:rsidRPr="005A4389" w:rsidRDefault="00360FAD" w:rsidP="00360FAD">
            <w:pPr>
              <w:shd w:val="clear" w:color="auto" w:fill="FFFFFF"/>
              <w:spacing w:before="150" w:after="150"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A4389">
              <w:rPr>
                <w:rFonts w:ascii="Arial" w:eastAsia="Times New Roman" w:hAnsi="Arial" w:cs="Arial"/>
                <w:sz w:val="20"/>
                <w:szCs w:val="20"/>
                <w:lang w:eastAsia="en-AU"/>
              </w:rPr>
              <w:t>accommodates</w:t>
            </w:r>
            <w:proofErr w:type="gramEnd"/>
            <w:r w:rsidRPr="005A4389">
              <w:rPr>
                <w:rFonts w:ascii="Arial" w:eastAsia="Times New Roman" w:hAnsi="Arial" w:cs="Arial"/>
                <w:sz w:val="20"/>
                <w:szCs w:val="20"/>
                <w:lang w:eastAsia="en-AU"/>
              </w:rPr>
              <w:t xml:space="preserve"> the following functions: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access to premises by providing convenient vehicular movement for residents between their homes and the major road network;</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safe and convenient pedestrian and cycle movement;</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adequate on street parking;</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stormwater drainage paths and treatment facilities;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efficient public transport routes;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utility services location;</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emergency access and waste collection;</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setting and approach (streetscape, landscaping and street furniture) for adjoining residences;</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expected traffic speeds and volumes; and</w:t>
            </w:r>
          </w:p>
          <w:p w:rsidR="00360FAD" w:rsidRPr="005A4389" w:rsidRDefault="00360FAD" w:rsidP="001B6A9C">
            <w:pPr>
              <w:numPr>
                <w:ilvl w:val="0"/>
                <w:numId w:val="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A4389">
              <w:rPr>
                <w:rFonts w:ascii="Arial" w:eastAsia="Times New Roman" w:hAnsi="Arial" w:cs="Arial"/>
                <w:sz w:val="20"/>
                <w:szCs w:val="20"/>
                <w:lang w:eastAsia="en-AU"/>
              </w:rPr>
              <w:t>wildlife movement (where relevant).</w:t>
            </w:r>
          </w:p>
          <w:p w:rsidR="00360FAD" w:rsidRPr="00C36C48" w:rsidRDefault="00360FAD" w:rsidP="00360FAD">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C36C48">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360FAD" w:rsidRPr="00C36C48" w:rsidRDefault="00360FAD" w:rsidP="00360FAD">
            <w:pPr>
              <w:shd w:val="clear" w:color="auto" w:fill="FFFFFF"/>
              <w:spacing w:before="100" w:beforeAutospacing="1" w:after="100" w:afterAutospacing="1" w:line="240" w:lineRule="auto"/>
              <w:ind w:left="90"/>
              <w:rPr>
                <w:rFonts w:ascii="Arial" w:eastAsia="Times New Roman" w:hAnsi="Arial" w:cs="Arial"/>
                <w:sz w:val="18"/>
                <w:szCs w:val="20"/>
                <w:lang w:eastAsia="en-AU"/>
              </w:rPr>
            </w:pPr>
            <w:r w:rsidRPr="00C36C48">
              <w:rPr>
                <w:rFonts w:ascii="Arial" w:hAnsi="Arial" w:cs="Arial"/>
                <w:sz w:val="18"/>
                <w:szCs w:val="20"/>
                <w:shd w:val="clear" w:color="auto" w:fill="FFFFFF"/>
              </w:rPr>
              <w:lastRenderedPageBreak/>
              <w:t>Note - Refer to Planning scheme policy - Environmental areas and corridors for examples of when and where wildlife movement infrastructure is required.</w:t>
            </w:r>
          </w:p>
          <w:p w:rsidR="001074BA" w:rsidRPr="005A4389" w:rsidRDefault="001074BA" w:rsidP="005E3AE4">
            <w:pPr>
              <w:spacing w:before="100" w:beforeAutospacing="1" w:after="100" w:afterAutospacing="1" w:line="240" w:lineRule="auto"/>
              <w:rPr>
                <w:rFonts w:ascii="Arial" w:eastAsia="Times New Roman" w:hAnsi="Arial" w:cs="Arial"/>
                <w:sz w:val="20"/>
                <w:szCs w:val="20"/>
                <w:lang w:eastAsia="en-AU"/>
              </w:rPr>
            </w:pP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E7</w:t>
            </w:r>
          </w:p>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Development is in accordance with Figure 7.2.3.2 - Movement, major streets, Figure 7.2.3.3 - Movement, walking and cycling.</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9635"/>
          <w:tblCellSpacing w:w="15" w:type="dxa"/>
        </w:trPr>
        <w:tc>
          <w:tcPr>
            <w:tcW w:w="1594" w:type="pct"/>
            <w:gridSpan w:val="2"/>
            <w:vMerge w:val="restart"/>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PO8</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The existing road network (whether trunk or non-trunk) is upgraded where necessary to cater for the impact from the development.</w:t>
            </w:r>
          </w:p>
          <w:p w:rsidR="00A46771" w:rsidRPr="00C36C48" w:rsidRDefault="00A46771" w:rsidP="00A46771">
            <w:pPr>
              <w:shd w:val="clear" w:color="auto" w:fill="FFFFFF"/>
              <w:spacing w:before="150" w:after="150" w:line="240" w:lineRule="auto"/>
              <w:ind w:left="150" w:right="150"/>
              <w:rPr>
                <w:rFonts w:ascii="Arial" w:eastAsia="Times New Roman" w:hAnsi="Arial" w:cs="Arial"/>
                <w:sz w:val="18"/>
                <w:szCs w:val="20"/>
                <w:lang w:eastAsia="en-AU"/>
              </w:rPr>
            </w:pPr>
            <w:r w:rsidRPr="00C36C48">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is within 200m of a sensitive location such as a school, shopping centre, bus or train station or a large generator of pedestrian or vehicular traffic;</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 xml:space="preserve">Forecast traffic to/from the development exceeds 5% of the </w:t>
            </w:r>
            <w:proofErr w:type="gramStart"/>
            <w:r w:rsidRPr="00C36C48">
              <w:rPr>
                <w:rFonts w:ascii="Arial" w:eastAsia="Times New Roman" w:hAnsi="Arial" w:cs="Arial"/>
                <w:sz w:val="18"/>
                <w:szCs w:val="20"/>
                <w:lang w:eastAsia="en-AU"/>
              </w:rPr>
              <w:t>two way</w:t>
            </w:r>
            <w:proofErr w:type="gramEnd"/>
            <w:r w:rsidRPr="00C36C48">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5A4389"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access onto a sub arterial, or arterial road or within 100m of a signalised intersection;</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Residential development greater than 50 lots or dwellings;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Offices greater than 4,000m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Gross Floor Area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Retail activities including Hardware and trade supplies, Showroom, Shop or Shopping centre greater than 1,000m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Warehouses and Industry greater than 6,000m</w:t>
            </w:r>
            <w:r w:rsidRPr="00C36C48">
              <w:rPr>
                <w:rFonts w:ascii="Arial" w:eastAsia="Times New Roman" w:hAnsi="Arial" w:cs="Arial"/>
                <w:sz w:val="18"/>
                <w:szCs w:val="20"/>
                <w:vertAlign w:val="superscript"/>
                <w:lang w:eastAsia="en-AU"/>
              </w:rPr>
              <w:t>2</w:t>
            </w:r>
            <w:r w:rsidRPr="00C36C48">
              <w:rPr>
                <w:rFonts w:ascii="Arial" w:eastAsia="Times New Roman" w:hAnsi="Arial" w:cs="Arial"/>
                <w:sz w:val="18"/>
                <w:szCs w:val="20"/>
                <w:lang w:eastAsia="en-AU"/>
              </w:rPr>
              <w:t> GFA;</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On-site carpark greater than 100 spaces;</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Development has a trip generation rate of 100 vehicles or more within the peak hour;</w:t>
            </w:r>
          </w:p>
          <w:p w:rsidR="00A46771" w:rsidRPr="00C36C48" w:rsidRDefault="00A46771" w:rsidP="001B6A9C">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lastRenderedPageBreak/>
              <w:t>Development which dissects or significantly impacts on an environmental area or an environmental corridor.</w:t>
            </w:r>
          </w:p>
          <w:p w:rsidR="00A46771" w:rsidRPr="00C36C48" w:rsidRDefault="00A46771" w:rsidP="00A46771">
            <w:pPr>
              <w:shd w:val="clear" w:color="auto" w:fill="FFFFFF"/>
              <w:spacing w:before="150" w:after="150" w:line="240" w:lineRule="auto"/>
              <w:ind w:left="240" w:right="150"/>
              <w:rPr>
                <w:rFonts w:ascii="Arial" w:eastAsia="Times New Roman" w:hAnsi="Arial" w:cs="Arial"/>
                <w:sz w:val="18"/>
                <w:szCs w:val="20"/>
                <w:lang w:eastAsia="en-AU"/>
              </w:rPr>
            </w:pPr>
            <w:r w:rsidRPr="00C36C48">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C36C48">
              <w:rPr>
                <w:rFonts w:ascii="Arial" w:eastAsia="Times New Roman" w:hAnsi="Arial" w:cs="Arial"/>
                <w:sz w:val="18"/>
                <w:szCs w:val="20"/>
                <w:lang w:eastAsia="en-AU"/>
              </w:rPr>
              <w:t>sufficient</w:t>
            </w:r>
            <w:proofErr w:type="gramEnd"/>
            <w:r w:rsidRPr="00C36C48">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A46771" w:rsidRPr="00C36C48" w:rsidRDefault="00A46771" w:rsidP="00A46771">
            <w:pPr>
              <w:shd w:val="clear" w:color="auto" w:fill="FFFFFF"/>
              <w:spacing w:before="150" w:after="150" w:line="240" w:lineRule="auto"/>
              <w:ind w:left="24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5A4389" w:rsidRDefault="00A46771" w:rsidP="00A46771">
            <w:pPr>
              <w:shd w:val="clear" w:color="auto" w:fill="FFFFFF"/>
              <w:spacing w:before="150" w:after="150" w:line="240" w:lineRule="auto"/>
              <w:ind w:left="24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The primary and secondary active transport network is mapped on Overlay map - Active transport</w:t>
            </w:r>
            <w:r w:rsidRPr="005A4389">
              <w:rPr>
                <w:rFonts w:ascii="Arial" w:hAnsi="Arial" w:cs="Arial"/>
                <w:sz w:val="20"/>
                <w:szCs w:val="20"/>
                <w:shd w:val="clear" w:color="auto" w:fill="FFFFFF"/>
              </w:rPr>
              <w:t>.</w:t>
            </w: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E8.1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All turns vehicular access to existing lots is to be retained at new road intersections wherever practicable.</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Existing on-street parking is to be retained at new road intersections and along road frontages wherever practicable.</w:t>
            </w:r>
          </w:p>
        </w:tc>
        <w:tc>
          <w:tcPr>
            <w:tcW w:w="577" w:type="pct"/>
            <w:gridSpan w:val="2"/>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788"/>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E8.2</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p w:rsidR="00A46771" w:rsidRPr="00C36C48" w:rsidRDefault="00A46771" w:rsidP="00A46771">
            <w:pPr>
              <w:pStyle w:val="NormalWeb"/>
              <w:spacing w:before="150" w:after="150"/>
              <w:ind w:left="150" w:right="150"/>
              <w:rPr>
                <w:rFonts w:ascii="Arial" w:hAnsi="Arial" w:cs="Arial"/>
                <w:sz w:val="18"/>
                <w:szCs w:val="20"/>
              </w:rPr>
            </w:pPr>
            <w:r w:rsidRPr="00C36C48">
              <w:rPr>
                <w:rFonts w:ascii="Arial" w:hAnsi="Arial" w:cs="Arial"/>
                <w:sz w:val="18"/>
                <w:szCs w:val="20"/>
              </w:rPr>
              <w:t>Note - All turns vehicular access to existing lots is to be retained at upgraded road intersections wherever practicable.</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Existing on-street parking is to be retained at upgraded road intersections and along road frontages wherever practicable.</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523"/>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E8.3</w:t>
            </w:r>
          </w:p>
          <w:p w:rsidR="00A46771" w:rsidRPr="0030696F" w:rsidRDefault="00A46771" w:rsidP="0030696F">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The active transport network is extended in accordance with Planning scheme policy - Integrated design.</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414"/>
          <w:tblCellSpacing w:w="15" w:type="dxa"/>
        </w:trPr>
        <w:tc>
          <w:tcPr>
            <w:tcW w:w="1594" w:type="pct"/>
            <w:gridSpan w:val="2"/>
            <w:vMerge w:val="restart"/>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PO9</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intersections along all streets and roads are located and designed to provide safe and convenient movements for all users.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Refer Planning scheme policy - Integrated design and Planning scheme policy - Operational works inspection, maintenance and bonding procedures for design and construction standards.</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5A4389">
              <w:rPr>
                <w:rFonts w:ascii="Arial" w:hAnsi="Arial" w:cs="Arial"/>
                <w:sz w:val="20"/>
                <w:szCs w:val="20"/>
                <w:shd w:val="clear" w:color="auto" w:fill="FFFFFF"/>
              </w:rPr>
              <w:t>.</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E9.1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Development is in accordance with Figure 7.2.3.2 - Movement, major streets, Figure 7.2.3.3 - Movement, walking and cycling</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577" w:type="pct"/>
            <w:gridSpan w:val="2"/>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val="restart"/>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79"/>
          <w:tblCellSpacing w:w="15" w:type="dxa"/>
        </w:trPr>
        <w:tc>
          <w:tcPr>
            <w:tcW w:w="1594" w:type="pct"/>
            <w:gridSpan w:val="2"/>
            <w:vMerge/>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E9.2</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New intersection spacing (centreline – centreline) along a through road conforms with the following:</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an access or collector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100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location on opposite side = 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 sub-arterial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300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opposite side = 150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Where the through road provides an arterial function:</w:t>
            </w:r>
            <w:r w:rsidRPr="00A46771">
              <w:rPr>
                <w:rFonts w:ascii="Arial" w:eastAsia="Times New Roman" w:hAnsi="Arial" w:cs="Arial"/>
                <w:sz w:val="20"/>
                <w:szCs w:val="20"/>
                <w:lang w:eastAsia="en-AU"/>
              </w:rPr>
              <w:br/>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same side = 500 metres;</w:t>
            </w:r>
          </w:p>
          <w:p w:rsidR="00A46771" w:rsidRPr="00A46771" w:rsidRDefault="00A46771" w:rsidP="001B6A9C">
            <w:pPr>
              <w:numPr>
                <w:ilvl w:val="1"/>
                <w:numId w:val="1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A46771">
              <w:rPr>
                <w:rFonts w:ascii="Arial" w:eastAsia="Times New Roman" w:hAnsi="Arial" w:cs="Arial"/>
                <w:sz w:val="20"/>
                <w:szCs w:val="20"/>
                <w:lang w:eastAsia="en-AU"/>
              </w:rPr>
              <w:t>intersecting road located on opposite side = 250 metres.</w:t>
            </w:r>
          </w:p>
          <w:p w:rsidR="00A46771" w:rsidRPr="00A46771" w:rsidRDefault="00A46771" w:rsidP="001B6A9C">
            <w:pPr>
              <w:numPr>
                <w:ilvl w:val="0"/>
                <w:numId w:val="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Walkable block perimeter does not exceed 1500 metres.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w:t>
            </w:r>
            <w:proofErr w:type="gramStart"/>
            <w:r w:rsidRPr="00C36C48">
              <w:rPr>
                <w:rFonts w:ascii="Arial" w:hAnsi="Arial" w:cs="Arial"/>
                <w:sz w:val="18"/>
                <w:szCs w:val="20"/>
                <w:shd w:val="clear" w:color="auto" w:fill="FFFFFF"/>
              </w:rPr>
              <w:t>-  Based</w:t>
            </w:r>
            <w:proofErr w:type="gramEnd"/>
            <w:r w:rsidRPr="00C36C48">
              <w:rPr>
                <w:rFonts w:ascii="Arial" w:hAnsi="Arial" w:cs="Arial"/>
                <w:sz w:val="18"/>
                <w:szCs w:val="20"/>
                <w:shd w:val="clear" w:color="auto" w:fill="FFFFFF"/>
              </w:rPr>
              <w:t xml:space="preserve"> on the absolute minimum intersection spacing identified above, all turns access may not be permitted (</w:t>
            </w:r>
            <w:proofErr w:type="spellStart"/>
            <w:r w:rsidRPr="00C36C48">
              <w:rPr>
                <w:rFonts w:ascii="Arial" w:hAnsi="Arial" w:cs="Arial"/>
                <w:sz w:val="18"/>
                <w:szCs w:val="20"/>
                <w:shd w:val="clear" w:color="auto" w:fill="FFFFFF"/>
              </w:rPr>
              <w:t>ie</w:t>
            </w:r>
            <w:proofErr w:type="spellEnd"/>
            <w:r w:rsidRPr="00C36C48">
              <w:rPr>
                <w:rFonts w:ascii="Arial" w:hAnsi="Arial" w:cs="Arial"/>
                <w:sz w:val="18"/>
                <w:szCs w:val="20"/>
                <w:shd w:val="clear" w:color="auto" w:fill="FFFFFF"/>
              </w:rPr>
              <w:t>. left in/left out only) at intersections with sub-arterial roads or arterial roads.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 xml:space="preserve">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 required for the </w:t>
            </w:r>
            <w:r w:rsidRPr="00C36C48">
              <w:rPr>
                <w:rFonts w:ascii="Arial" w:hAnsi="Arial" w:cs="Arial"/>
                <w:sz w:val="18"/>
                <w:szCs w:val="20"/>
                <w:shd w:val="clear" w:color="auto" w:fill="FFFFFF"/>
              </w:rPr>
              <w:lastRenderedPageBreak/>
              <w:t>intersection after considering vehicle speed and present/forecast turning and through volumes.</w:t>
            </w:r>
          </w:p>
        </w:tc>
        <w:tc>
          <w:tcPr>
            <w:tcW w:w="577" w:type="pct"/>
            <w:gridSpan w:val="2"/>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vMerge/>
          </w:tcPr>
          <w:p w:rsidR="00A46771" w:rsidRPr="005A4389" w:rsidRDefault="00A46771"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4790"/>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lastRenderedPageBreak/>
              <w:t>PO10</w:t>
            </w:r>
          </w:p>
          <w:p w:rsidR="00A46771"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1074BA"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Frontage roads include streets where no direct lot access is provided.</w:t>
            </w:r>
          </w:p>
          <w:p w:rsidR="00A46771"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road network is mapped on Overlay map - Road hierarchy.</w:t>
            </w:r>
          </w:p>
          <w:p w:rsidR="00A46771" w:rsidRPr="00C36C48" w:rsidRDefault="00A46771" w:rsidP="00A46771">
            <w:pPr>
              <w:shd w:val="clear" w:color="auto" w:fill="FFFFFF"/>
              <w:spacing w:before="150" w:after="150"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The Primary and Secondary active transport network is mapped on Overlay map - Active transport.</w:t>
            </w:r>
          </w:p>
          <w:p w:rsidR="00A46771"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E10</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4814" w:type="dxa"/>
              <w:tblInd w:w="150" w:type="dxa"/>
              <w:tblLook w:val="04A0" w:firstRow="1" w:lastRow="0" w:firstColumn="1" w:lastColumn="0" w:noHBand="0" w:noVBand="1"/>
            </w:tblPr>
            <w:tblGrid>
              <w:gridCol w:w="2185"/>
              <w:gridCol w:w="2629"/>
            </w:tblGrid>
            <w:tr w:rsidR="005A4389" w:rsidRPr="005A4389" w:rsidTr="00A46771">
              <w:tc>
                <w:tcPr>
                  <w:tcW w:w="2185"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Situation</w:t>
                  </w:r>
                </w:p>
              </w:tc>
              <w:tc>
                <w:tcPr>
                  <w:tcW w:w="2629"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Minimum construction</w:t>
                  </w:r>
                </w:p>
              </w:tc>
            </w:tr>
            <w:tr w:rsidR="005A4389" w:rsidRPr="005A4389" w:rsidTr="00A46771">
              <w:tc>
                <w:tcPr>
                  <w:tcW w:w="2185"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unconstructed or gravel road only;</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OR</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sealed but not constructed* to Planning scheme policy - Integrated design standard;</w:t>
                  </w:r>
                  <w:r w:rsidRPr="005A4389">
                    <w:rPr>
                      <w:rFonts w:ascii="Arial" w:hAnsi="Arial" w:cs="Arial"/>
                      <w:sz w:val="20"/>
                      <w:szCs w:val="20"/>
                    </w:rPr>
                    <w:br/>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OR</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Frontage road partially constructed* to Planning scheme policy - Integrated design standard.</w:t>
                  </w:r>
                  <w:r w:rsidRPr="005A4389">
                    <w:rPr>
                      <w:rFonts w:ascii="Arial" w:hAnsi="Arial" w:cs="Arial"/>
                      <w:sz w:val="20"/>
                      <w:szCs w:val="20"/>
                    </w:rPr>
                    <w:br/>
                  </w:r>
                </w:p>
              </w:tc>
              <w:tc>
                <w:tcPr>
                  <w:tcW w:w="2629"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A46771" w:rsidRPr="005A4389" w:rsidRDefault="00A46771" w:rsidP="00A46771">
                  <w:pPr>
                    <w:pStyle w:val="NormalWeb"/>
                    <w:spacing w:before="150" w:beforeAutospacing="0" w:after="150" w:afterAutospacing="0"/>
                    <w:ind w:right="150"/>
                    <w:rPr>
                      <w:rFonts w:ascii="Arial" w:hAnsi="Arial" w:cs="Arial"/>
                      <w:sz w:val="20"/>
                      <w:szCs w:val="20"/>
                    </w:rPr>
                  </w:pPr>
                  <w:r w:rsidRPr="005A4389">
                    <w:rPr>
                      <w:rFonts w:ascii="Arial" w:hAnsi="Arial" w:cs="Arial"/>
                      <w:sz w:val="20"/>
                      <w:szCs w:val="20"/>
                    </w:rPr>
                    <w:t>The minimum total travel lane width is:</w:t>
                  </w:r>
                </w:p>
                <w:p w:rsidR="00A46771" w:rsidRPr="005A4389" w:rsidRDefault="00A46771" w:rsidP="001B6A9C">
                  <w:pPr>
                    <w:numPr>
                      <w:ilvl w:val="0"/>
                      <w:numId w:val="11"/>
                    </w:numPr>
                    <w:spacing w:before="100" w:beforeAutospacing="1" w:after="100" w:afterAutospacing="1"/>
                    <w:ind w:left="450"/>
                    <w:rPr>
                      <w:rFonts w:ascii="Arial" w:hAnsi="Arial" w:cs="Arial"/>
                      <w:sz w:val="20"/>
                      <w:szCs w:val="20"/>
                    </w:rPr>
                  </w:pPr>
                  <w:r w:rsidRPr="005A4389">
                    <w:rPr>
                      <w:rFonts w:ascii="Arial" w:hAnsi="Arial" w:cs="Arial"/>
                      <w:sz w:val="20"/>
                      <w:szCs w:val="20"/>
                    </w:rPr>
                    <w:t>6m for minor roads;</w:t>
                  </w:r>
                  <w:r w:rsidRPr="005A4389">
                    <w:rPr>
                      <w:rFonts w:ascii="Arial" w:hAnsi="Arial" w:cs="Arial"/>
                      <w:sz w:val="20"/>
                      <w:szCs w:val="20"/>
                    </w:rPr>
                    <w:br/>
                  </w:r>
                </w:p>
                <w:p w:rsidR="00A46771" w:rsidRPr="005A4389" w:rsidRDefault="00A46771" w:rsidP="001B6A9C">
                  <w:pPr>
                    <w:numPr>
                      <w:ilvl w:val="0"/>
                      <w:numId w:val="11"/>
                    </w:numPr>
                    <w:spacing w:before="100" w:beforeAutospacing="1" w:after="100" w:afterAutospacing="1"/>
                    <w:ind w:left="450"/>
                    <w:rPr>
                      <w:rFonts w:ascii="Arial" w:hAnsi="Arial" w:cs="Arial"/>
                      <w:sz w:val="20"/>
                      <w:szCs w:val="20"/>
                    </w:rPr>
                  </w:pPr>
                  <w:r w:rsidRPr="005A4389">
                    <w:rPr>
                      <w:rFonts w:ascii="Arial" w:hAnsi="Arial" w:cs="Arial"/>
                      <w:sz w:val="20"/>
                      <w:szCs w:val="20"/>
                    </w:rPr>
                    <w:t>7m for major roads.</w:t>
                  </w:r>
                </w:p>
              </w:tc>
            </w:tr>
          </w:tbl>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Major roads are sub-arterial roads and arterial roads.  Minor roads are roads that are not major roads.</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 Construction includes all associated works (services, street lighting and </w:t>
            </w:r>
            <w:proofErr w:type="spellStart"/>
            <w:r w:rsidRPr="00C36C48">
              <w:rPr>
                <w:rFonts w:ascii="Arial" w:hAnsi="Arial" w:cs="Arial"/>
                <w:sz w:val="18"/>
                <w:szCs w:val="20"/>
                <w:shd w:val="clear" w:color="auto" w:fill="FFFFFF"/>
              </w:rPr>
              <w:t>linemarking</w:t>
            </w:r>
            <w:proofErr w:type="spellEnd"/>
            <w:r w:rsidRPr="00C36C48">
              <w:rPr>
                <w:rFonts w:ascii="Arial" w:hAnsi="Arial" w:cs="Arial"/>
                <w:sz w:val="18"/>
                <w:szCs w:val="20"/>
                <w:shd w:val="clear" w:color="auto" w:fill="FFFFFF"/>
              </w:rPr>
              <w:t>).</w:t>
            </w:r>
          </w:p>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Alignment within road reserves is to be agreed with Council.</w:t>
            </w:r>
          </w:p>
          <w:p w:rsidR="00C36C48" w:rsidRPr="00C36C48" w:rsidRDefault="00A46771" w:rsidP="00C36C48">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 xml:space="preserve">Note - *Roads </w:t>
            </w:r>
            <w:proofErr w:type="gramStart"/>
            <w:r w:rsidRPr="00C36C48">
              <w:rPr>
                <w:rFonts w:ascii="Arial" w:hAnsi="Arial" w:cs="Arial"/>
                <w:sz w:val="18"/>
                <w:szCs w:val="20"/>
                <w:shd w:val="clear" w:color="auto" w:fill="FFFFFF"/>
              </w:rPr>
              <w:t>are considered to be</w:t>
            </w:r>
            <w:proofErr w:type="gramEnd"/>
            <w:r w:rsidRPr="00C36C48">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PO11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Sealed and flood free road access during the minor storm event is available to the site from the nearest arterial or sub-arterial road.</w:t>
            </w:r>
          </w:p>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p>
        </w:tc>
        <w:tc>
          <w:tcPr>
            <w:tcW w:w="1751" w:type="pct"/>
            <w:gridSpan w:val="2"/>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E11</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C36C48">
              <w:rPr>
                <w:rFonts w:ascii="Arial" w:hAnsi="Arial" w:cs="Arial"/>
                <w:sz w:val="18"/>
                <w:szCs w:val="20"/>
                <w:shd w:val="clear" w:color="auto" w:fill="FFFFFF"/>
              </w:rPr>
              <w:t>Note - The road network is mapped on Overlay map - Road hierarchy.</w:t>
            </w:r>
          </w:p>
        </w:tc>
        <w:tc>
          <w:tcPr>
            <w:tcW w:w="577" w:type="pct"/>
            <w:gridSpan w:val="2"/>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PO12</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Cul-de-sacs or </w:t>
            </w:r>
            <w:proofErr w:type="gramStart"/>
            <w:r w:rsidRPr="005A4389">
              <w:rPr>
                <w:rFonts w:ascii="Arial" w:hAnsi="Arial" w:cs="Arial"/>
                <w:sz w:val="20"/>
                <w:szCs w:val="20"/>
              </w:rPr>
              <w:t>dead end</w:t>
            </w:r>
            <w:proofErr w:type="gramEnd"/>
            <w:r w:rsidRPr="005A4389">
              <w:rPr>
                <w:rFonts w:ascii="Arial" w:hAnsi="Arial" w:cs="Arial"/>
                <w:sz w:val="20"/>
                <w:szCs w:val="20"/>
              </w:rPr>
              <w:t xml:space="preserve"> streets are not proposed unless:</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topography or other physical barriers exist to the continuance of street network;</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connection to an existing road is not permitted;</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lastRenderedPageBreak/>
              <w:t xml:space="preserve">there </w:t>
            </w:r>
            <w:proofErr w:type="gramStart"/>
            <w:r w:rsidRPr="005A4389">
              <w:rPr>
                <w:rFonts w:ascii="Arial" w:hAnsi="Arial" w:cs="Arial"/>
                <w:sz w:val="20"/>
                <w:szCs w:val="20"/>
              </w:rPr>
              <w:t>is</w:t>
            </w:r>
            <w:proofErr w:type="gramEnd"/>
            <w:r w:rsidRPr="005A4389">
              <w:rPr>
                <w:rFonts w:ascii="Arial" w:hAnsi="Arial" w:cs="Arial"/>
                <w:sz w:val="20"/>
                <w:szCs w:val="20"/>
              </w:rPr>
              <w:t xml:space="preserve"> no appropriate alternative solutions,</w:t>
            </w:r>
          </w:p>
          <w:p w:rsidR="00A46771" w:rsidRPr="005A4389" w:rsidRDefault="00A46771" w:rsidP="001B6A9C">
            <w:pPr>
              <w:pStyle w:val="NormalWeb"/>
              <w:numPr>
                <w:ilvl w:val="0"/>
                <w:numId w:val="12"/>
              </w:numPr>
              <w:shd w:val="clear" w:color="auto" w:fill="FFFFFF"/>
              <w:spacing w:before="150" w:beforeAutospacing="0" w:after="150" w:afterAutospacing="0"/>
              <w:ind w:left="600" w:right="150"/>
              <w:rPr>
                <w:rFonts w:ascii="Arial" w:hAnsi="Arial" w:cs="Arial"/>
                <w:b/>
                <w:bCs/>
                <w:sz w:val="20"/>
                <w:szCs w:val="20"/>
              </w:rPr>
            </w:pPr>
            <w:r w:rsidRPr="005A4389">
              <w:rPr>
                <w:rFonts w:ascii="Arial" w:hAnsi="Arial" w:cs="Arial"/>
                <w:sz w:val="20"/>
                <w:szCs w:val="20"/>
              </w:rPr>
              <w:t xml:space="preserve">the </w:t>
            </w:r>
            <w:proofErr w:type="spellStart"/>
            <w:r w:rsidRPr="005A4389">
              <w:rPr>
                <w:rFonts w:ascii="Arial" w:hAnsi="Arial" w:cs="Arial"/>
                <w:sz w:val="20"/>
                <w:szCs w:val="20"/>
              </w:rPr>
              <w:t>cul</w:t>
            </w:r>
            <w:proofErr w:type="spellEnd"/>
            <w:r w:rsidRPr="005A4389">
              <w:rPr>
                <w:rFonts w:ascii="Arial" w:hAnsi="Arial" w:cs="Arial"/>
                <w:sz w:val="20"/>
                <w:szCs w:val="20"/>
              </w:rPr>
              <w:t xml:space="preserve">-des-sac or </w:t>
            </w:r>
            <w:proofErr w:type="gramStart"/>
            <w:r w:rsidRPr="005A4389">
              <w:rPr>
                <w:rFonts w:ascii="Arial" w:hAnsi="Arial" w:cs="Arial"/>
                <w:sz w:val="20"/>
                <w:szCs w:val="20"/>
              </w:rPr>
              <w:t>dead end</w:t>
            </w:r>
            <w:proofErr w:type="gramEnd"/>
            <w:r w:rsidRPr="005A4389">
              <w:rPr>
                <w:rFonts w:ascii="Arial" w:hAnsi="Arial" w:cs="Arial"/>
                <w:sz w:val="20"/>
                <w:szCs w:val="20"/>
              </w:rPr>
              <w:t xml:space="preserve"> street will facilitate future connections to adjoining land or development.</w:t>
            </w:r>
          </w:p>
        </w:tc>
        <w:tc>
          <w:tcPr>
            <w:tcW w:w="1751" w:type="pct"/>
            <w:gridSpan w:val="2"/>
          </w:tcPr>
          <w:p w:rsidR="00A46771" w:rsidRPr="005A4389" w:rsidRDefault="00A46771" w:rsidP="00A46771">
            <w:pPr>
              <w:shd w:val="clear" w:color="auto" w:fill="FFFFFF"/>
              <w:spacing w:before="150" w:after="150" w:line="240" w:lineRule="auto"/>
              <w:ind w:left="150" w:right="150"/>
              <w:rPr>
                <w:rFonts w:ascii="Arial" w:eastAsia="Times New Roman" w:hAnsi="Arial" w:cs="Arial"/>
                <w:b/>
                <w:bCs/>
                <w:sz w:val="20"/>
                <w:szCs w:val="20"/>
                <w:lang w:eastAsia="en-AU"/>
              </w:rPr>
            </w:pPr>
            <w:r w:rsidRPr="005A4389">
              <w:rPr>
                <w:rFonts w:ascii="Arial" w:hAnsi="Arial" w:cs="Arial"/>
                <w:sz w:val="20"/>
                <w:szCs w:val="20"/>
                <w:shd w:val="clear" w:color="auto" w:fill="FFFFFF"/>
              </w:rPr>
              <w:lastRenderedPageBreak/>
              <w:t>No example provided.</w:t>
            </w:r>
          </w:p>
        </w:tc>
        <w:tc>
          <w:tcPr>
            <w:tcW w:w="577" w:type="pct"/>
            <w:gridSpan w:val="2"/>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84"/>
          <w:tblCellSpacing w:w="15" w:type="dxa"/>
        </w:trPr>
        <w:tc>
          <w:tcPr>
            <w:tcW w:w="3355" w:type="pct"/>
            <w:gridSpan w:val="4"/>
            <w:shd w:val="clear" w:color="auto" w:fill="CCCCCC"/>
            <w:hideMark/>
          </w:tcPr>
          <w:p w:rsidR="001074BA"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Utilities</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7875"/>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All services, including water supply, sewage disposal, electricity, street</w:t>
            </w:r>
            <w:r w:rsidR="0053477A">
              <w:rPr>
                <w:rFonts w:ascii="Arial" w:hAnsi="Arial" w:cs="Arial"/>
                <w:sz w:val="20"/>
                <w:szCs w:val="20"/>
              </w:rPr>
              <w:t xml:space="preserve"> l</w:t>
            </w:r>
            <w:r w:rsidRPr="005A4389">
              <w:rPr>
                <w:rFonts w:ascii="Arial" w:hAnsi="Arial" w:cs="Arial"/>
                <w:sz w:val="20"/>
                <w:szCs w:val="20"/>
              </w:rPr>
              <w:t>ighting, telecommunications and gas (if available) are provided in a manner that:</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is effective in delivery of service and meets reasonable community expectations;</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has capacity to service the maximum lot yield envisaged for the zone and the service provider's design assumptions;</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ensures a logical, sequential, efficient and integrated roll out of the service network;</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is conveniently accessible in the event of maintenance or repair;</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whole of life cycle costs for that infrastructure provided;</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risk of potential adverse impacts on natural and physical environment;</w:t>
            </w:r>
          </w:p>
          <w:p w:rsidR="00A46771"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minimises risk of potential adverse impact on amenity and character values; and</w:t>
            </w:r>
          </w:p>
          <w:p w:rsidR="001074BA" w:rsidRPr="005A4389" w:rsidRDefault="00A46771" w:rsidP="001B6A9C">
            <w:pPr>
              <w:pStyle w:val="NormalWeb"/>
              <w:numPr>
                <w:ilvl w:val="0"/>
                <w:numId w:val="13"/>
              </w:numPr>
              <w:shd w:val="clear" w:color="auto" w:fill="FFFFFF"/>
              <w:spacing w:before="150" w:beforeAutospacing="0" w:after="150" w:afterAutospacing="0"/>
              <w:ind w:left="600" w:right="150"/>
              <w:rPr>
                <w:rFonts w:ascii="Arial" w:hAnsi="Arial" w:cs="Arial"/>
                <w:sz w:val="20"/>
                <w:szCs w:val="20"/>
              </w:rPr>
            </w:pPr>
            <w:r w:rsidRPr="005A4389">
              <w:rPr>
                <w:rFonts w:ascii="Arial" w:hAnsi="Arial" w:cs="Arial"/>
                <w:sz w:val="20"/>
                <w:szCs w:val="20"/>
              </w:rPr>
              <w:t>recognises and promotes Councils Total Water Cycle Management policy and the efficient use of water resources.</w:t>
            </w:r>
          </w:p>
          <w:p w:rsidR="00A46771" w:rsidRPr="005A4389" w:rsidRDefault="00A46771" w:rsidP="00A46771">
            <w:pPr>
              <w:pStyle w:val="NormalWeb"/>
              <w:shd w:val="clear" w:color="auto" w:fill="FFFFFF"/>
              <w:spacing w:before="150" w:beforeAutospacing="0" w:after="150" w:afterAutospacing="0"/>
              <w:ind w:left="240" w:right="150"/>
              <w:rPr>
                <w:rFonts w:ascii="Arial" w:hAnsi="Arial" w:cs="Arial"/>
                <w:sz w:val="20"/>
                <w:szCs w:val="20"/>
              </w:rPr>
            </w:pPr>
            <w:r w:rsidRPr="00C36C48">
              <w:rPr>
                <w:rFonts w:ascii="Arial" w:hAnsi="Arial" w:cs="Arial"/>
                <w:sz w:val="18"/>
                <w:szCs w:val="20"/>
                <w:shd w:val="clear" w:color="auto" w:fill="FFFFFF"/>
              </w:rPr>
              <w:t>Note - Refer to Planning scheme policy - Integrated design for guidance on how to achieve compliance with this outcome.</w:t>
            </w:r>
          </w:p>
        </w:tc>
        <w:tc>
          <w:tcPr>
            <w:tcW w:w="1751"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E13</w:t>
            </w:r>
          </w:p>
          <w:p w:rsidR="001074BA" w:rsidRPr="005A4389"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Each lot is provided with an appropriate level of service and infrastructure in accordance with Planning scheme policy - Integrated design (Appendix A).</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Boundary realignment</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9316"/>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b/>
                <w:bCs/>
                <w:sz w:val="20"/>
                <w:szCs w:val="20"/>
                <w:lang w:eastAsia="en-AU"/>
              </w:rPr>
              <w:t>PO14</w:t>
            </w:r>
          </w:p>
          <w:p w:rsidR="00A46771" w:rsidRPr="00A46771" w:rsidRDefault="00A46771" w:rsidP="00A46771">
            <w:pPr>
              <w:shd w:val="clear" w:color="auto" w:fill="FFFFFF"/>
              <w:spacing w:before="150" w:after="150" w:line="240" w:lineRule="auto"/>
              <w:ind w:left="150" w:right="150"/>
              <w:rPr>
                <w:rFonts w:ascii="Arial" w:eastAsia="Times New Roman" w:hAnsi="Arial" w:cs="Arial"/>
                <w:sz w:val="20"/>
                <w:szCs w:val="20"/>
                <w:lang w:eastAsia="en-AU"/>
              </w:rPr>
            </w:pPr>
            <w:r w:rsidRPr="00A46771">
              <w:rPr>
                <w:rFonts w:ascii="Arial" w:eastAsia="Times New Roman" w:hAnsi="Arial" w:cs="Arial"/>
                <w:sz w:val="20"/>
                <w:szCs w:val="20"/>
                <w:lang w:eastAsia="en-AU"/>
              </w:rPr>
              <w:t>Boundary realignment: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does not result in the creation, or in the potential creation of, additional lots;</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does not result in lots of a size or dimension inconsistent with that identified for any precinct or sub-precinct.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is an improvement on the existing land use situation;</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existing land uses on-site becoming non-compliant with planning scheme criteria;</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results in lots which have appropriate size, dimensions and access to cater for uses consistent with the precinct;</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infrastructure and services are wholly contained within the lot they serve;</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ensures the uninterrupted continuation of lots providing for their own private servicing;</w:t>
            </w:r>
          </w:p>
          <w:p w:rsidR="00A46771" w:rsidRPr="00A46771"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the loss of habitat trees.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1074BA" w:rsidRPr="005A4389" w:rsidRDefault="00A46771" w:rsidP="001B6A9C">
            <w:pPr>
              <w:numPr>
                <w:ilvl w:val="0"/>
                <w:numId w:val="14"/>
              </w:numPr>
              <w:shd w:val="clear" w:color="auto" w:fill="FFFFFF"/>
              <w:spacing w:before="150" w:after="150" w:line="240" w:lineRule="auto"/>
              <w:ind w:left="600" w:right="150"/>
              <w:rPr>
                <w:rFonts w:ascii="Arial" w:eastAsia="Times New Roman" w:hAnsi="Arial" w:cs="Arial"/>
                <w:sz w:val="20"/>
                <w:szCs w:val="20"/>
                <w:lang w:eastAsia="en-AU"/>
              </w:rPr>
            </w:pPr>
            <w:r w:rsidRPr="00A46771">
              <w:rPr>
                <w:rFonts w:ascii="Arial" w:eastAsia="Times New Roman" w:hAnsi="Arial" w:cs="Arial"/>
                <w:sz w:val="20"/>
                <w:szCs w:val="20"/>
                <w:lang w:eastAsia="en-AU"/>
              </w:rPr>
              <w:t>do not result in adverse impacts on the quality and integrity of the biodiversity and ecological values inherent to a High Value Area identified in Overlay map - Environmental areas.</w:t>
            </w:r>
            <w:r w:rsidR="001074BA" w:rsidRPr="005A4389">
              <w:rPr>
                <w:rFonts w:ascii="Arial" w:eastAsia="Times New Roman" w:hAnsi="Arial" w:cs="Arial"/>
                <w:sz w:val="20"/>
                <w:szCs w:val="20"/>
                <w:lang w:eastAsia="en-AU"/>
              </w:rPr>
              <w:t xml:space="preserve"> </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Community title and lease</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PO15</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Reconfiguring a lot which separates existing or approved buildings whether or not including </w:t>
            </w:r>
            <w:proofErr w:type="gramStart"/>
            <w:r w:rsidRPr="005A4389">
              <w:rPr>
                <w:rFonts w:ascii="Arial" w:hAnsi="Arial" w:cs="Arial"/>
                <w:sz w:val="20"/>
                <w:szCs w:val="20"/>
              </w:rPr>
              <w:t>land,</w:t>
            </w:r>
            <w:r w:rsidR="00C36C48">
              <w:rPr>
                <w:rFonts w:ascii="Arial" w:hAnsi="Arial" w:cs="Arial"/>
                <w:sz w:val="20"/>
                <w:szCs w:val="20"/>
              </w:rPr>
              <w:t xml:space="preserve"> </w:t>
            </w:r>
            <w:r w:rsidRPr="005A4389">
              <w:rPr>
                <w:rFonts w:ascii="Arial" w:hAnsi="Arial" w:cs="Arial"/>
                <w:sz w:val="20"/>
                <w:szCs w:val="20"/>
              </w:rPr>
              <w:t>or</w:t>
            </w:r>
            <w:proofErr w:type="gramEnd"/>
            <w:r w:rsidRPr="005A4389">
              <w:rPr>
                <w:rFonts w:ascii="Arial" w:hAnsi="Arial" w:cs="Arial"/>
                <w:sz w:val="20"/>
                <w:szCs w:val="20"/>
              </w:rPr>
              <w:t xml:space="preserve"> separates land by way of lease does not result in land uses becoming unlawful or dependant elements of a use being separated by title.</w:t>
            </w:r>
          </w:p>
          <w:p w:rsidR="00A46771" w:rsidRPr="00C36C48" w:rsidRDefault="00A46771" w:rsidP="00A46771">
            <w:pPr>
              <w:shd w:val="clear" w:color="auto" w:fill="FFFFFF"/>
              <w:spacing w:before="150" w:after="150" w:line="240" w:lineRule="auto"/>
              <w:ind w:left="150" w:right="150"/>
              <w:rPr>
                <w:rFonts w:ascii="Arial" w:eastAsia="Times New Roman" w:hAnsi="Arial" w:cs="Arial"/>
                <w:sz w:val="18"/>
                <w:szCs w:val="20"/>
                <w:lang w:eastAsia="en-AU"/>
              </w:rPr>
            </w:pPr>
            <w:r w:rsidRPr="00C36C48">
              <w:rPr>
                <w:rFonts w:ascii="Arial" w:eastAsia="Times New Roman" w:hAnsi="Arial" w:cs="Arial"/>
                <w:sz w:val="18"/>
                <w:szCs w:val="20"/>
                <w:lang w:eastAsia="en-AU"/>
              </w:rPr>
              <w:t>Note - Examples may include but are not limited to:</w:t>
            </w:r>
          </w:p>
          <w:p w:rsidR="00A46771" w:rsidRPr="00C36C48" w:rsidRDefault="00A46771" w:rsidP="001B6A9C">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C36C48">
              <w:rPr>
                <w:rFonts w:ascii="Arial" w:eastAsia="Times New Roman" w:hAnsi="Arial" w:cs="Arial"/>
                <w:sz w:val="18"/>
                <w:szCs w:val="20"/>
                <w:lang w:eastAsia="en-AU"/>
              </w:rPr>
              <w:t>Where a commercial or industrial land use contains an ancillary office</w:t>
            </w:r>
            <w:r w:rsidRPr="00C36C48">
              <w:rPr>
                <w:rFonts w:ascii="Arial" w:eastAsia="Times New Roman" w:hAnsi="Arial" w:cs="Arial"/>
                <w:sz w:val="18"/>
                <w:szCs w:val="20"/>
                <w:vertAlign w:val="superscript"/>
                <w:lang w:eastAsia="en-AU"/>
              </w:rPr>
              <w:t>(</w:t>
            </w:r>
            <w:hyperlink r:id="rId12" w:anchor="target-d412305e571632" w:tooltip="Office - Premises used for an administrative, secretarial or management service or the practice of a profession, where no goods or materials are made, sold or hired and where the principal activity provides for one or more of the following:" w:history="1">
              <w:r w:rsidRPr="00C36C48">
                <w:rPr>
                  <w:rFonts w:ascii="Arial" w:eastAsia="Times New Roman" w:hAnsi="Arial" w:cs="Arial"/>
                  <w:sz w:val="18"/>
                  <w:szCs w:val="20"/>
                  <w:u w:val="single"/>
                  <w:vertAlign w:val="superscript"/>
                  <w:lang w:eastAsia="en-AU"/>
                </w:rPr>
                <w:t>53</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the office</w:t>
            </w:r>
            <w:r w:rsidRPr="00C36C48">
              <w:rPr>
                <w:rFonts w:ascii="Arial" w:eastAsia="Times New Roman" w:hAnsi="Arial" w:cs="Arial"/>
                <w:sz w:val="18"/>
                <w:szCs w:val="20"/>
                <w:vertAlign w:val="superscript"/>
                <w:lang w:eastAsia="en-AU"/>
              </w:rPr>
              <w:t>(</w:t>
            </w:r>
            <w:hyperlink r:id="rId13" w:anchor="target-d412305e571632" w:tooltip="Office - Premises used for an administrative, secretarial or management service or the practice of a profession, where no goods or materials are made, sold or hired and where the principal activity provides for one or more of the following:" w:history="1">
              <w:r w:rsidRPr="00C36C48">
                <w:rPr>
                  <w:rFonts w:ascii="Arial" w:eastAsia="Times New Roman" w:hAnsi="Arial" w:cs="Arial"/>
                  <w:sz w:val="18"/>
                  <w:szCs w:val="20"/>
                  <w:u w:val="single"/>
                  <w:vertAlign w:val="superscript"/>
                  <w:lang w:eastAsia="en-AU"/>
                </w:rPr>
                <w:t>53</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cannot be separately titled as it is considered part of the commercial or industrial use.</w:t>
            </w:r>
          </w:p>
          <w:p w:rsidR="00A46771" w:rsidRPr="005A4389" w:rsidRDefault="00A46771" w:rsidP="001B6A9C">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36C48">
              <w:rPr>
                <w:rFonts w:ascii="Arial" w:eastAsia="Times New Roman" w:hAnsi="Arial" w:cs="Arial"/>
                <w:sz w:val="18"/>
                <w:szCs w:val="20"/>
                <w:lang w:eastAsia="en-AU"/>
              </w:rPr>
              <w:t>Where a Dwelling house</w:t>
            </w:r>
            <w:r w:rsidRPr="00C36C48">
              <w:rPr>
                <w:rFonts w:ascii="Arial" w:eastAsia="Times New Roman" w:hAnsi="Arial" w:cs="Arial"/>
                <w:sz w:val="18"/>
                <w:szCs w:val="20"/>
                <w:vertAlign w:val="superscript"/>
                <w:lang w:eastAsia="en-AU"/>
              </w:rPr>
              <w:t>(</w:t>
            </w:r>
            <w:hyperlink r:id="rId14"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Fonts w:ascii="Arial" w:eastAsia="Times New Roman" w:hAnsi="Arial" w:cs="Arial"/>
                  <w:sz w:val="18"/>
                  <w:szCs w:val="20"/>
                  <w:u w:val="single"/>
                  <w:vertAlign w:val="superscript"/>
                  <w:lang w:eastAsia="en-AU"/>
                </w:rPr>
                <w:t>22</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includes a secondary dwelling or associated outbuildings, they cannot be separately titled as they are dependent on the Dwelling house</w:t>
            </w:r>
            <w:r w:rsidRPr="00C36C48">
              <w:rPr>
                <w:rFonts w:ascii="Arial" w:eastAsia="Times New Roman" w:hAnsi="Arial" w:cs="Arial"/>
                <w:sz w:val="18"/>
                <w:szCs w:val="20"/>
                <w:vertAlign w:val="superscript"/>
                <w:lang w:eastAsia="en-AU"/>
              </w:rPr>
              <w:t>(</w:t>
            </w:r>
            <w:hyperlink r:id="rId15"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Fonts w:ascii="Arial" w:eastAsia="Times New Roman" w:hAnsi="Arial" w:cs="Arial"/>
                  <w:sz w:val="18"/>
                  <w:szCs w:val="20"/>
                  <w:u w:val="single"/>
                  <w:vertAlign w:val="superscript"/>
                  <w:lang w:eastAsia="en-AU"/>
                </w:rPr>
                <w:t>22</w:t>
              </w:r>
            </w:hyperlink>
            <w:r w:rsidRPr="00C36C48">
              <w:rPr>
                <w:rFonts w:ascii="Arial" w:eastAsia="Times New Roman" w:hAnsi="Arial" w:cs="Arial"/>
                <w:sz w:val="18"/>
                <w:szCs w:val="20"/>
                <w:vertAlign w:val="superscript"/>
                <w:lang w:eastAsia="en-AU"/>
              </w:rPr>
              <w:t>)</w:t>
            </w:r>
            <w:r w:rsidRPr="00C36C48">
              <w:rPr>
                <w:rFonts w:ascii="Arial" w:eastAsia="Times New Roman" w:hAnsi="Arial" w:cs="Arial"/>
                <w:sz w:val="18"/>
                <w:szCs w:val="20"/>
                <w:lang w:eastAsia="en-AU"/>
              </w:rPr>
              <w:t> use.</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403"/>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Volumetric subdivision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PO16</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non-complying with planning scheme criteria.</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C36C48">
              <w:rPr>
                <w:rFonts w:ascii="Arial" w:hAnsi="Arial" w:cs="Arial"/>
                <w:sz w:val="18"/>
                <w:szCs w:val="20"/>
                <w:shd w:val="clear" w:color="auto" w:fill="FFFFFF"/>
              </w:rPr>
              <w:t>Note - Examples may include but are not limited to where a Dwelling house</w:t>
            </w:r>
            <w:r w:rsidRPr="00C36C48">
              <w:rPr>
                <w:rFonts w:ascii="Arial" w:hAnsi="Arial" w:cs="Arial"/>
                <w:sz w:val="18"/>
                <w:szCs w:val="20"/>
                <w:shd w:val="clear" w:color="auto" w:fill="FFFFFF"/>
                <w:vertAlign w:val="superscript"/>
              </w:rPr>
              <w:t>(</w:t>
            </w:r>
            <w:hyperlink r:id="rId1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Style w:val="Hyperlink"/>
                  <w:rFonts w:ascii="Arial" w:hAnsi="Arial" w:cs="Arial"/>
                  <w:color w:val="auto"/>
                  <w:sz w:val="18"/>
                  <w:szCs w:val="20"/>
                  <w:shd w:val="clear" w:color="auto" w:fill="FFFFFF"/>
                  <w:vertAlign w:val="superscript"/>
                </w:rPr>
                <w:t>22</w:t>
              </w:r>
            </w:hyperlink>
            <w:r w:rsidRPr="00C36C48">
              <w:rPr>
                <w:rFonts w:ascii="Arial" w:hAnsi="Arial" w:cs="Arial"/>
                <w:sz w:val="18"/>
                <w:szCs w:val="20"/>
                <w:shd w:val="clear" w:color="auto" w:fill="FFFFFF"/>
                <w:vertAlign w:val="superscript"/>
              </w:rPr>
              <w:t>)</w:t>
            </w:r>
            <w:r w:rsidRPr="00C36C48">
              <w:rPr>
                <w:rFonts w:ascii="Arial" w:hAnsi="Arial" w:cs="Arial"/>
                <w:sz w:val="18"/>
                <w:szCs w:val="20"/>
                <w:shd w:val="clear" w:color="auto" w:fill="FFFFFF"/>
              </w:rPr>
              <w:t> includes a secondary dwelling or associated outbuildings, they cannot be separately titled as they are dependent on the Dwelling house</w:t>
            </w:r>
            <w:r w:rsidRPr="00C36C48">
              <w:rPr>
                <w:rFonts w:ascii="Arial" w:hAnsi="Arial" w:cs="Arial"/>
                <w:sz w:val="18"/>
                <w:szCs w:val="20"/>
                <w:shd w:val="clear" w:color="auto" w:fill="FFFFFF"/>
                <w:vertAlign w:val="superscript"/>
              </w:rPr>
              <w:t>(</w:t>
            </w:r>
            <w:hyperlink r:id="rId17"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C36C48">
                <w:rPr>
                  <w:rStyle w:val="Hyperlink"/>
                  <w:rFonts w:ascii="Arial" w:hAnsi="Arial" w:cs="Arial"/>
                  <w:color w:val="auto"/>
                  <w:sz w:val="18"/>
                  <w:szCs w:val="20"/>
                  <w:shd w:val="clear" w:color="auto" w:fill="FFFFFF"/>
                  <w:vertAlign w:val="superscript"/>
                </w:rPr>
                <w:t>22</w:t>
              </w:r>
            </w:hyperlink>
            <w:r w:rsidRPr="00C36C48">
              <w:rPr>
                <w:rFonts w:ascii="Arial" w:hAnsi="Arial" w:cs="Arial"/>
                <w:sz w:val="18"/>
                <w:szCs w:val="20"/>
                <w:shd w:val="clear" w:color="auto" w:fill="FFFFFF"/>
                <w:vertAlign w:val="superscript"/>
              </w:rPr>
              <w:t>)</w:t>
            </w:r>
            <w:r w:rsidRPr="00C36C48">
              <w:rPr>
                <w:rFonts w:ascii="Arial" w:hAnsi="Arial" w:cs="Arial"/>
                <w:sz w:val="18"/>
                <w:szCs w:val="20"/>
                <w:shd w:val="clear" w:color="auto" w:fill="FFFFFF"/>
              </w:rPr>
              <w:t> use.</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A46771" w:rsidRPr="005A4389" w:rsidRDefault="00A46771" w:rsidP="005A4389">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Access easements</w:t>
            </w:r>
          </w:p>
        </w:tc>
        <w:tc>
          <w:tcPr>
            <w:tcW w:w="577" w:type="pct"/>
            <w:gridSpan w:val="2"/>
            <w:shd w:val="clear" w:color="auto" w:fill="CCCCCC"/>
          </w:tcPr>
          <w:p w:rsidR="00A46771" w:rsidRPr="005A4389" w:rsidRDefault="00A46771" w:rsidP="005A438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A46771" w:rsidRPr="005A4389" w:rsidRDefault="00A46771" w:rsidP="005A438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Style w:val="Strong"/>
                <w:rFonts w:ascii="Arial" w:hAnsi="Arial" w:cs="Arial"/>
                <w:sz w:val="20"/>
                <w:szCs w:val="20"/>
              </w:rPr>
            </w:pPr>
            <w:r w:rsidRPr="005A4389">
              <w:rPr>
                <w:rStyle w:val="Strong"/>
                <w:rFonts w:ascii="Arial" w:hAnsi="Arial" w:cs="Arial"/>
                <w:sz w:val="20"/>
                <w:szCs w:val="20"/>
              </w:rPr>
              <w:t>PO17</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Access easements contain a driveway constructed to an appropriate standard for the intended use. </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No example provided.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PO18</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Where the access easement adjoins a constructed road, it has appropriate grade, verge cross section and safe sight distance for accessing vehicles, through traffic, and active transport users.</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PO19</w:t>
            </w:r>
          </w:p>
          <w:p w:rsidR="00A46771" w:rsidRPr="005A4389" w:rsidRDefault="00A46771" w:rsidP="00C36C48">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easement covers all works associated with the access. </w:t>
            </w: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E19</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easement covers all driveway construction including cut and fill batters, drainage works and utility services. </w:t>
            </w:r>
          </w:p>
          <w:p w:rsidR="00A46771" w:rsidRPr="005A4389" w:rsidRDefault="00A46771" w:rsidP="00A46771">
            <w:pPr>
              <w:rPr>
                <w:rFonts w:ascii="Arial" w:hAnsi="Arial" w:cs="Arial"/>
                <w:sz w:val="20"/>
                <w:szCs w:val="20"/>
              </w:rPr>
            </w:pP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PO20</w:t>
            </w:r>
          </w:p>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Relocation or alteration of existing services are undertaken as a result of the access easement.</w:t>
            </w:r>
          </w:p>
          <w:p w:rsidR="00A46771" w:rsidRPr="005A4389" w:rsidRDefault="00A46771" w:rsidP="00A46771">
            <w:pPr>
              <w:rPr>
                <w:rFonts w:ascii="Arial" w:hAnsi="Arial" w:cs="Arial"/>
                <w:sz w:val="20"/>
                <w:szCs w:val="20"/>
              </w:rPr>
            </w:pPr>
          </w:p>
        </w:tc>
        <w:tc>
          <w:tcPr>
            <w:tcW w:w="1751" w:type="pct"/>
            <w:gridSpan w:val="2"/>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 </w:t>
            </w:r>
          </w:p>
        </w:tc>
        <w:tc>
          <w:tcPr>
            <w:tcW w:w="577" w:type="pct"/>
            <w:gridSpan w:val="2"/>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A46771" w:rsidRPr="005A4389" w:rsidRDefault="00A46771" w:rsidP="00A46771">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Stormwater location and design</w:t>
            </w:r>
          </w:p>
        </w:tc>
        <w:tc>
          <w:tcPr>
            <w:tcW w:w="577" w:type="pct"/>
            <w:gridSpan w:val="2"/>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b/>
                <w:bCs/>
                <w:sz w:val="20"/>
                <w:szCs w:val="20"/>
                <w:lang w:eastAsia="en-AU"/>
              </w:rPr>
              <w:t>PO21</w:t>
            </w:r>
          </w:p>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sz w:val="20"/>
                <w:szCs w:val="20"/>
                <w:lang w:eastAsia="en-AU"/>
              </w:rPr>
              <w:t>Where development:</w:t>
            </w:r>
          </w:p>
          <w:p w:rsidR="00A46771" w:rsidRPr="00A46771" w:rsidRDefault="00A46771" w:rsidP="001B6A9C">
            <w:pPr>
              <w:numPr>
                <w:ilvl w:val="0"/>
                <w:numId w:val="16"/>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involves a land area of 2500m</w:t>
            </w:r>
            <w:r w:rsidRPr="00A46771">
              <w:rPr>
                <w:rFonts w:ascii="Arial" w:eastAsia="Times New Roman" w:hAnsi="Arial" w:cs="Arial"/>
                <w:sz w:val="20"/>
                <w:szCs w:val="20"/>
                <w:vertAlign w:val="superscript"/>
                <w:lang w:eastAsia="en-AU"/>
              </w:rPr>
              <w:t>2</w:t>
            </w:r>
            <w:r w:rsidRPr="00A46771">
              <w:rPr>
                <w:rFonts w:ascii="Arial" w:eastAsia="Times New Roman" w:hAnsi="Arial" w:cs="Arial"/>
                <w:sz w:val="20"/>
                <w:szCs w:val="20"/>
                <w:lang w:eastAsia="en-AU"/>
              </w:rPr>
              <w:t> or greater; and</w:t>
            </w:r>
            <w:r w:rsidRPr="00A46771">
              <w:rPr>
                <w:rFonts w:ascii="Arial" w:eastAsia="Times New Roman" w:hAnsi="Arial" w:cs="Arial"/>
                <w:sz w:val="20"/>
                <w:szCs w:val="20"/>
                <w:shd w:val="clear" w:color="auto" w:fill="FFFF33"/>
                <w:lang w:eastAsia="en-AU"/>
              </w:rPr>
              <w:br/>
            </w:r>
          </w:p>
          <w:p w:rsidR="00A46771" w:rsidRPr="00A46771" w:rsidRDefault="00A46771" w:rsidP="001B6A9C">
            <w:pPr>
              <w:numPr>
                <w:ilvl w:val="0"/>
                <w:numId w:val="16"/>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A46771">
              <w:rPr>
                <w:rFonts w:ascii="Arial" w:eastAsia="Times New Roman" w:hAnsi="Arial" w:cs="Arial"/>
                <w:sz w:val="20"/>
                <w:szCs w:val="20"/>
                <w:lang w:eastAsia="en-AU"/>
              </w:rPr>
              <w:t>results in 6 or more lots, </w:t>
            </w:r>
          </w:p>
          <w:p w:rsidR="00A46771" w:rsidRPr="00A46771" w:rsidRDefault="00A46771" w:rsidP="00A46771">
            <w:pPr>
              <w:shd w:val="clear" w:color="auto" w:fill="FFFFFF"/>
              <w:spacing w:before="150" w:after="150" w:line="240" w:lineRule="auto"/>
              <w:ind w:left="150" w:right="150"/>
              <w:textAlignment w:val="top"/>
              <w:rPr>
                <w:rFonts w:ascii="Arial" w:eastAsia="Times New Roman" w:hAnsi="Arial" w:cs="Arial"/>
                <w:sz w:val="20"/>
                <w:szCs w:val="20"/>
                <w:lang w:eastAsia="en-AU"/>
              </w:rPr>
            </w:pPr>
            <w:r w:rsidRPr="00A467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1074BA"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 xml:space="preserve">Note - A </w:t>
            </w:r>
            <w:proofErr w:type="gramStart"/>
            <w:r w:rsidRPr="00C36C48">
              <w:rPr>
                <w:rFonts w:ascii="Arial" w:hAnsi="Arial" w:cs="Arial"/>
                <w:sz w:val="18"/>
                <w:szCs w:val="20"/>
                <w:shd w:val="clear" w:color="auto" w:fill="FFFFFF"/>
              </w:rPr>
              <w:t>site based</w:t>
            </w:r>
            <w:proofErr w:type="gramEnd"/>
            <w:r w:rsidRPr="00C36C48">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PO22</w:t>
            </w:r>
          </w:p>
          <w:p w:rsidR="001074BA"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development is planned and designed considering the land use constraints of the site and incorporates water sensitive urban design principles.</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231"/>
          <w:tblCellSpacing w:w="15" w:type="dxa"/>
        </w:trPr>
        <w:tc>
          <w:tcPr>
            <w:tcW w:w="1594"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5A4389">
              <w:rPr>
                <w:rFonts w:ascii="Arial" w:hAnsi="Arial" w:cs="Arial"/>
                <w:sz w:val="20"/>
                <w:szCs w:val="20"/>
              </w:rPr>
              <w:t>sufficient</w:t>
            </w:r>
            <w:proofErr w:type="gramEnd"/>
            <w:r w:rsidRPr="005A4389">
              <w:rPr>
                <w:rFonts w:ascii="Arial" w:hAnsi="Arial" w:cs="Arial"/>
                <w:sz w:val="20"/>
                <w:szCs w:val="20"/>
              </w:rPr>
              <w:t xml:space="preserve"> area for practical access for maintenance.</w:t>
            </w:r>
          </w:p>
          <w:p w:rsidR="001074BA"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51" w:type="pct"/>
            <w:gridSpan w:val="2"/>
            <w:hideMark/>
          </w:tcPr>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E23</w:t>
            </w:r>
          </w:p>
          <w:p w:rsidR="00A46771" w:rsidRPr="005A4389" w:rsidRDefault="00A46771" w:rsidP="00A46771">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ook w:val="04A0" w:firstRow="1" w:lastRow="0" w:firstColumn="1" w:lastColumn="0" w:noHBand="0" w:noVBand="1"/>
            </w:tblPr>
            <w:tblGrid>
              <w:gridCol w:w="2346"/>
              <w:gridCol w:w="2647"/>
            </w:tblGrid>
            <w:tr w:rsidR="005A4389" w:rsidRPr="005A4389" w:rsidTr="00A46771">
              <w:tc>
                <w:tcPr>
                  <w:tcW w:w="2346"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Pipe Diameter</w:t>
                  </w:r>
                </w:p>
              </w:tc>
              <w:tc>
                <w:tcPr>
                  <w:tcW w:w="2647" w:type="dxa"/>
                  <w:shd w:val="clear" w:color="auto" w:fill="CCCCCC"/>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Minimum Easement Width (excluding access requirements)</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pipe up to 825mm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3.0m</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pipe up to 825mm diameter with sewer pipe up to 225m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4.0m</w:t>
                  </w:r>
                </w:p>
              </w:tc>
            </w:tr>
            <w:tr w:rsidR="005A4389" w:rsidRPr="005A4389" w:rsidTr="005A4389">
              <w:tc>
                <w:tcPr>
                  <w:tcW w:w="2346"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Stormwater pipe greater than 825mm diameter</w:t>
                  </w:r>
                </w:p>
              </w:tc>
              <w:tc>
                <w:tcPr>
                  <w:tcW w:w="2647" w:type="dxa"/>
                  <w:vAlign w:val="center"/>
                </w:tcPr>
                <w:p w:rsidR="00A46771" w:rsidRPr="005A4389" w:rsidRDefault="00A46771" w:rsidP="00A46771">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Easement boundary to be 1m clear of the outside wall of the stormwater pipe (each side)</w:t>
                  </w:r>
                </w:p>
              </w:tc>
            </w:tr>
          </w:tbl>
          <w:p w:rsidR="00A46771" w:rsidRPr="00C36C48" w:rsidRDefault="00A46771" w:rsidP="005E3AE4">
            <w:pPr>
              <w:spacing w:before="100" w:beforeAutospacing="1" w:after="100" w:afterAutospacing="1" w:line="240" w:lineRule="auto"/>
              <w:ind w:left="150" w:right="150"/>
              <w:rPr>
                <w:rFonts w:ascii="Arial" w:hAnsi="Arial" w:cs="Arial"/>
                <w:sz w:val="18"/>
                <w:szCs w:val="20"/>
                <w:shd w:val="clear" w:color="auto" w:fill="FFFFFF"/>
              </w:rPr>
            </w:pPr>
            <w:r w:rsidRPr="00C36C48">
              <w:rPr>
                <w:rFonts w:ascii="Arial" w:hAnsi="Arial" w:cs="Arial"/>
                <w:sz w:val="18"/>
                <w:szCs w:val="20"/>
                <w:shd w:val="clear" w:color="auto" w:fill="FFFFFF"/>
              </w:rPr>
              <w:t>Note - Additional easement width may be required in certain circumstances in order to facilitate maintenance access to the stormwater system.</w:t>
            </w:r>
          </w:p>
          <w:p w:rsidR="00A46771" w:rsidRPr="005A4389" w:rsidRDefault="00A46771" w:rsidP="005E3AE4">
            <w:pPr>
              <w:spacing w:before="100" w:beforeAutospacing="1" w:after="100" w:afterAutospacing="1" w:line="240" w:lineRule="auto"/>
              <w:ind w:left="150" w:right="150"/>
              <w:rPr>
                <w:rFonts w:ascii="Arial" w:eastAsia="Times New Roman" w:hAnsi="Arial" w:cs="Arial"/>
                <w:sz w:val="20"/>
                <w:szCs w:val="20"/>
                <w:lang w:eastAsia="en-AU"/>
              </w:rPr>
            </w:pPr>
            <w:r w:rsidRPr="00C36C48">
              <w:rPr>
                <w:rFonts w:ascii="Arial" w:hAnsi="Arial" w:cs="Arial"/>
                <w:sz w:val="18"/>
                <w:szCs w:val="20"/>
                <w:shd w:val="clear" w:color="auto" w:fill="FFFFFF"/>
              </w:rPr>
              <w:t>Note - Refer to Planning scheme policy - Integrated design (Appendix C) for easement requirements over open channels.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PO24</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management facilities are located outside of riparian areas and prevent increased channel bed and bank erosion.</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PO25</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Natural streams and riparian vegetation are retained and enhanced through revegetation.</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8D5587" w:rsidRDefault="008D5587" w:rsidP="008D5587">
            <w:pPr>
              <w:shd w:val="clear" w:color="auto" w:fill="FFFFFF"/>
              <w:spacing w:before="150" w:after="150" w:line="240" w:lineRule="auto"/>
              <w:ind w:left="150" w:right="150"/>
              <w:rPr>
                <w:rFonts w:ascii="Arial" w:eastAsia="Times New Roman" w:hAnsi="Arial" w:cs="Arial"/>
                <w:sz w:val="20"/>
                <w:szCs w:val="20"/>
                <w:lang w:eastAsia="en-AU"/>
              </w:rPr>
            </w:pPr>
            <w:r w:rsidRPr="008D5587">
              <w:rPr>
                <w:rFonts w:ascii="Arial" w:eastAsia="Times New Roman" w:hAnsi="Arial" w:cs="Arial"/>
                <w:b/>
                <w:bCs/>
                <w:sz w:val="20"/>
                <w:szCs w:val="20"/>
                <w:lang w:eastAsia="en-AU"/>
              </w:rPr>
              <w:t>PO26</w:t>
            </w:r>
          </w:p>
          <w:p w:rsidR="008D5587" w:rsidRPr="008D5587" w:rsidRDefault="008D5587" w:rsidP="008D5587">
            <w:pPr>
              <w:shd w:val="clear" w:color="auto" w:fill="FFFFFF"/>
              <w:spacing w:before="150" w:after="150" w:line="240" w:lineRule="auto"/>
              <w:ind w:left="150" w:right="150"/>
              <w:rPr>
                <w:rFonts w:ascii="Arial" w:eastAsia="Times New Roman" w:hAnsi="Arial" w:cs="Arial"/>
                <w:sz w:val="20"/>
                <w:szCs w:val="20"/>
                <w:lang w:eastAsia="en-AU"/>
              </w:rPr>
            </w:pPr>
            <w:r w:rsidRPr="008D5587">
              <w:rPr>
                <w:rFonts w:ascii="Arial" w:eastAsia="Times New Roman" w:hAnsi="Arial" w:cs="Arial"/>
                <w:sz w:val="20"/>
                <w:szCs w:val="20"/>
                <w:lang w:eastAsia="en-AU"/>
              </w:rPr>
              <w:t>Areas constructed as detention basins: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are adaptable for passive recreation;</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 xml:space="preserve">appear to be a natural </w:t>
            </w:r>
            <w:proofErr w:type="gramStart"/>
            <w:r w:rsidRPr="008D5587">
              <w:rPr>
                <w:rFonts w:ascii="Arial" w:eastAsia="Times New Roman" w:hAnsi="Arial" w:cs="Arial"/>
                <w:sz w:val="20"/>
                <w:szCs w:val="20"/>
                <w:lang w:eastAsia="en-AU"/>
              </w:rPr>
              <w:t>land form</w:t>
            </w:r>
            <w:proofErr w:type="gramEnd"/>
            <w:r w:rsidRPr="008D5587">
              <w:rPr>
                <w:rFonts w:ascii="Arial" w:eastAsia="Times New Roman" w:hAnsi="Arial" w:cs="Arial"/>
                <w:sz w:val="20"/>
                <w:szCs w:val="20"/>
                <w:lang w:eastAsia="en-AU"/>
              </w:rPr>
              <w:t>;</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provide practical access for maintenance purposes;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do not create safety or security issues by creating potential concealment areas;</w:t>
            </w:r>
          </w:p>
          <w:p w:rsidR="008D5587" w:rsidRPr="008D5587"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have adequate setbacks to adjoining properties;</w:t>
            </w:r>
          </w:p>
          <w:p w:rsidR="001074BA" w:rsidRPr="005A4389" w:rsidRDefault="008D5587" w:rsidP="001B6A9C">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5587">
              <w:rPr>
                <w:rFonts w:ascii="Arial" w:eastAsia="Times New Roman" w:hAnsi="Arial" w:cs="Arial"/>
                <w:sz w:val="20"/>
                <w:szCs w:val="20"/>
                <w:lang w:eastAsia="en-AU"/>
              </w:rPr>
              <w:t>are located within land to be dedicated to Council as public land.</w:t>
            </w:r>
          </w:p>
        </w:tc>
        <w:tc>
          <w:tcPr>
            <w:tcW w:w="1751"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E26</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PO27</w:t>
            </w:r>
          </w:p>
          <w:p w:rsidR="001074BA"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maintains and improves the environmental values of waterway ecosystems within the Green network and minor green corridors.</w:t>
            </w:r>
          </w:p>
        </w:tc>
        <w:tc>
          <w:tcPr>
            <w:tcW w:w="1751"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tcPr>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PO28</w:t>
            </w:r>
          </w:p>
          <w:p w:rsidR="008D5587" w:rsidRPr="005A4389" w:rsidRDefault="008D5587" w:rsidP="008D5587">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 constructed water body proposed to be dedicated as public asset is to be avoided, unless there is an overriding need in the public interest</w:t>
            </w:r>
          </w:p>
          <w:p w:rsidR="008D5587" w:rsidRPr="005A4389" w:rsidRDefault="008D5587" w:rsidP="008D5587">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751"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Stormwater management system</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PO29</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major drainage system has the capacity to safely convey stormwater flows for the defined flood event.</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E29</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PO30</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Overland flow paths (for any storm event) from newly constructed roads and public open space areas do not pass through private lots.</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E30</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Drainage pathways are provided to accommodate overland flows from roads and public open space areas</w:t>
            </w:r>
            <w:r w:rsidRPr="005A4389">
              <w:rPr>
                <w:rStyle w:val="Emphasis"/>
                <w:rFonts w:ascii="Arial" w:hAnsi="Arial" w:cs="Arial"/>
                <w:sz w:val="20"/>
                <w:szCs w:val="20"/>
              </w:rPr>
              <w:t>.  </w:t>
            </w:r>
            <w:r w:rsidRPr="005A4389">
              <w:rPr>
                <w:rFonts w:ascii="Arial" w:hAnsi="Arial" w:cs="Arial"/>
                <w:sz w:val="20"/>
                <w:szCs w:val="20"/>
              </w:rPr>
              <w:t>The overland flow paths have a minimum width of 8m and are designed and constructed to allow safe and convenient access for pedestrians and cyclists.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020"/>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PO31</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w:t>
            </w:r>
            <w:r w:rsidRPr="005A4389">
              <w:rPr>
                <w:rFonts w:ascii="Arial" w:hAnsi="Arial" w:cs="Arial"/>
                <w:sz w:val="20"/>
                <w:szCs w:val="20"/>
              </w:rPr>
              <w:lastRenderedPageBreak/>
              <w:t>flow relief path for flows exceeding the design flows for any underground system within the development.</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E31</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The stormwater drainage system is designed and constructed in accordance with Planning scheme policy - Integrated design.</w:t>
            </w:r>
          </w:p>
          <w:p w:rsidR="008D5587" w:rsidRPr="005A4389" w:rsidRDefault="008D5587" w:rsidP="008D5587">
            <w:pPr>
              <w:spacing w:before="100" w:beforeAutospacing="1" w:after="100" w:afterAutospacing="1" w:line="240" w:lineRule="auto"/>
              <w:rPr>
                <w:rFonts w:ascii="Arial" w:eastAsia="Times New Roman" w:hAnsi="Arial" w:cs="Arial"/>
                <w:sz w:val="20"/>
                <w:szCs w:val="20"/>
                <w:lang w:eastAsia="en-AU"/>
              </w:rPr>
            </w:pP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stormwater management system is designed to:</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the environmental values in downstream waterways;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maintain ground water recharge areas;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preserve existing natural wetlands and associated buffers;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avoid disturbing soils or sediments;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 xml:space="preserve">avoid altering the natural hydrologic regime in acid </w:t>
            </w:r>
            <w:proofErr w:type="spellStart"/>
            <w:r w:rsidRPr="005A4389">
              <w:rPr>
                <w:rFonts w:ascii="Arial" w:hAnsi="Arial" w:cs="Arial"/>
                <w:sz w:val="20"/>
                <w:szCs w:val="20"/>
              </w:rPr>
              <w:t>sulfate</w:t>
            </w:r>
            <w:proofErr w:type="spellEnd"/>
            <w:r w:rsidRPr="005A4389">
              <w:rPr>
                <w:rFonts w:ascii="Arial" w:hAnsi="Arial" w:cs="Arial"/>
                <w:sz w:val="20"/>
                <w:szCs w:val="20"/>
              </w:rPr>
              <w:t xml:space="preserve"> soil and nutrient hazardous areas;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maintain and improve receiving water quality;</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natural waterway configuration;</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natural wetlands and vegetation;</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downstream and adjacent properties;</w:t>
            </w:r>
          </w:p>
          <w:p w:rsidR="00DA1F43" w:rsidRPr="005A4389" w:rsidRDefault="00DA1F43" w:rsidP="001B6A9C">
            <w:pPr>
              <w:pStyle w:val="NormalWeb"/>
              <w:numPr>
                <w:ilvl w:val="0"/>
                <w:numId w:val="18"/>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protect and enhance riparian areas.</w:t>
            </w:r>
          </w:p>
          <w:p w:rsidR="00DA1F43" w:rsidRPr="005A4389" w:rsidRDefault="00DA1F43" w:rsidP="00DA1F43">
            <w:pPr>
              <w:rPr>
                <w:rFonts w:ascii="Arial" w:hAnsi="Arial" w:cs="Arial"/>
                <w:sz w:val="20"/>
                <w:szCs w:val="20"/>
              </w:rPr>
            </w:pPr>
            <w:r w:rsidRPr="005A4389">
              <w:rPr>
                <w:rFonts w:ascii="Arial" w:hAnsi="Arial" w:cs="Arial"/>
                <w:sz w:val="20"/>
                <w:szCs w:val="20"/>
              </w:rPr>
              <w:br/>
            </w:r>
          </w:p>
        </w:tc>
        <w:tc>
          <w:tcPr>
            <w:tcW w:w="1751"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7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345"/>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lastRenderedPageBreak/>
              <w:t>PO33</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Design and construction of the stormwater management system:</w:t>
            </w:r>
          </w:p>
          <w:p w:rsidR="00DA1F43" w:rsidRPr="00DA1F43"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utilise methods and materials to minimise the whole of life-cycle costs of the stormwater management system;</w:t>
            </w:r>
          </w:p>
          <w:p w:rsidR="00DA1F43" w:rsidRPr="00DA1F43"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are coordinated with civil and other landscaping works;</w:t>
            </w:r>
          </w:p>
          <w:p w:rsidR="008D5587" w:rsidRPr="005A4389" w:rsidRDefault="00DA1F43" w:rsidP="001B6A9C">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achieves Councils Total Water Cycle Management policy and the efficient use of water resources.</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C36C48">
              <w:rPr>
                <w:rFonts w:ascii="Arial" w:hAnsi="Arial" w:cs="Arial"/>
                <w:sz w:val="18"/>
                <w:szCs w:val="20"/>
                <w:shd w:val="clear" w:color="auto" w:fill="FFFFFF"/>
              </w:rPr>
              <w:t>Note - To determine the standards for stormwater management system construction refer to Planning scheme policy - Integrated design.</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PO34</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Where associated with a minor green corridor (refer Figure 7.2.3.4 - Green network and open space), development will adopt bio-retention systems for stormwater treatment that recognises and promotes Councils Total Water Cycle Management policy and the efficient use of water resources.</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C36C48">
              <w:rPr>
                <w:rFonts w:ascii="Arial" w:hAnsi="Arial" w:cs="Arial"/>
                <w:sz w:val="18"/>
                <w:szCs w:val="20"/>
                <w:shd w:val="clear" w:color="auto" w:fill="FFFFFF"/>
              </w:rPr>
              <w:t>Note - To determine the standards for stormwater management system construction refer to Planning scheme policy - Integrated design.</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12"/>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Park and open space</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PO35</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Areas for recreation and open space purposes are provided in locations, and of a size and design standard to meet the recreational needs of the community in accordance with Figure 7.2.3.4 - Green network and open space.</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E35</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is in accordance with a Neighbourhood development plan.</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lastRenderedPageBreak/>
              <w:t>PO36</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The safety and useability of parks</w:t>
            </w:r>
            <w:r w:rsidRPr="00DA1F43">
              <w:rPr>
                <w:rFonts w:ascii="Arial" w:eastAsia="Times New Roman" w:hAnsi="Arial" w:cs="Arial"/>
                <w:sz w:val="20"/>
                <w:szCs w:val="20"/>
                <w:vertAlign w:val="superscript"/>
                <w:lang w:eastAsia="en-AU"/>
              </w:rPr>
              <w:t>(</w:t>
            </w:r>
            <w:hyperlink r:id="rId1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is ensured through the careful design of the street network and lot locations which provide high levels of surveillance and access into the park</w:t>
            </w:r>
            <w:r w:rsidRPr="00DA1F43">
              <w:rPr>
                <w:rFonts w:ascii="Arial" w:eastAsia="Times New Roman" w:hAnsi="Arial" w:cs="Arial"/>
                <w:sz w:val="20"/>
                <w:szCs w:val="20"/>
                <w:vertAlign w:val="superscript"/>
                <w:lang w:eastAsia="en-AU"/>
              </w:rPr>
              <w:t>(</w:t>
            </w:r>
            <w:hyperlink r:id="rId1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or open space area. The provision of parks will consider the following:</w:t>
            </w:r>
          </w:p>
          <w:p w:rsidR="00DA1F43" w:rsidRPr="00DA1F43"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local and district parks</w:t>
            </w:r>
            <w:r w:rsidRPr="00DA1F43">
              <w:rPr>
                <w:rFonts w:ascii="Arial" w:eastAsia="Times New Roman" w:hAnsi="Arial" w:cs="Arial"/>
                <w:sz w:val="20"/>
                <w:szCs w:val="20"/>
                <w:vertAlign w:val="superscript"/>
                <w:lang w:eastAsia="en-AU"/>
              </w:rPr>
              <w:t>(</w:t>
            </w:r>
            <w:hyperlink r:id="rId2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are bordered by streets and not lots wherever possible;</w:t>
            </w:r>
          </w:p>
          <w:p w:rsidR="00DA1F43" w:rsidRPr="00DA1F43"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where lots do addresses local and district parks</w:t>
            </w:r>
            <w:r w:rsidRPr="00DA1F43">
              <w:rPr>
                <w:rFonts w:ascii="Arial" w:eastAsia="Times New Roman" w:hAnsi="Arial" w:cs="Arial"/>
                <w:sz w:val="20"/>
                <w:szCs w:val="20"/>
                <w:vertAlign w:val="superscript"/>
                <w:lang w:eastAsia="en-AU"/>
              </w:rPr>
              <w:t>(</w:t>
            </w:r>
            <w:hyperlink r:id="rId21"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fencing is provided along the park</w:t>
            </w:r>
            <w:r w:rsidRPr="00DA1F43">
              <w:rPr>
                <w:rFonts w:ascii="Arial" w:eastAsia="Times New Roman" w:hAnsi="Arial" w:cs="Arial"/>
                <w:sz w:val="20"/>
                <w:szCs w:val="20"/>
                <w:vertAlign w:val="superscript"/>
                <w:lang w:eastAsia="en-AU"/>
              </w:rPr>
              <w:t>(</w:t>
            </w:r>
            <w:hyperlink r:id="rId22"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boundary at a maximum height of 1m prior to the sealing of the plan of subdivision;</w:t>
            </w:r>
          </w:p>
          <w:p w:rsidR="008D5587" w:rsidRPr="005A4389" w:rsidRDefault="00DA1F43" w:rsidP="001B6A9C">
            <w:pPr>
              <w:numPr>
                <w:ilvl w:val="0"/>
                <w:numId w:val="4"/>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the design of fencing and retaining features allows for safe and direct pedestrian access between the park</w:t>
            </w:r>
            <w:r w:rsidRPr="00DA1F43">
              <w:rPr>
                <w:rFonts w:ascii="Arial" w:eastAsia="Times New Roman" w:hAnsi="Arial" w:cs="Arial"/>
                <w:sz w:val="20"/>
                <w:szCs w:val="20"/>
                <w:vertAlign w:val="superscript"/>
                <w:lang w:eastAsia="en-AU"/>
              </w:rPr>
              <w:t>(</w:t>
            </w:r>
            <w:hyperlink r:id="rId23"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and private allotment through the use of private gates and limited retaining features along park</w:t>
            </w:r>
            <w:r w:rsidRPr="00DA1F43">
              <w:rPr>
                <w:rFonts w:ascii="Arial" w:eastAsia="Times New Roman" w:hAnsi="Arial" w:cs="Arial"/>
                <w:sz w:val="20"/>
                <w:szCs w:val="20"/>
                <w:vertAlign w:val="superscript"/>
                <w:lang w:eastAsia="en-AU"/>
              </w:rPr>
              <w:t>(</w:t>
            </w:r>
            <w:hyperlink r:id="rId24"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boundaries.</w:t>
            </w:r>
          </w:p>
        </w:tc>
        <w:tc>
          <w:tcPr>
            <w:tcW w:w="1751"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E36</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is in accordance with a Neighbourhood development plan.</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383"/>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Clearing of native vegetation</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2246"/>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PO37</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Reconfiguring a lot facilitates the retention of native vegetation by:</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incorporating native vegetation and habitat trees into the overall subdivision design, development layout, on-street amenity and landscaping where practicable;</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lastRenderedPageBreak/>
              <w:t>providing safe, unimpeded, convenient and ongoing wildlife movement;</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avoiding creating fragmented and isolated patches of native vegetation.</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biodiversity quality and integrity of habitats is not adversely impacted upon but are maintained and protected;</w:t>
            </w:r>
          </w:p>
          <w:p w:rsidR="00DA1F43" w:rsidRPr="00DA1F43"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soil erosion and land degradation does not occur;</w:t>
            </w:r>
          </w:p>
          <w:p w:rsidR="008D5587" w:rsidRPr="005A4389" w:rsidRDefault="00DA1F43" w:rsidP="001B6A9C">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lastRenderedPageBreak/>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9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PO38</w:t>
            </w:r>
          </w:p>
          <w:p w:rsidR="008D5587"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Compensatory planting </w:t>
            </w:r>
            <w:proofErr w:type="gramStart"/>
            <w:r w:rsidRPr="005A4389">
              <w:rPr>
                <w:rFonts w:ascii="Arial" w:hAnsi="Arial" w:cs="Arial"/>
                <w:sz w:val="20"/>
                <w:szCs w:val="20"/>
              </w:rPr>
              <w:t>is located in</w:t>
            </w:r>
            <w:proofErr w:type="gramEnd"/>
            <w:r w:rsidRPr="005A4389">
              <w:rPr>
                <w:rFonts w:ascii="Arial" w:hAnsi="Arial" w:cs="Arial"/>
                <w:sz w:val="20"/>
                <w:szCs w:val="20"/>
              </w:rPr>
              <w:t xml:space="preserve"> the Caboolture West local plan - Green network precinct.</w:t>
            </w:r>
          </w:p>
        </w:tc>
        <w:tc>
          <w:tcPr>
            <w:tcW w:w="1751" w:type="pct"/>
            <w:gridSpan w:val="2"/>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28"/>
          <w:tblCellSpacing w:w="15" w:type="dxa"/>
        </w:trPr>
        <w:tc>
          <w:tcPr>
            <w:tcW w:w="3355" w:type="pct"/>
            <w:gridSpan w:val="4"/>
            <w:shd w:val="clear" w:color="auto" w:fill="CCCCCC"/>
            <w:hideMark/>
          </w:tcPr>
          <w:p w:rsidR="008D5587" w:rsidRPr="005A4389" w:rsidRDefault="008D5587" w:rsidP="008D5587">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t>Noise</w:t>
            </w:r>
          </w:p>
        </w:tc>
        <w:tc>
          <w:tcPr>
            <w:tcW w:w="577" w:type="pct"/>
            <w:gridSpan w:val="2"/>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shd w:val="clear" w:color="auto" w:fill="CCCCCC"/>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1388"/>
          <w:tblCellSpacing w:w="15" w:type="dxa"/>
        </w:trPr>
        <w:tc>
          <w:tcPr>
            <w:tcW w:w="1594"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PO39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Noise attenuation structure (e.g. walls, barriers or fences):</w:t>
            </w:r>
          </w:p>
          <w:p w:rsidR="00DA1F43" w:rsidRPr="00DA1F43" w:rsidRDefault="00DA1F43" w:rsidP="001B6A9C">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DA1F43" w:rsidRPr="005A4389" w:rsidRDefault="00DA1F43" w:rsidP="001B6A9C">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maintain the amenity of the streetscape.</w:t>
            </w:r>
          </w:p>
          <w:p w:rsidR="00DA1F43" w:rsidRPr="00C36C48" w:rsidRDefault="00DA1F43" w:rsidP="00DA1F43">
            <w:pPr>
              <w:shd w:val="clear" w:color="auto" w:fill="FFFFFF"/>
              <w:spacing w:before="100" w:beforeAutospacing="1" w:after="100" w:afterAutospacing="1" w:line="240" w:lineRule="auto"/>
              <w:ind w:left="90"/>
              <w:rPr>
                <w:rFonts w:ascii="Arial" w:hAnsi="Arial" w:cs="Arial"/>
                <w:sz w:val="18"/>
                <w:szCs w:val="20"/>
              </w:rPr>
            </w:pPr>
            <w:r w:rsidRPr="00C36C48">
              <w:rPr>
                <w:rFonts w:ascii="Arial" w:hAnsi="Arial" w:cs="Arial"/>
                <w:sz w:val="18"/>
                <w:szCs w:val="20"/>
              </w:rPr>
              <w:t>Note - A noise impact assessment may be required to demonstrate compliance with this PO.  Noise impact assessments are to be prepared in accordance with Planning scheme policy - Noise.</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C36C48">
              <w:rPr>
                <w:rFonts w:ascii="Arial" w:hAnsi="Arial" w:cs="Arial"/>
                <w:sz w:val="18"/>
                <w:szCs w:val="20"/>
                <w:shd w:val="clear" w:color="auto" w:fill="FFFFFF"/>
              </w:rPr>
              <w:t>Note - Refer to Planning Scheme Policy – Integrated design for details and examples of noise attenuation structures.</w:t>
            </w:r>
          </w:p>
        </w:tc>
        <w:tc>
          <w:tcPr>
            <w:tcW w:w="1751" w:type="pct"/>
            <w:gridSpan w:val="2"/>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E39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Noise attenuation structures (e.g. walls, barriers or fences):</w:t>
            </w:r>
          </w:p>
          <w:p w:rsidR="00DA1F43" w:rsidRPr="00DA1F43" w:rsidRDefault="00DA1F43" w:rsidP="001B6A9C">
            <w:pPr>
              <w:numPr>
                <w:ilvl w:val="0"/>
                <w:numId w:val="2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are not visible from an adjoining road or public area unless;</w:t>
            </w:r>
          </w:p>
          <w:p w:rsidR="00DA1F43" w:rsidRPr="00DA1F43" w:rsidRDefault="00DA1F43" w:rsidP="001B6A9C">
            <w:pPr>
              <w:numPr>
                <w:ilvl w:val="0"/>
                <w:numId w:val="37"/>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adjoining a motorway or rail line; or</w:t>
            </w:r>
          </w:p>
          <w:p w:rsidR="00DA1F43" w:rsidRPr="00DA1F43" w:rsidRDefault="00DA1F43" w:rsidP="001B6A9C">
            <w:pPr>
              <w:numPr>
                <w:ilvl w:val="0"/>
                <w:numId w:val="37"/>
              </w:numPr>
              <w:shd w:val="clear" w:color="auto" w:fill="FFFFFF"/>
              <w:spacing w:before="100" w:beforeAutospacing="1" w:after="100" w:afterAutospacing="1" w:line="240" w:lineRule="auto"/>
              <w:rPr>
                <w:rFonts w:ascii="Arial" w:eastAsia="Times New Roman" w:hAnsi="Arial" w:cs="Arial"/>
                <w:sz w:val="20"/>
                <w:szCs w:val="20"/>
                <w:lang w:eastAsia="en-AU"/>
              </w:rPr>
            </w:pPr>
            <w:r w:rsidRPr="00DA1F43">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 </w:t>
            </w:r>
          </w:p>
          <w:p w:rsidR="00DA1F43" w:rsidRPr="00DA1F43" w:rsidRDefault="00DA1F43" w:rsidP="001B6A9C">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do not remove existing or prevent future active transport routes or connections to the street network;</w:t>
            </w:r>
          </w:p>
          <w:p w:rsidR="008D5587" w:rsidRPr="005A4389" w:rsidRDefault="00DA1F43" w:rsidP="001B6A9C">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are located, constructed and landscaped in accordance with Planning scheme policy - Integrated design.</w:t>
            </w:r>
          </w:p>
          <w:p w:rsidR="00DA1F43" w:rsidRPr="00C36C48"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C36C48">
              <w:rPr>
                <w:rFonts w:ascii="Arial" w:hAnsi="Arial" w:cs="Arial"/>
                <w:sz w:val="18"/>
                <w:szCs w:val="20"/>
                <w:shd w:val="clear" w:color="auto" w:fill="FFFFFF"/>
              </w:rPr>
              <w:lastRenderedPageBreak/>
              <w:t>Note - Refer to Planning Scheme Policy – Integrated design for details and examples of noise attenuation structures.</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C36C48">
              <w:rPr>
                <w:rFonts w:ascii="Arial" w:hAnsi="Arial" w:cs="Arial"/>
                <w:sz w:val="18"/>
                <w:szCs w:val="20"/>
                <w:shd w:val="clear" w:color="auto" w:fill="FFFFFF"/>
              </w:rPr>
              <w:t>Note - Refer to Overlay map – Active transport for future active transport routes.</w:t>
            </w:r>
          </w:p>
        </w:tc>
        <w:tc>
          <w:tcPr>
            <w:tcW w:w="577" w:type="pct"/>
            <w:gridSpan w:val="2"/>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Pr>
          <w:p w:rsidR="008D5587" w:rsidRPr="005A4389" w:rsidRDefault="008D5587" w:rsidP="008D55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11683F" w:rsidRPr="005A4389" w:rsidTr="0011683F">
        <w:trPr>
          <w:trHeight w:val="1345"/>
          <w:tblCellSpacing w:w="15" w:type="dxa"/>
        </w:trPr>
        <w:tc>
          <w:tcPr>
            <w:tcW w:w="4980" w:type="pct"/>
            <w:gridSpan w:val="7"/>
            <w:shd w:val="clear" w:color="auto" w:fill="CCCCCC"/>
            <w:hideMark/>
          </w:tcPr>
          <w:p w:rsidR="0011683F" w:rsidRPr="005A4389" w:rsidRDefault="0011683F" w:rsidP="005E3AE4">
            <w:pPr>
              <w:spacing w:before="100" w:beforeAutospacing="1" w:after="100" w:afterAutospacing="1" w:line="240" w:lineRule="auto"/>
              <w:ind w:left="150" w:right="150"/>
              <w:jc w:val="center"/>
              <w:rPr>
                <w:rFonts w:ascii="Arial" w:eastAsia="Times New Roman" w:hAnsi="Arial" w:cs="Arial"/>
                <w:sz w:val="20"/>
                <w:szCs w:val="20"/>
                <w:lang w:eastAsia="en-AU"/>
              </w:rPr>
            </w:pPr>
            <w:r w:rsidRPr="005A4389">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A4389" w:rsidTr="001074BA">
              <w:trPr>
                <w:tblCellSpacing w:w="15" w:type="dxa"/>
              </w:trPr>
              <w:tc>
                <w:tcPr>
                  <w:tcW w:w="15106" w:type="dxa"/>
                  <w:shd w:val="clear" w:color="auto" w:fill="CCCCCC"/>
                  <w:vAlign w:val="center"/>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11683F">
        <w:trPr>
          <w:tblCellSpacing w:w="15" w:type="dxa"/>
        </w:trPr>
        <w:tc>
          <w:tcPr>
            <w:tcW w:w="4980" w:type="pct"/>
            <w:gridSpan w:val="7"/>
            <w:shd w:val="clear" w:color="auto" w:fill="CCCCCC"/>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Style w:val="Strong"/>
                <w:rFonts w:ascii="Arial" w:hAnsi="Arial" w:cs="Arial"/>
                <w:sz w:val="20"/>
                <w:szCs w:val="20"/>
                <w:shd w:val="clear" w:color="auto" w:fill="CCCCCC"/>
              </w:rPr>
              <w:t>Bushfire hazard (refer Overlay map - Bushfire hazard to determine if the following assessment criteria apply)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66"/>
            </w:tblGrid>
            <w:tr w:rsidR="0011683F" w:rsidRPr="005A4389" w:rsidTr="001074BA">
              <w:trPr>
                <w:tblCellSpacing w:w="15" w:type="dxa"/>
              </w:trPr>
              <w:tc>
                <w:tcPr>
                  <w:tcW w:w="15106" w:type="dxa"/>
                  <w:shd w:val="clear" w:color="auto" w:fill="CCCCCC"/>
                  <w:vAlign w:val="center"/>
                  <w:hideMark/>
                </w:tcPr>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PO40</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are designed to:</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minimise the risk from bushfire hazard to each lot and provide the safest possible siting for buildings and structures;</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limit the possible spread paths of bushfire within the reconfiguring;</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 xml:space="preserve">achieve </w:t>
            </w:r>
            <w:proofErr w:type="gramStart"/>
            <w:r w:rsidRPr="005A4389">
              <w:rPr>
                <w:rFonts w:ascii="Arial" w:hAnsi="Arial" w:cs="Arial"/>
                <w:sz w:val="20"/>
                <w:szCs w:val="20"/>
              </w:rPr>
              <w:t>sufficient</w:t>
            </w:r>
            <w:proofErr w:type="gramEnd"/>
            <w:r w:rsidRPr="005A4389">
              <w:rPr>
                <w:rFonts w:ascii="Arial" w:hAnsi="Arial" w:cs="Arial"/>
                <w:sz w:val="20"/>
                <w:szCs w:val="20"/>
              </w:rPr>
              <w:t xml:space="preserve"> separation distance between development and hazardous vegetation to minimise the risk to future buildings and structures during bushfire events;</w:t>
            </w:r>
          </w:p>
          <w:p w:rsidR="00DA1F43" w:rsidRPr="005A4389" w:rsidRDefault="00DA1F43" w:rsidP="001B6A9C">
            <w:pPr>
              <w:numPr>
                <w:ilvl w:val="0"/>
                <w:numId w:val="23"/>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maintain the required level of functionality for emergency services and uses during and immediately after a natural hazard event.</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E40</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ensures that all new lots are of an appropriate size, shape and layout to allow for the siting of future buildings being located:</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within an appropriate development footprint;</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within the lowest hazard locations on a lot;</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 xml:space="preserve">to achieve minimum separation from any source of bushfire hazard of 20m or the distance required to achieve a Bushfire Attack Level (BAL) of more than </w:t>
            </w:r>
            <w:proofErr w:type="gramStart"/>
            <w:r w:rsidRPr="005A4389">
              <w:rPr>
                <w:rFonts w:ascii="Arial" w:hAnsi="Arial" w:cs="Arial"/>
                <w:sz w:val="20"/>
                <w:szCs w:val="20"/>
              </w:rPr>
              <w:t>29  (</w:t>
            </w:r>
            <w:proofErr w:type="gramEnd"/>
            <w:r w:rsidRPr="005A4389">
              <w:rPr>
                <w:rFonts w:ascii="Arial" w:hAnsi="Arial" w:cs="Arial"/>
                <w:sz w:val="20"/>
                <w:szCs w:val="20"/>
              </w:rPr>
              <w:t>as identified under AS3959-2009), whichever is the greater;</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away from ridgelines and hilltops;</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on land with a slope of less than 15%;</w:t>
            </w:r>
          </w:p>
          <w:p w:rsidR="00DA1F43" w:rsidRPr="005A4389" w:rsidRDefault="00DA1F43" w:rsidP="001B6A9C">
            <w:pPr>
              <w:numPr>
                <w:ilvl w:val="0"/>
                <w:numId w:val="24"/>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away from north to west facing slopes.</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 xml:space="preserve">Lots provide adequate water supply and infrastructure to support </w:t>
            </w:r>
            <w:proofErr w:type="gramStart"/>
            <w:r w:rsidRPr="005A4389">
              <w:rPr>
                <w:rFonts w:ascii="Arial" w:hAnsi="Arial" w:cs="Arial"/>
                <w:sz w:val="20"/>
                <w:szCs w:val="20"/>
              </w:rPr>
              <w:t>fire-fighting</w:t>
            </w:r>
            <w:proofErr w:type="gramEnd"/>
            <w:r w:rsidRPr="005A4389">
              <w:rPr>
                <w:rFonts w:ascii="Arial" w:hAnsi="Arial" w:cs="Arial"/>
                <w:sz w:val="20"/>
                <w:szCs w:val="20"/>
              </w:rPr>
              <w:t>.</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For water supply purposes, reconfiguring a lot ensures that:</w:t>
            </w:r>
          </w:p>
          <w:p w:rsidR="00DA1F43" w:rsidRPr="005A4389" w:rsidRDefault="00DA1F43" w:rsidP="001B6A9C">
            <w:pPr>
              <w:pStyle w:val="NormalWeb"/>
              <w:numPr>
                <w:ilvl w:val="0"/>
                <w:numId w:val="25"/>
              </w:numPr>
              <w:spacing w:before="150" w:beforeAutospacing="0" w:after="150" w:afterAutospacing="0"/>
              <w:ind w:left="600" w:right="150"/>
              <w:rPr>
                <w:rFonts w:ascii="Arial" w:hAnsi="Arial" w:cs="Arial"/>
                <w:sz w:val="20"/>
                <w:szCs w:val="20"/>
              </w:rPr>
            </w:pPr>
            <w:r w:rsidRPr="005A4389">
              <w:rPr>
                <w:rFonts w:ascii="Arial" w:hAnsi="Arial" w:cs="Arial"/>
                <w:sz w:val="20"/>
                <w:szCs w:val="20"/>
              </w:rPr>
              <w:t>lots have access to a reticulated water supply provided by a distributer-retailer for the area; or</w:t>
            </w:r>
          </w:p>
          <w:p w:rsidR="00DA1F43" w:rsidRPr="005A4389" w:rsidRDefault="00DA1F43" w:rsidP="001B6A9C">
            <w:pPr>
              <w:pStyle w:val="NormalWeb"/>
              <w:numPr>
                <w:ilvl w:val="0"/>
                <w:numId w:val="25"/>
              </w:numPr>
              <w:spacing w:before="150" w:beforeAutospacing="0" w:after="150" w:afterAutospacing="0"/>
              <w:ind w:left="600" w:right="150"/>
              <w:rPr>
                <w:rFonts w:ascii="Arial" w:hAnsi="Arial" w:cs="Arial"/>
                <w:sz w:val="20"/>
                <w:szCs w:val="20"/>
              </w:rPr>
            </w:pPr>
            <w:r w:rsidRPr="005A4389">
              <w:rPr>
                <w:rFonts w:ascii="Arial" w:hAnsi="Arial" w:cs="Arial"/>
                <w:sz w:val="20"/>
                <w:szCs w:val="20"/>
              </w:rPr>
              <w:t xml:space="preserve">where no reticulated water supply is available, on-site </w:t>
            </w:r>
            <w:proofErr w:type="spellStart"/>
            <w:r w:rsidRPr="005A4389">
              <w:rPr>
                <w:rFonts w:ascii="Arial" w:hAnsi="Arial" w:cs="Arial"/>
                <w:sz w:val="20"/>
                <w:szCs w:val="20"/>
              </w:rPr>
              <w:t>fire fighting</w:t>
            </w:r>
            <w:proofErr w:type="spellEnd"/>
            <w:r w:rsidRPr="005A4389">
              <w:rPr>
                <w:rFonts w:ascii="Arial" w:hAnsi="Arial" w:cs="Arial"/>
                <w:sz w:val="20"/>
                <w:szCs w:val="20"/>
              </w:rPr>
              <w:t xml:space="preserve"> water storage containing not less than 10,000 litres and located within a development footprint.</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Lots are designed </w:t>
            </w:r>
            <w:proofErr w:type="gramStart"/>
            <w:r w:rsidRPr="005A4389">
              <w:rPr>
                <w:rFonts w:ascii="Arial" w:hAnsi="Arial" w:cs="Arial"/>
                <w:sz w:val="20"/>
                <w:szCs w:val="20"/>
              </w:rPr>
              <w:t>to :</w:t>
            </w:r>
            <w:proofErr w:type="gramEnd"/>
          </w:p>
          <w:p w:rsidR="00DA1F43" w:rsidRPr="005A4389" w:rsidRDefault="00DA1F43" w:rsidP="001B6A9C">
            <w:pPr>
              <w:pStyle w:val="NormalWeb"/>
              <w:numPr>
                <w:ilvl w:val="0"/>
                <w:numId w:val="26"/>
              </w:numPr>
              <w:spacing w:before="150" w:beforeAutospacing="0" w:after="150" w:afterAutospacing="0"/>
              <w:ind w:left="600" w:right="150"/>
              <w:rPr>
                <w:rFonts w:ascii="Arial" w:hAnsi="Arial" w:cs="Arial"/>
                <w:sz w:val="20"/>
                <w:szCs w:val="20"/>
              </w:rPr>
            </w:pPr>
            <w:r w:rsidRPr="005A4389">
              <w:rPr>
                <w:rFonts w:ascii="Arial" w:hAnsi="Arial" w:cs="Arial"/>
                <w:sz w:val="20"/>
                <w:szCs w:val="20"/>
              </w:rPr>
              <w:t>promote safe site access by avoiding potential entrapment situations;</w:t>
            </w:r>
          </w:p>
          <w:p w:rsidR="00DA1F43" w:rsidRPr="005A4389" w:rsidRDefault="00DA1F43" w:rsidP="001B6A9C">
            <w:pPr>
              <w:pStyle w:val="NormalWeb"/>
              <w:numPr>
                <w:ilvl w:val="0"/>
                <w:numId w:val="26"/>
              </w:numPr>
              <w:spacing w:before="150" w:beforeAutospacing="0" w:after="150" w:afterAutospacing="0"/>
              <w:ind w:left="600" w:right="150"/>
              <w:rPr>
                <w:rFonts w:ascii="Arial" w:hAnsi="Arial" w:cs="Arial"/>
                <w:sz w:val="20"/>
                <w:szCs w:val="20"/>
              </w:rPr>
            </w:pPr>
            <w:r w:rsidRPr="005A4389">
              <w:rPr>
                <w:rFonts w:ascii="Arial" w:hAnsi="Arial" w:cs="Arial"/>
                <w:sz w:val="20"/>
                <w:szCs w:val="20"/>
              </w:rPr>
              <w:t xml:space="preserve">promote accessibility and manoeuvring for </w:t>
            </w:r>
            <w:proofErr w:type="spellStart"/>
            <w:r w:rsidRPr="005A4389">
              <w:rPr>
                <w:rFonts w:ascii="Arial" w:hAnsi="Arial" w:cs="Arial"/>
                <w:sz w:val="20"/>
                <w:szCs w:val="20"/>
              </w:rPr>
              <w:t>fire fighting</w:t>
            </w:r>
            <w:proofErr w:type="spellEnd"/>
            <w:r w:rsidRPr="005A4389">
              <w:rPr>
                <w:rFonts w:ascii="Arial" w:hAnsi="Arial" w:cs="Arial"/>
                <w:sz w:val="20"/>
                <w:szCs w:val="20"/>
              </w:rPr>
              <w:t xml:space="preserve"> during bushfire.</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ensures a new lot is provided with:</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direct road access and egress to public roads;</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an alternative access where the private driveway is longer than 100m to reach a public road;</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driveway access to a public road that has a gradient no greater than 12.5%;</w:t>
            </w:r>
          </w:p>
          <w:p w:rsidR="00DA1F43" w:rsidRPr="005A4389" w:rsidRDefault="00DA1F43" w:rsidP="001B6A9C">
            <w:pPr>
              <w:pStyle w:val="NormalWeb"/>
              <w:numPr>
                <w:ilvl w:val="0"/>
                <w:numId w:val="27"/>
              </w:numPr>
              <w:spacing w:before="150" w:beforeAutospacing="0" w:after="150" w:afterAutospacing="0"/>
              <w:ind w:left="600" w:right="150"/>
              <w:rPr>
                <w:rFonts w:ascii="Arial" w:hAnsi="Arial" w:cs="Arial"/>
                <w:sz w:val="20"/>
                <w:szCs w:val="20"/>
              </w:rPr>
            </w:pPr>
            <w:r w:rsidRPr="005A4389">
              <w:rPr>
                <w:rFonts w:ascii="Arial" w:hAnsi="Arial" w:cs="Arial"/>
                <w:sz w:val="20"/>
                <w:szCs w:val="20"/>
              </w:rPr>
              <w:t>minimum width of 3.5m.</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PO43</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ensure the road layout and design supports:</w:t>
            </w:r>
          </w:p>
          <w:p w:rsidR="00DA1F43" w:rsidRPr="005A4389" w:rsidRDefault="00DA1F43" w:rsidP="001B6A9C">
            <w:pPr>
              <w:pStyle w:val="NormalWeb"/>
              <w:numPr>
                <w:ilvl w:val="0"/>
                <w:numId w:val="28"/>
              </w:numPr>
              <w:spacing w:before="150" w:beforeAutospacing="0" w:after="150" w:afterAutospacing="0"/>
              <w:ind w:left="600" w:right="150"/>
              <w:rPr>
                <w:rFonts w:ascii="Arial" w:hAnsi="Arial" w:cs="Arial"/>
                <w:sz w:val="20"/>
                <w:szCs w:val="20"/>
              </w:rPr>
            </w:pPr>
            <w:r w:rsidRPr="005A4389">
              <w:rPr>
                <w:rFonts w:ascii="Arial" w:hAnsi="Arial" w:cs="Arial"/>
                <w:sz w:val="20"/>
                <w:szCs w:val="20"/>
              </w:rPr>
              <w:t>safe and efficient emergency services access to sites; and manoeuvring within the subdivision;</w:t>
            </w:r>
          </w:p>
          <w:p w:rsidR="00DA1F43" w:rsidRPr="005A4389" w:rsidRDefault="00DA1F43" w:rsidP="001B6A9C">
            <w:pPr>
              <w:pStyle w:val="NormalWeb"/>
              <w:numPr>
                <w:ilvl w:val="0"/>
                <w:numId w:val="28"/>
              </w:numPr>
              <w:spacing w:before="150" w:beforeAutospacing="0" w:after="150" w:afterAutospacing="0"/>
              <w:ind w:left="600" w:right="150"/>
              <w:rPr>
                <w:rFonts w:ascii="Arial" w:hAnsi="Arial" w:cs="Arial"/>
                <w:sz w:val="20"/>
                <w:szCs w:val="20"/>
              </w:rPr>
            </w:pPr>
            <w:r w:rsidRPr="005A4389">
              <w:rPr>
                <w:rFonts w:ascii="Arial" w:hAnsi="Arial" w:cs="Arial"/>
                <w:sz w:val="20"/>
                <w:szCs w:val="20"/>
              </w:rPr>
              <w:t>availability and maintenance of access routes for the purpose of safe evacuation.</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E43</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Reconfiguring a lot provides a road layout which:</w:t>
            </w:r>
          </w:p>
          <w:p w:rsidR="00DA1F43" w:rsidRPr="005A4389" w:rsidRDefault="00DA1F43" w:rsidP="001B6A9C">
            <w:pPr>
              <w:pStyle w:val="NormalWeb"/>
              <w:numPr>
                <w:ilvl w:val="0"/>
                <w:numId w:val="29"/>
              </w:numPr>
              <w:spacing w:before="150" w:beforeAutospacing="0" w:after="150" w:afterAutospacing="0"/>
              <w:ind w:left="600" w:right="150"/>
              <w:rPr>
                <w:rFonts w:ascii="Arial" w:hAnsi="Arial" w:cs="Arial"/>
                <w:sz w:val="20"/>
                <w:szCs w:val="20"/>
              </w:rPr>
            </w:pPr>
            <w:r w:rsidRPr="005A4389">
              <w:rPr>
                <w:rFonts w:ascii="Arial" w:hAnsi="Arial" w:cs="Arial"/>
                <w:sz w:val="20"/>
                <w:szCs w:val="20"/>
              </w:rPr>
              <w:t>includes a perimeter road that separating the new lots from hazardous vegetation on adjacent lots incorporating by:</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cleared width of 20m;</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road gradients not exceeding 12.5%;</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pavement and surface treatment capable of being used by emergency vehicles;</w:t>
            </w:r>
          </w:p>
          <w:p w:rsidR="00DA1F43" w:rsidRPr="005A4389" w:rsidRDefault="00DA1F43" w:rsidP="001B6A9C">
            <w:pPr>
              <w:pStyle w:val="NormalWeb"/>
              <w:numPr>
                <w:ilvl w:val="1"/>
                <w:numId w:val="29"/>
              </w:numPr>
              <w:spacing w:before="150" w:beforeAutospacing="0" w:after="150" w:afterAutospacing="0"/>
              <w:ind w:left="1050" w:right="150"/>
              <w:rPr>
                <w:rFonts w:ascii="Arial" w:hAnsi="Arial" w:cs="Arial"/>
                <w:sz w:val="20"/>
                <w:szCs w:val="20"/>
              </w:rPr>
            </w:pPr>
            <w:r w:rsidRPr="005A4389">
              <w:rPr>
                <w:rFonts w:ascii="Arial" w:hAnsi="Arial" w:cs="Arial"/>
                <w:sz w:val="20"/>
                <w:szCs w:val="20"/>
              </w:rPr>
              <w:t xml:space="preserve">Turning areas for </w:t>
            </w:r>
            <w:proofErr w:type="spellStart"/>
            <w:r w:rsidRPr="005A4389">
              <w:rPr>
                <w:rFonts w:ascii="Arial" w:hAnsi="Arial" w:cs="Arial"/>
                <w:sz w:val="20"/>
                <w:szCs w:val="20"/>
              </w:rPr>
              <w:t>fire fighting</w:t>
            </w:r>
            <w:proofErr w:type="spellEnd"/>
            <w:r w:rsidRPr="005A4389">
              <w:rPr>
                <w:rFonts w:ascii="Arial" w:hAnsi="Arial" w:cs="Arial"/>
                <w:sz w:val="20"/>
                <w:szCs w:val="20"/>
              </w:rPr>
              <w:t xml:space="preserve"> appliances in accordance with Qld Fire and Emergency Services' Fire Hydrant and Vehicle Access Guidelines.</w:t>
            </w:r>
          </w:p>
          <w:p w:rsidR="00DA1F43" w:rsidRPr="005A4389" w:rsidRDefault="00DA1F43" w:rsidP="001B6A9C">
            <w:pPr>
              <w:pStyle w:val="NormalWeb"/>
              <w:numPr>
                <w:ilvl w:val="0"/>
                <w:numId w:val="29"/>
              </w:numPr>
              <w:spacing w:before="150" w:beforeAutospacing="0" w:after="150" w:afterAutospacing="0"/>
              <w:ind w:left="600" w:right="150"/>
              <w:rPr>
                <w:rFonts w:ascii="Arial" w:hAnsi="Arial" w:cs="Arial"/>
                <w:sz w:val="20"/>
                <w:szCs w:val="20"/>
              </w:rPr>
            </w:pPr>
            <w:r w:rsidRPr="005A4389">
              <w:rPr>
                <w:rFonts w:ascii="Arial" w:hAnsi="Arial" w:cs="Arial"/>
                <w:sz w:val="20"/>
                <w:szCs w:val="20"/>
              </w:rPr>
              <w:lastRenderedPageBreak/>
              <w:t>Or if the above is not practicable, a fire maintenance trail separates the lots from hazardous vegetation on adjacent lots incorporating:</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minimum cleared width of 6m and minimum formed width of 4m;</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gradient not exceeding 12.5%;</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cross slope not exceeding 10%;</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formed width and erosion control devices to the standards specified in Planning scheme policy - Integrated design;</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a turning circle or turnaround area at the end of the trail to allow fire fighting vehicles to manoeuvre;</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passing bays and turning/reversing bays every 200m;</w:t>
            </w:r>
          </w:p>
          <w:p w:rsidR="00DA1F43" w:rsidRPr="005A4389" w:rsidRDefault="00DA1F43" w:rsidP="001B6A9C">
            <w:pPr>
              <w:pStyle w:val="NormalWeb"/>
              <w:numPr>
                <w:ilvl w:val="1"/>
                <w:numId w:val="30"/>
              </w:numPr>
              <w:spacing w:before="150" w:beforeAutospacing="0" w:after="150" w:afterAutospacing="0"/>
              <w:ind w:left="1050" w:right="150"/>
              <w:rPr>
                <w:rFonts w:ascii="Arial" w:hAnsi="Arial" w:cs="Arial"/>
                <w:sz w:val="20"/>
                <w:szCs w:val="20"/>
              </w:rPr>
            </w:pPr>
            <w:r w:rsidRPr="005A4389">
              <w:rPr>
                <w:rFonts w:ascii="Arial" w:hAnsi="Arial" w:cs="Arial"/>
                <w:sz w:val="20"/>
                <w:szCs w:val="20"/>
              </w:rPr>
              <w:t> an access easement that is granted in favour of the Council and the Queensland Fire and Rescue Service or located on public land.</w:t>
            </w:r>
          </w:p>
          <w:p w:rsidR="00DA1F43" w:rsidRPr="005A4389" w:rsidRDefault="00DA1F43" w:rsidP="001B6A9C">
            <w:pPr>
              <w:pStyle w:val="NormalWeb"/>
              <w:numPr>
                <w:ilvl w:val="0"/>
                <w:numId w:val="30"/>
              </w:numPr>
              <w:spacing w:before="150" w:beforeAutospacing="0" w:after="150" w:afterAutospacing="0"/>
              <w:ind w:left="600" w:right="150"/>
              <w:rPr>
                <w:rFonts w:ascii="Arial" w:hAnsi="Arial" w:cs="Arial"/>
                <w:sz w:val="20"/>
                <w:szCs w:val="20"/>
              </w:rPr>
            </w:pPr>
            <w:r w:rsidRPr="005A4389">
              <w:rPr>
                <w:rFonts w:ascii="Arial" w:hAnsi="Arial" w:cs="Arial"/>
                <w:sz w:val="20"/>
                <w:szCs w:val="20"/>
              </w:rPr>
              <w:t>excludes cul-de-sacs, except where a perimeter road with a cleared width of 20m isolates the lots from hazardous vegetation on adjacent lots; and</w:t>
            </w:r>
          </w:p>
          <w:p w:rsidR="00DA1F43" w:rsidRPr="005A4389" w:rsidRDefault="00DA1F43" w:rsidP="001B6A9C">
            <w:pPr>
              <w:pStyle w:val="NormalWeb"/>
              <w:numPr>
                <w:ilvl w:val="0"/>
                <w:numId w:val="30"/>
              </w:numPr>
              <w:spacing w:before="150" w:beforeAutospacing="0" w:after="150" w:afterAutospacing="0"/>
              <w:ind w:left="600" w:right="150"/>
              <w:rPr>
                <w:rFonts w:ascii="Arial" w:hAnsi="Arial" w:cs="Arial"/>
                <w:sz w:val="20"/>
                <w:szCs w:val="20"/>
              </w:rPr>
            </w:pPr>
            <w:r w:rsidRPr="005A4389">
              <w:rPr>
                <w:rFonts w:ascii="Arial" w:hAnsi="Arial" w:cs="Arial"/>
                <w:sz w:val="20"/>
                <w:szCs w:val="20"/>
              </w:rPr>
              <w:t>excludes dead-end roads.</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11683F">
        <w:trPr>
          <w:tblCellSpacing w:w="15" w:type="dxa"/>
        </w:trPr>
        <w:tc>
          <w:tcPr>
            <w:tcW w:w="4980" w:type="pct"/>
            <w:gridSpan w:val="7"/>
            <w:shd w:val="clear" w:color="auto" w:fill="CCCCCC"/>
            <w:hideMark/>
          </w:tcPr>
          <w:tbl>
            <w:tblPr>
              <w:tblW w:w="1478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784"/>
            </w:tblGrid>
            <w:tr w:rsidR="0011683F" w:rsidRPr="005A4389" w:rsidTr="00D019C7">
              <w:trPr>
                <w:trHeight w:val="731"/>
                <w:tblCellSpacing w:w="15" w:type="dxa"/>
              </w:trPr>
              <w:tc>
                <w:tcPr>
                  <w:tcW w:w="14724" w:type="dxa"/>
                  <w:vAlign w:val="center"/>
                  <w:hideMark/>
                </w:tcPr>
                <w:p w:rsidR="00DA1F43" w:rsidRPr="005A4389" w:rsidRDefault="00DA1F43" w:rsidP="005E3AE4">
                  <w:pPr>
                    <w:spacing w:before="100" w:beforeAutospacing="1" w:after="100" w:afterAutospacing="1" w:line="240" w:lineRule="auto"/>
                    <w:ind w:left="150" w:right="150"/>
                    <w:rPr>
                      <w:rStyle w:val="Strong"/>
                      <w:rFonts w:ascii="Arial" w:hAnsi="Arial" w:cs="Arial"/>
                      <w:sz w:val="20"/>
                      <w:szCs w:val="20"/>
                      <w:shd w:val="clear" w:color="auto" w:fill="CCCCCC"/>
                    </w:rPr>
                  </w:pPr>
                  <w:r w:rsidRPr="005A4389">
                    <w:rPr>
                      <w:rStyle w:val="Strong"/>
                      <w:rFonts w:ascii="Arial" w:hAnsi="Arial" w:cs="Arial"/>
                      <w:sz w:val="20"/>
                      <w:szCs w:val="20"/>
                      <w:shd w:val="clear" w:color="auto" w:fill="CCCCCC"/>
                    </w:rPr>
                    <w:t xml:space="preserve">High voltage electricity line </w:t>
                  </w:r>
                  <w:proofErr w:type="gramStart"/>
                  <w:r w:rsidRPr="005A4389">
                    <w:rPr>
                      <w:rStyle w:val="Strong"/>
                      <w:rFonts w:ascii="Arial" w:hAnsi="Arial" w:cs="Arial"/>
                      <w:sz w:val="20"/>
                      <w:szCs w:val="20"/>
                      <w:shd w:val="clear" w:color="auto" w:fill="CCCCCC"/>
                    </w:rPr>
                    <w:t>buffer(</w:t>
                  </w:r>
                  <w:proofErr w:type="gramEnd"/>
                  <w:r w:rsidRPr="005A4389">
                    <w:rPr>
                      <w:rStyle w:val="Strong"/>
                      <w:rFonts w:ascii="Arial" w:hAnsi="Arial" w:cs="Arial"/>
                      <w:sz w:val="20"/>
                      <w:szCs w:val="20"/>
                      <w:shd w:val="clear" w:color="auto" w:fill="CCCCCC"/>
                    </w:rPr>
                    <w:t>refer Overlay map - Infrastructure buffers to determine if the following assessment criteria apply)</w:t>
                  </w:r>
                </w:p>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identification of a development footprint will assist in demonstrating compliance with the following performance criteria.</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390"/>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PO44</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Lots provide a development footprint outside of the buffer.</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PO45</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The creation of lots does not compromise or adversely impact upon the efficiency and integrity of supply.</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E45</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lastRenderedPageBreak/>
              <w:t>No new lots are created in the buffer area.</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PO46</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The creation of new lots does not compromise or adversely impact upon access to the supply line for any required maintenance or upgrading work.</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E46</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new lots are created in the buffer area.</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686"/>
          <w:tblCellSpacing w:w="15" w:type="dxa"/>
        </w:trPr>
        <w:tc>
          <w:tcPr>
            <w:tcW w:w="1545" w:type="pct"/>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PO47</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Boundary realignments:</w:t>
            </w:r>
          </w:p>
          <w:p w:rsidR="00DA1F43" w:rsidRPr="005A4389" w:rsidRDefault="00DA1F43" w:rsidP="001B6A9C">
            <w:pPr>
              <w:pStyle w:val="NormalWeb"/>
              <w:numPr>
                <w:ilvl w:val="0"/>
                <w:numId w:val="31"/>
              </w:numPr>
              <w:spacing w:before="150" w:beforeAutospacing="0" w:after="150" w:afterAutospacing="0"/>
              <w:ind w:left="600" w:right="150"/>
              <w:rPr>
                <w:rFonts w:ascii="Arial" w:hAnsi="Arial" w:cs="Arial"/>
                <w:sz w:val="20"/>
                <w:szCs w:val="20"/>
              </w:rPr>
            </w:pPr>
            <w:r w:rsidRPr="005A4389">
              <w:rPr>
                <w:rFonts w:ascii="Arial" w:hAnsi="Arial" w:cs="Arial"/>
                <w:sz w:val="20"/>
                <w:szCs w:val="20"/>
              </w:rPr>
              <w:t>do not result in the creation of additional building development within the buffer;</w:t>
            </w:r>
          </w:p>
          <w:p w:rsidR="00DA1F43" w:rsidRPr="005A4389" w:rsidRDefault="00DA1F43" w:rsidP="001B6A9C">
            <w:pPr>
              <w:pStyle w:val="NormalWeb"/>
              <w:numPr>
                <w:ilvl w:val="0"/>
                <w:numId w:val="31"/>
              </w:numPr>
              <w:spacing w:before="150" w:beforeAutospacing="0" w:after="150" w:afterAutospacing="0"/>
              <w:ind w:left="600" w:right="150"/>
              <w:rPr>
                <w:rFonts w:ascii="Arial" w:hAnsi="Arial" w:cs="Arial"/>
                <w:sz w:val="20"/>
                <w:szCs w:val="20"/>
              </w:rPr>
            </w:pPr>
            <w:r w:rsidRPr="005A4389">
              <w:rPr>
                <w:rFonts w:ascii="Arial" w:hAnsi="Arial" w:cs="Arial"/>
                <w:sz w:val="20"/>
                <w:szCs w:val="20"/>
              </w:rPr>
              <w:t>result in the reduction of building development opportunities within the buffer.</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11683F" w:rsidRPr="005A4389" w:rsidTr="0011683F">
        <w:trPr>
          <w:tblCellSpacing w:w="15" w:type="dxa"/>
        </w:trPr>
        <w:tc>
          <w:tcPr>
            <w:tcW w:w="4980" w:type="pct"/>
            <w:gridSpan w:val="7"/>
            <w:shd w:val="clear" w:color="auto" w:fill="CCCCCC"/>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11683F" w:rsidRPr="005A4389" w:rsidTr="001074BA">
              <w:trPr>
                <w:tblCellSpacing w:w="15" w:type="dxa"/>
              </w:trPr>
              <w:tc>
                <w:tcPr>
                  <w:tcW w:w="15106" w:type="dxa"/>
                  <w:vAlign w:val="center"/>
                  <w:hideMark/>
                </w:tcPr>
                <w:p w:rsidR="00DA1F43" w:rsidRPr="005A4389" w:rsidRDefault="00DA1F43" w:rsidP="005E3AE4">
                  <w:pPr>
                    <w:spacing w:before="100" w:beforeAutospacing="1" w:after="100" w:afterAutospacing="1" w:line="240" w:lineRule="auto"/>
                    <w:ind w:left="150" w:right="150"/>
                    <w:rPr>
                      <w:rStyle w:val="Strong"/>
                      <w:rFonts w:ascii="Arial" w:hAnsi="Arial" w:cs="Arial"/>
                      <w:sz w:val="20"/>
                      <w:szCs w:val="20"/>
                      <w:shd w:val="clear" w:color="auto" w:fill="CCCCCC"/>
                    </w:rPr>
                  </w:pPr>
                  <w:r w:rsidRPr="005A4389">
                    <w:rPr>
                      <w:rStyle w:val="Strong"/>
                      <w:rFonts w:ascii="Arial" w:hAnsi="Arial" w:cs="Arial"/>
                      <w:sz w:val="20"/>
                      <w:szCs w:val="20"/>
                      <w:shd w:val="clear" w:color="auto" w:fill="CCCCCC"/>
                    </w:rPr>
                    <w:t>Overland flow path (refer Overlay map - Overland flow path to determine if the following assessment criteria apply)</w:t>
                  </w:r>
                </w:p>
                <w:p w:rsidR="0011683F" w:rsidRPr="005A4389" w:rsidRDefault="00DA1F43" w:rsidP="005E3AE4">
                  <w:pPr>
                    <w:spacing w:before="100" w:beforeAutospacing="1" w:after="100" w:afterAutospacing="1" w:line="240" w:lineRule="auto"/>
                    <w:ind w:left="150" w:right="150"/>
                    <w:rPr>
                      <w:rFonts w:ascii="Arial" w:eastAsia="Times New Roman" w:hAnsi="Arial" w:cs="Arial"/>
                      <w:sz w:val="20"/>
                      <w:szCs w:val="20"/>
                      <w:lang w:eastAsia="en-AU"/>
                    </w:rPr>
                  </w:pPr>
                  <w:r w:rsidRPr="00D019C7">
                    <w:rPr>
                      <w:rFonts w:ascii="Arial" w:hAnsi="Arial" w:cs="Arial"/>
                      <w:sz w:val="18"/>
                      <w:szCs w:val="18"/>
                      <w:shd w:val="clear" w:color="auto" w:fill="CCCCCC"/>
                    </w:rPr>
                    <w:t>Note - The applicable river and creek flood planning levels associated with defined flood event (DFE) within the inundation area can be obtained by requesting a flood check property report from Council.</w:t>
                  </w:r>
                </w:p>
              </w:tc>
            </w:tr>
          </w:tbl>
          <w:p w:rsidR="0011683F" w:rsidRPr="005A4389" w:rsidRDefault="0011683F"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Align w:val="center"/>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PO48</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w:t>
            </w:r>
          </w:p>
          <w:p w:rsidR="00DA1F43" w:rsidRPr="005A4389" w:rsidRDefault="00DA1F43" w:rsidP="001B6A9C">
            <w:pPr>
              <w:numPr>
                <w:ilvl w:val="0"/>
                <w:numId w:val="32"/>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minimises the risk to persons from overland flow;</w:t>
            </w:r>
          </w:p>
          <w:p w:rsidR="00DA1F43" w:rsidRPr="005A4389" w:rsidRDefault="00DA1F43" w:rsidP="001B6A9C">
            <w:pPr>
              <w:numPr>
                <w:ilvl w:val="0"/>
                <w:numId w:val="32"/>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does not increase the potential for damage from overland flow either on the premises or on a surrounding property, public land, road or infrastructure.</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No example provi</w:t>
            </w:r>
            <w:bookmarkStart w:id="0" w:name="_GoBack"/>
            <w:bookmarkEnd w:id="0"/>
            <w:r w:rsidRPr="005A4389">
              <w:rPr>
                <w:rFonts w:ascii="Arial" w:hAnsi="Arial" w:cs="Arial"/>
                <w:sz w:val="20"/>
                <w:szCs w:val="20"/>
              </w:rPr>
              <w:t>ded.</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PO49</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w:t>
            </w:r>
          </w:p>
          <w:p w:rsidR="00DA1F43" w:rsidRPr="00DA1F43" w:rsidRDefault="00DA1F43" w:rsidP="001B6A9C">
            <w:pPr>
              <w:numPr>
                <w:ilvl w:val="0"/>
                <w:numId w:val="33"/>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 xml:space="preserve">maintains the conveyance of overland flow predominantly unimpeded through the </w:t>
            </w:r>
            <w:r w:rsidRPr="00DA1F43">
              <w:rPr>
                <w:rFonts w:ascii="Arial" w:eastAsia="Times New Roman" w:hAnsi="Arial" w:cs="Arial"/>
                <w:sz w:val="20"/>
                <w:szCs w:val="20"/>
                <w:lang w:eastAsia="en-AU"/>
              </w:rPr>
              <w:lastRenderedPageBreak/>
              <w:t>premises for any event up to and including the 1% AEP for the fully developed upstream catchment;</w:t>
            </w:r>
          </w:p>
          <w:p w:rsidR="00DA1F43" w:rsidRPr="005A4389" w:rsidRDefault="00DA1F43" w:rsidP="001B6A9C">
            <w:pPr>
              <w:numPr>
                <w:ilvl w:val="0"/>
                <w:numId w:val="33"/>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does not concentrate, intensify or divert overland flow onto an upstream, downstream or surrounding property</w:t>
            </w:r>
            <w:r w:rsidRPr="005A4389">
              <w:rPr>
                <w:rFonts w:ascii="Arial" w:eastAsia="Times New Roman" w:hAnsi="Arial" w:cs="Arial"/>
                <w:sz w:val="20"/>
                <w:szCs w:val="20"/>
                <w:lang w:eastAsia="en-AU"/>
              </w:rPr>
              <w:t>.</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B569EC">
              <w:rPr>
                <w:rFonts w:ascii="Arial" w:hAnsi="Arial" w:cs="Arial"/>
                <w:sz w:val="18"/>
                <w:szCs w:val="20"/>
                <w:shd w:val="clear" w:color="auto" w:fill="FFFFFF"/>
              </w:rPr>
              <w:t>Note - Reporting to be prepared in accordance with Planning scheme policy – Flood hazard, Coastal hazard and Overland flow.</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E49</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any buildings are not located in an Overland flow path area.</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shd w:val="clear" w:color="auto" w:fill="FFFFFF"/>
              </w:rPr>
              <w:lastRenderedPageBreak/>
              <w:t>Note: A report from a suitably qualified Registered Professional Engineer Queensland is required certifying that the development does not increase the potential for significant adverse impacts on an upstream, downstream or surrounding property.</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PO50</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does not:</w:t>
            </w:r>
          </w:p>
          <w:p w:rsidR="00DA1F43" w:rsidRPr="00DA1F43" w:rsidRDefault="00DA1F43" w:rsidP="001B6A9C">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directly, indirectly or cumulatively cause any increase in overland flow velocity or level;</w:t>
            </w:r>
          </w:p>
          <w:p w:rsidR="001074BA" w:rsidRPr="005A4389" w:rsidRDefault="00DA1F43" w:rsidP="001B6A9C">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A1F43">
              <w:rPr>
                <w:rFonts w:ascii="Arial" w:eastAsia="Times New Roman" w:hAnsi="Arial" w:cs="Arial"/>
                <w:sz w:val="20"/>
                <w:szCs w:val="20"/>
                <w:lang w:eastAsia="en-AU"/>
              </w:rPr>
              <w:t>increase the potential for flood damage from overland flow either on the premises or on a surrounding property, public land, road or infrastructure.</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B569EC">
              <w:rPr>
                <w:rFonts w:ascii="Arial" w:hAnsi="Arial" w:cs="Arial"/>
                <w:sz w:val="18"/>
                <w:szCs w:val="20"/>
                <w:shd w:val="clear" w:color="auto" w:fill="FFFFFF"/>
              </w:rPr>
              <w:t>Note - Open concrete drains greater than 1m in width are not an acceptable outcome, nor are any other design options that may increase scouring.</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rPr>
            </w:pPr>
            <w:r w:rsidRPr="00B569EC">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B569EC">
              <w:rPr>
                <w:rFonts w:ascii="Arial" w:hAnsi="Arial" w:cs="Arial"/>
                <w:sz w:val="18"/>
                <w:szCs w:val="20"/>
              </w:rPr>
              <w:t>upstream, downstream or surrounding premises</w:t>
            </w:r>
            <w:proofErr w:type="gramEnd"/>
            <w:r w:rsidRPr="00B569EC">
              <w:rPr>
                <w:rFonts w:ascii="Arial" w:hAnsi="Arial" w:cs="Arial"/>
                <w:sz w:val="18"/>
                <w:szCs w:val="20"/>
              </w:rPr>
              <w:t>.</w:t>
            </w:r>
          </w:p>
          <w:p w:rsidR="00DA1F43" w:rsidRPr="00B569EC" w:rsidRDefault="00DA1F43" w:rsidP="00DA1F43">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B569EC">
              <w:rPr>
                <w:rFonts w:ascii="Arial" w:hAnsi="Arial" w:cs="Arial"/>
                <w:sz w:val="18"/>
                <w:szCs w:val="20"/>
                <w:shd w:val="clear" w:color="auto" w:fill="FFFFFF"/>
              </w:rPr>
              <w:t>Note - Reporting to be prepared in accordance with Planning scheme policy – Flood hazard, Coastal hazard and Overland flow</w:t>
            </w:r>
          </w:p>
          <w:p w:rsidR="00DA1F43" w:rsidRPr="005A4389" w:rsidRDefault="00DA1F43" w:rsidP="00DA1F43">
            <w:pPr>
              <w:shd w:val="clear" w:color="auto" w:fill="FFFFFF"/>
              <w:spacing w:before="100" w:beforeAutospacing="1" w:after="100" w:afterAutospacing="1" w:line="240" w:lineRule="auto"/>
              <w:ind w:left="90"/>
              <w:rPr>
                <w:rFonts w:ascii="Arial" w:eastAsia="Times New Roman" w:hAnsi="Arial" w:cs="Arial"/>
                <w:sz w:val="20"/>
                <w:szCs w:val="20"/>
                <w:lang w:eastAsia="en-AU"/>
              </w:rPr>
            </w:pPr>
          </w:p>
        </w:tc>
        <w:tc>
          <w:tcPr>
            <w:tcW w:w="1704"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blCellSpacing w:w="15" w:type="dxa"/>
        </w:trPr>
        <w:tc>
          <w:tcPr>
            <w:tcW w:w="1545" w:type="pct"/>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PO51</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overland flow is not conveyed from a road or public open space onto </w:t>
            </w:r>
            <w:r w:rsidRPr="005A4389">
              <w:rPr>
                <w:rFonts w:ascii="Arial" w:hAnsi="Arial" w:cs="Arial"/>
                <w:sz w:val="20"/>
                <w:szCs w:val="20"/>
              </w:rPr>
              <w:lastRenderedPageBreak/>
              <w:t>a private lot, unless the development is in a Rural zone.</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lastRenderedPageBreak/>
              <w:t>E51</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overland flow paths and drainage infrastructure is provided to convey overland flow from a road or public open space area away from </w:t>
            </w:r>
            <w:r w:rsidRPr="005A4389">
              <w:rPr>
                <w:rFonts w:ascii="Arial" w:hAnsi="Arial" w:cs="Arial"/>
                <w:sz w:val="20"/>
                <w:szCs w:val="20"/>
              </w:rPr>
              <w:lastRenderedPageBreak/>
              <w:t>a private lot, unless the development is in the Rural zone.</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Merge w:val="restart"/>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PO52</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A4389">
              <w:rPr>
                <w:rFonts w:ascii="Arial" w:hAnsi="Arial" w:cs="Arial"/>
                <w:sz w:val="20"/>
                <w:szCs w:val="20"/>
              </w:rPr>
              <w:t>are able to</w:t>
            </w:r>
            <w:proofErr w:type="gramEnd"/>
            <w:r w:rsidRPr="005A4389">
              <w:rPr>
                <w:rFonts w:ascii="Arial" w:hAnsi="Arial" w:cs="Arial"/>
                <w:sz w:val="20"/>
                <w:szCs w:val="20"/>
              </w:rPr>
              <w:t xml:space="preserve"> be easily maintained</w:t>
            </w:r>
          </w:p>
          <w:p w:rsidR="00DA1F43" w:rsidRPr="00B569EC" w:rsidRDefault="00DA1F43" w:rsidP="00DA1F43">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B569EC">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B569EC">
              <w:rPr>
                <w:rFonts w:ascii="Arial" w:hAnsi="Arial" w:cs="Arial"/>
                <w:sz w:val="18"/>
                <w:szCs w:val="20"/>
                <w:shd w:val="clear" w:color="auto" w:fill="FFFFFF"/>
              </w:rPr>
              <w:t>upstream, downstream or surrounding premises</w:t>
            </w:r>
            <w:proofErr w:type="gramEnd"/>
            <w:r w:rsidRPr="00B569EC">
              <w:rPr>
                <w:rFonts w:ascii="Arial" w:hAnsi="Arial" w:cs="Arial"/>
                <w:sz w:val="18"/>
                <w:szCs w:val="20"/>
                <w:shd w:val="clear" w:color="auto" w:fill="FFFFFF"/>
              </w:rPr>
              <w:t>.</w:t>
            </w:r>
          </w:p>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B569EC">
              <w:rPr>
                <w:rFonts w:ascii="Arial" w:hAnsi="Arial" w:cs="Arial"/>
                <w:sz w:val="18"/>
                <w:szCs w:val="20"/>
                <w:shd w:val="clear" w:color="auto" w:fill="FFFFFF"/>
              </w:rPr>
              <w:t>Note - Reporting to be prepared in accordance with Planning scheme policy – Flood hazard, Coastal hazard and Overland flow</w:t>
            </w:r>
          </w:p>
        </w:tc>
        <w:tc>
          <w:tcPr>
            <w:tcW w:w="1704" w:type="pct"/>
            <w:gridSpan w:val="2"/>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E52.1</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roof and allotment drainage infrastructure is provided in accordance with the following relevant level as identified in QUDM:</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Urban area – Level III;</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Rural area – N/A;</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Industrial area – Level V;</w:t>
            </w:r>
          </w:p>
          <w:p w:rsidR="00DA1F43" w:rsidRPr="005A4389" w:rsidRDefault="00DA1F43" w:rsidP="001B6A9C">
            <w:pPr>
              <w:numPr>
                <w:ilvl w:val="0"/>
                <w:numId w:val="35"/>
              </w:numPr>
              <w:spacing w:before="100" w:beforeAutospacing="1" w:after="100" w:afterAutospacing="1" w:line="240" w:lineRule="auto"/>
              <w:ind w:left="450"/>
              <w:rPr>
                <w:rFonts w:ascii="Arial" w:hAnsi="Arial" w:cs="Arial"/>
                <w:sz w:val="20"/>
                <w:szCs w:val="20"/>
              </w:rPr>
            </w:pPr>
            <w:r w:rsidRPr="005A4389">
              <w:rPr>
                <w:rFonts w:ascii="Arial" w:hAnsi="Arial" w:cs="Arial"/>
                <w:sz w:val="20"/>
                <w:szCs w:val="20"/>
              </w:rPr>
              <w:t>Commercial area – Level V.</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vMerge/>
            <w:vAlign w:val="center"/>
            <w:hideMark/>
          </w:tcPr>
          <w:p w:rsidR="00DA1F43" w:rsidRPr="005A4389" w:rsidRDefault="00DA1F43" w:rsidP="00DA1F43">
            <w:pPr>
              <w:spacing w:before="100" w:beforeAutospacing="1" w:after="100" w:afterAutospacing="1" w:line="240" w:lineRule="auto"/>
              <w:rPr>
                <w:rFonts w:ascii="Arial" w:eastAsia="Times New Roman" w:hAnsi="Arial" w:cs="Arial"/>
                <w:sz w:val="20"/>
                <w:szCs w:val="20"/>
                <w:lang w:eastAsia="en-AU"/>
              </w:rPr>
            </w:pPr>
          </w:p>
        </w:tc>
        <w:tc>
          <w:tcPr>
            <w:tcW w:w="1704" w:type="pct"/>
            <w:gridSpan w:val="2"/>
            <w:vAlign w:val="center"/>
            <w:hideMark/>
          </w:tcPr>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w:t>
            </w:r>
            <w:r w:rsidR="00392EB9">
              <w:rPr>
                <w:rStyle w:val="Strong"/>
                <w:rFonts w:ascii="Arial" w:hAnsi="Arial" w:cs="Arial"/>
                <w:sz w:val="20"/>
                <w:szCs w:val="20"/>
              </w:rPr>
              <w:t>2</w:t>
            </w:r>
            <w:r w:rsidRPr="005A4389">
              <w:rPr>
                <w:rStyle w:val="Strong"/>
                <w:rFonts w:ascii="Arial" w:hAnsi="Arial" w:cs="Arial"/>
                <w:sz w:val="20"/>
                <w:szCs w:val="20"/>
              </w:rPr>
              <w:t>.2</w:t>
            </w:r>
          </w:p>
          <w:p w:rsidR="00DA1F43" w:rsidRPr="005A4389" w:rsidRDefault="00DA1F43" w:rsidP="00DA1F43">
            <w:pPr>
              <w:pStyle w:val="NormalWeb"/>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57"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DA1F43" w:rsidRPr="005A4389" w:rsidRDefault="00DA1F43" w:rsidP="00DA1F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rHeight w:val="4649"/>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w:t>
            </w:r>
            <w:r w:rsidR="00392EB9">
              <w:rPr>
                <w:rFonts w:ascii="Arial" w:eastAsia="Times New Roman" w:hAnsi="Arial" w:cs="Arial"/>
                <w:b/>
                <w:bCs/>
                <w:sz w:val="20"/>
                <w:szCs w:val="20"/>
                <w:lang w:eastAsia="en-AU"/>
              </w:rPr>
              <w:t>3</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protects the conveyance of overland flow such that easements for drainage purposes are provided over:</w:t>
            </w:r>
          </w:p>
          <w:p w:rsidR="00DA1F43" w:rsidRPr="00DA1F43"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 stormwater pipe if the nominal pipe diameter exceeds 300mm;</w:t>
            </w:r>
          </w:p>
          <w:p w:rsidR="00DA1F43" w:rsidRPr="00DA1F43"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an overland flow path where it crosses more than one property; and</w:t>
            </w:r>
          </w:p>
          <w:p w:rsidR="001074BA" w:rsidRPr="005A4389" w:rsidRDefault="00DA1F43" w:rsidP="001B6A9C">
            <w:pPr>
              <w:numPr>
                <w:ilvl w:val="0"/>
                <w:numId w:val="36"/>
              </w:numPr>
              <w:shd w:val="clear" w:color="auto" w:fill="FFFFFF"/>
              <w:spacing w:before="150" w:after="150" w:line="240" w:lineRule="auto"/>
              <w:ind w:left="600" w:right="150"/>
              <w:rPr>
                <w:rFonts w:ascii="Arial" w:eastAsia="Times New Roman" w:hAnsi="Arial" w:cs="Arial"/>
                <w:sz w:val="20"/>
                <w:szCs w:val="20"/>
                <w:lang w:eastAsia="en-AU"/>
              </w:rPr>
            </w:pPr>
            <w:r w:rsidRPr="00DA1F43">
              <w:rPr>
                <w:rFonts w:ascii="Arial" w:eastAsia="Times New Roman" w:hAnsi="Arial" w:cs="Arial"/>
                <w:sz w:val="20"/>
                <w:szCs w:val="20"/>
                <w:lang w:eastAsia="en-AU"/>
              </w:rPr>
              <w:t>inter-allotment drainage infrastructure</w:t>
            </w:r>
          </w:p>
          <w:p w:rsidR="00DA1F43" w:rsidRPr="00B569EC" w:rsidRDefault="00DA1F43" w:rsidP="00DA1F43">
            <w:pPr>
              <w:shd w:val="clear" w:color="auto" w:fill="FFFFFF"/>
              <w:spacing w:before="150" w:after="150" w:line="240" w:lineRule="auto"/>
              <w:ind w:left="240" w:right="150"/>
              <w:rPr>
                <w:rFonts w:ascii="Arial" w:hAnsi="Arial" w:cs="Arial"/>
                <w:sz w:val="18"/>
                <w:szCs w:val="20"/>
                <w:shd w:val="clear" w:color="auto" w:fill="FFFFFF"/>
              </w:rPr>
            </w:pPr>
            <w:r w:rsidRPr="00B569EC">
              <w:rPr>
                <w:rFonts w:ascii="Arial" w:hAnsi="Arial" w:cs="Arial"/>
                <w:sz w:val="18"/>
                <w:szCs w:val="20"/>
                <w:shd w:val="clear" w:color="auto" w:fill="FFFFFF"/>
              </w:rPr>
              <w:t>Note - Refer to Planning scheme policy - Integrated design for details and examples.</w:t>
            </w:r>
          </w:p>
          <w:p w:rsidR="00DA1F43" w:rsidRPr="005A4389" w:rsidRDefault="00DA1F43" w:rsidP="00DA1F43">
            <w:pPr>
              <w:shd w:val="clear" w:color="auto" w:fill="FFFFFF"/>
              <w:spacing w:before="150" w:after="150" w:line="240" w:lineRule="auto"/>
              <w:ind w:left="240" w:right="150"/>
              <w:rPr>
                <w:rFonts w:ascii="Arial" w:eastAsia="Times New Roman" w:hAnsi="Arial" w:cs="Arial"/>
                <w:sz w:val="20"/>
                <w:szCs w:val="20"/>
                <w:lang w:eastAsia="en-AU"/>
              </w:rPr>
            </w:pPr>
            <w:r w:rsidRPr="00B569EC">
              <w:rPr>
                <w:rFonts w:ascii="Arial" w:hAnsi="Arial" w:cs="Arial"/>
                <w:sz w:val="18"/>
                <w:szCs w:val="20"/>
                <w:shd w:val="clear" w:color="auto" w:fill="FFFFFF"/>
              </w:rPr>
              <w:t>Note - Stormwater drainage easement dimensions are provided in accordance with Section 3.8.5 of QUDM.</w:t>
            </w:r>
          </w:p>
        </w:tc>
        <w:tc>
          <w:tcPr>
            <w:tcW w:w="1704" w:type="pct"/>
            <w:gridSpan w:val="2"/>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sz w:val="20"/>
                <w:szCs w:val="20"/>
                <w:lang w:eastAsia="en-AU"/>
              </w:rPr>
              <w:t>No example provided</w:t>
            </w:r>
            <w:r w:rsidR="0053477A">
              <w:rPr>
                <w:rFonts w:ascii="Arial" w:eastAsia="Times New Roman" w:hAnsi="Arial" w:cs="Arial"/>
                <w:sz w:val="20"/>
                <w:szCs w:val="20"/>
                <w:lang w:eastAsia="en-AU"/>
              </w:rPr>
              <w:t>.</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p>
        </w:tc>
      </w:tr>
      <w:tr w:rsidR="005A4389" w:rsidRPr="005A4389" w:rsidTr="00D019C7">
        <w:trPr>
          <w:trHeight w:val="396"/>
          <w:tblCellSpacing w:w="15" w:type="dxa"/>
        </w:trPr>
        <w:tc>
          <w:tcPr>
            <w:tcW w:w="3259" w:type="pct"/>
            <w:gridSpan w:val="3"/>
            <w:vAlign w:val="center"/>
            <w:hideMark/>
          </w:tcPr>
          <w:p w:rsidR="001074BA" w:rsidRPr="005A4389" w:rsidRDefault="001074BA" w:rsidP="005E3AE4">
            <w:pPr>
              <w:spacing w:before="100" w:beforeAutospacing="1" w:after="100" w:afterAutospacing="1" w:line="240" w:lineRule="auto"/>
              <w:ind w:left="150" w:right="150"/>
              <w:rPr>
                <w:rFonts w:ascii="Arial" w:eastAsia="Times New Roman" w:hAnsi="Arial" w:cs="Arial"/>
                <w:sz w:val="20"/>
                <w:szCs w:val="20"/>
                <w:lang w:eastAsia="en-AU"/>
              </w:rPr>
            </w:pPr>
            <w:r w:rsidRPr="005A4389">
              <w:rPr>
                <w:rFonts w:ascii="Arial" w:eastAsia="Times New Roman" w:hAnsi="Arial" w:cs="Arial"/>
                <w:b/>
                <w:bCs/>
                <w:sz w:val="20"/>
                <w:szCs w:val="20"/>
                <w:lang w:eastAsia="en-AU"/>
              </w:rPr>
              <w:lastRenderedPageBreak/>
              <w:t>Additional criteria for development for a Park</w:t>
            </w:r>
            <w:r w:rsidRPr="005A4389">
              <w:rPr>
                <w:rFonts w:ascii="Arial" w:eastAsia="Times New Roman" w:hAnsi="Arial" w:cs="Arial"/>
                <w:b/>
                <w:bCs/>
                <w:sz w:val="20"/>
                <w:szCs w:val="20"/>
                <w:vertAlign w:val="superscript"/>
                <w:lang w:eastAsia="en-AU"/>
              </w:rPr>
              <w:t>(</w:t>
            </w:r>
            <w:hyperlink r:id="rId2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Fonts w:ascii="Arial" w:eastAsia="Times New Roman" w:hAnsi="Arial" w:cs="Arial"/>
                  <w:sz w:val="20"/>
                  <w:szCs w:val="20"/>
                  <w:vertAlign w:val="superscript"/>
                  <w:lang w:eastAsia="en-AU"/>
                </w:rPr>
                <w:t>57</w:t>
              </w:r>
            </w:hyperlink>
            <w:r w:rsidRPr="005A4389">
              <w:rPr>
                <w:rFonts w:ascii="Arial" w:eastAsia="Times New Roman" w:hAnsi="Arial" w:cs="Arial"/>
                <w:b/>
                <w:bCs/>
                <w:sz w:val="20"/>
                <w:szCs w:val="20"/>
                <w:vertAlign w:val="superscript"/>
                <w:lang w:eastAsia="en-AU"/>
              </w:rPr>
              <w:t>)</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4389" w:rsidRPr="005A4389" w:rsidTr="00D019C7">
        <w:trPr>
          <w:tblCellSpacing w:w="15" w:type="dxa"/>
        </w:trPr>
        <w:tc>
          <w:tcPr>
            <w:tcW w:w="1545" w:type="pct"/>
            <w:hideMark/>
          </w:tcPr>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b/>
                <w:bCs/>
                <w:sz w:val="20"/>
                <w:szCs w:val="20"/>
                <w:lang w:eastAsia="en-AU"/>
              </w:rPr>
              <w:t>PO5</w:t>
            </w:r>
            <w:r w:rsidR="00392EB9">
              <w:rPr>
                <w:rFonts w:ascii="Arial" w:eastAsia="Times New Roman" w:hAnsi="Arial" w:cs="Arial"/>
                <w:b/>
                <w:bCs/>
                <w:sz w:val="20"/>
                <w:szCs w:val="20"/>
                <w:lang w:eastAsia="en-AU"/>
              </w:rPr>
              <w:t>4</w:t>
            </w:r>
          </w:p>
          <w:p w:rsidR="00DA1F43" w:rsidRPr="00DA1F43" w:rsidRDefault="00DA1F43" w:rsidP="00DA1F43">
            <w:pPr>
              <w:shd w:val="clear" w:color="auto" w:fill="FFFFFF"/>
              <w:spacing w:before="150" w:after="150" w:line="240" w:lineRule="auto"/>
              <w:ind w:left="150" w:right="150"/>
              <w:rPr>
                <w:rFonts w:ascii="Arial" w:eastAsia="Times New Roman" w:hAnsi="Arial" w:cs="Arial"/>
                <w:sz w:val="20"/>
                <w:szCs w:val="20"/>
                <w:lang w:eastAsia="en-AU"/>
              </w:rPr>
            </w:pPr>
            <w:r w:rsidRPr="00DA1F43">
              <w:rPr>
                <w:rFonts w:ascii="Arial" w:eastAsia="Times New Roman" w:hAnsi="Arial" w:cs="Arial"/>
                <w:sz w:val="20"/>
                <w:szCs w:val="20"/>
                <w:lang w:eastAsia="en-AU"/>
              </w:rPr>
              <w:t>Development for a Park</w:t>
            </w:r>
            <w:r w:rsidRPr="00DA1F43">
              <w:rPr>
                <w:rFonts w:ascii="Arial" w:eastAsia="Times New Roman" w:hAnsi="Arial" w:cs="Arial"/>
                <w:sz w:val="20"/>
                <w:szCs w:val="20"/>
                <w:vertAlign w:val="superscript"/>
                <w:lang w:eastAsia="en-AU"/>
              </w:rPr>
              <w:t>(</w:t>
            </w:r>
            <w:hyperlink r:id="rId26"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1F43">
                <w:rPr>
                  <w:rFonts w:ascii="Arial" w:eastAsia="Times New Roman" w:hAnsi="Arial" w:cs="Arial"/>
                  <w:sz w:val="20"/>
                  <w:szCs w:val="20"/>
                  <w:u w:val="single"/>
                  <w:vertAlign w:val="superscript"/>
                  <w:lang w:eastAsia="en-AU"/>
                </w:rPr>
                <w:t>57</w:t>
              </w:r>
            </w:hyperlink>
            <w:r w:rsidRPr="00DA1F43">
              <w:rPr>
                <w:rFonts w:ascii="Arial" w:eastAsia="Times New Roman" w:hAnsi="Arial" w:cs="Arial"/>
                <w:sz w:val="20"/>
                <w:szCs w:val="20"/>
                <w:vertAlign w:val="superscript"/>
                <w:lang w:eastAsia="en-AU"/>
              </w:rPr>
              <w:t>)</w:t>
            </w:r>
            <w:r w:rsidRPr="00DA1F43">
              <w:rPr>
                <w:rFonts w:ascii="Arial" w:eastAsia="Times New Roman" w:hAnsi="Arial" w:cs="Arial"/>
                <w:sz w:val="20"/>
                <w:szCs w:val="20"/>
                <w:lang w:eastAsia="en-AU"/>
              </w:rPr>
              <w:t> ensures that the design and layout responds to the nature of the overland flow affecting the premises such that:</w:t>
            </w:r>
          </w:p>
          <w:p w:rsidR="00DA1F43" w:rsidRPr="00DA1F43"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 xml:space="preserve">public benefit and enjoyment </w:t>
            </w:r>
            <w:proofErr w:type="gramStart"/>
            <w:r w:rsidRPr="00DA1F43">
              <w:rPr>
                <w:rFonts w:ascii="Arial" w:eastAsia="Times New Roman" w:hAnsi="Arial" w:cs="Arial"/>
                <w:sz w:val="20"/>
                <w:szCs w:val="20"/>
                <w:lang w:eastAsia="en-AU"/>
              </w:rPr>
              <w:t>is</w:t>
            </w:r>
            <w:proofErr w:type="gramEnd"/>
            <w:r w:rsidRPr="00DA1F43">
              <w:rPr>
                <w:rFonts w:ascii="Arial" w:eastAsia="Times New Roman" w:hAnsi="Arial" w:cs="Arial"/>
                <w:sz w:val="20"/>
                <w:szCs w:val="20"/>
                <w:lang w:eastAsia="en-AU"/>
              </w:rPr>
              <w:t xml:space="preserve"> maximised;</w:t>
            </w:r>
          </w:p>
          <w:p w:rsidR="00DA1F43" w:rsidRPr="00DA1F43"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impacts on the asset life and integrity of park structures is minimised;</w:t>
            </w:r>
          </w:p>
          <w:p w:rsidR="001074BA" w:rsidRPr="005A4389" w:rsidRDefault="00DA1F43" w:rsidP="001B6A9C">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DA1F43">
              <w:rPr>
                <w:rFonts w:ascii="Arial" w:eastAsia="Times New Roman" w:hAnsi="Arial" w:cs="Arial"/>
                <w:sz w:val="20"/>
                <w:szCs w:val="20"/>
                <w:lang w:eastAsia="en-AU"/>
              </w:rPr>
              <w:t>maintenance and replacement costs are minimised.</w:t>
            </w:r>
          </w:p>
        </w:tc>
        <w:tc>
          <w:tcPr>
            <w:tcW w:w="1704" w:type="pct"/>
            <w:gridSpan w:val="2"/>
            <w:hideMark/>
          </w:tcPr>
          <w:p w:rsidR="00DA1F43"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Style w:val="Strong"/>
                <w:rFonts w:ascii="Arial" w:hAnsi="Arial" w:cs="Arial"/>
                <w:sz w:val="20"/>
                <w:szCs w:val="20"/>
              </w:rPr>
              <w:t>E5</w:t>
            </w:r>
            <w:r w:rsidR="00392EB9">
              <w:rPr>
                <w:rStyle w:val="Strong"/>
                <w:rFonts w:ascii="Arial" w:hAnsi="Arial" w:cs="Arial"/>
                <w:sz w:val="20"/>
                <w:szCs w:val="20"/>
              </w:rPr>
              <w:t>4</w:t>
            </w:r>
          </w:p>
          <w:p w:rsidR="001074BA" w:rsidRPr="005A4389" w:rsidRDefault="00DA1F43" w:rsidP="00DA1F43">
            <w:pPr>
              <w:pStyle w:val="NormalWeb"/>
              <w:shd w:val="clear" w:color="auto" w:fill="FFFFFF"/>
              <w:spacing w:before="150" w:beforeAutospacing="0" w:after="150" w:afterAutospacing="0"/>
              <w:ind w:left="150" w:right="150"/>
              <w:rPr>
                <w:rFonts w:ascii="Arial" w:hAnsi="Arial" w:cs="Arial"/>
                <w:sz w:val="20"/>
                <w:szCs w:val="20"/>
              </w:rPr>
            </w:pPr>
            <w:r w:rsidRPr="005A4389">
              <w:rPr>
                <w:rFonts w:ascii="Arial" w:hAnsi="Arial" w:cs="Arial"/>
                <w:sz w:val="20"/>
                <w:szCs w:val="20"/>
              </w:rPr>
              <w:t>Development for a Park</w:t>
            </w:r>
            <w:r w:rsidRPr="005A4389">
              <w:rPr>
                <w:rFonts w:ascii="Arial" w:hAnsi="Arial" w:cs="Arial"/>
                <w:sz w:val="20"/>
                <w:szCs w:val="20"/>
                <w:vertAlign w:val="superscript"/>
              </w:rPr>
              <w:t>(</w:t>
            </w:r>
            <w:hyperlink r:id="rId2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A4389">
                <w:rPr>
                  <w:rStyle w:val="Hyperlink"/>
                  <w:rFonts w:ascii="Arial" w:hAnsi="Arial" w:cs="Arial"/>
                  <w:color w:val="auto"/>
                  <w:sz w:val="20"/>
                  <w:szCs w:val="20"/>
                  <w:vertAlign w:val="superscript"/>
                </w:rPr>
                <w:t>57</w:t>
              </w:r>
            </w:hyperlink>
            <w:r w:rsidRPr="005A4389">
              <w:rPr>
                <w:rFonts w:ascii="Arial" w:hAnsi="Arial" w:cs="Arial"/>
                <w:sz w:val="20"/>
                <w:szCs w:val="20"/>
                <w:vertAlign w:val="superscript"/>
              </w:rPr>
              <w:t>)</w:t>
            </w:r>
            <w:r w:rsidRPr="005A4389">
              <w:rPr>
                <w:rFonts w:ascii="Arial" w:hAnsi="Arial" w:cs="Arial"/>
                <w:sz w:val="20"/>
                <w:szCs w:val="20"/>
              </w:rPr>
              <w:t> ensures works are provided in accordance with the requirements set out in Appendix B of the Planning scheme policy - Integrated Design.</w:t>
            </w:r>
          </w:p>
        </w:tc>
        <w:tc>
          <w:tcPr>
            <w:tcW w:w="557"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5" w:type="pct"/>
            <w:gridSpan w:val="2"/>
          </w:tcPr>
          <w:p w:rsidR="001074BA" w:rsidRPr="005A4389" w:rsidRDefault="001074BA" w:rsidP="005E3AE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5A4389" w:rsidRDefault="00641E2E" w:rsidP="005E3AE4">
      <w:pPr>
        <w:spacing w:before="100" w:beforeAutospacing="1" w:after="100" w:afterAutospacing="1" w:line="240" w:lineRule="auto"/>
        <w:rPr>
          <w:rFonts w:ascii="Arial" w:hAnsi="Arial" w:cs="Arial"/>
          <w:sz w:val="20"/>
          <w:szCs w:val="20"/>
        </w:rPr>
      </w:pPr>
    </w:p>
    <w:sectPr w:rsidR="00641E2E" w:rsidRPr="005A4389" w:rsidSect="00D019C7">
      <w:headerReference w:type="even" r:id="rId28"/>
      <w:headerReference w:type="default" r:id="rId29"/>
      <w:footerReference w:type="even" r:id="rId30"/>
      <w:footerReference w:type="default" r:id="rId31"/>
      <w:headerReference w:type="first" r:id="rId32"/>
      <w:footerReference w:type="first" r:id="rId33"/>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EF" w:rsidRDefault="00382CEF" w:rsidP="005E3AE4">
      <w:pPr>
        <w:spacing w:after="0" w:line="240" w:lineRule="auto"/>
      </w:pPr>
      <w:r>
        <w:separator/>
      </w:r>
    </w:p>
  </w:endnote>
  <w:endnote w:type="continuationSeparator" w:id="0">
    <w:p w:rsidR="00382CEF" w:rsidRDefault="00382CEF" w:rsidP="005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27" w:rsidRDefault="0054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C36C48" w:rsidRPr="005E3AE4" w:rsidRDefault="00C36C48" w:rsidP="00CD27B3">
        <w:pPr>
          <w:pStyle w:val="Footer"/>
          <w:rPr>
            <w:rFonts w:ascii="Arial" w:hAnsi="Arial" w:cs="Arial"/>
            <w:i/>
            <w:sz w:val="20"/>
            <w:szCs w:val="20"/>
          </w:rPr>
        </w:pPr>
        <w:r w:rsidRPr="00F65D35">
          <w:rPr>
            <w:rFonts w:ascii="Arial" w:hAnsi="Arial" w:cs="Arial"/>
            <w:i/>
            <w:sz w:val="20"/>
            <w:szCs w:val="20"/>
          </w:rPr>
          <w:t xml:space="preserve">MBRC Planning Scheme </w:t>
        </w:r>
        <w:r w:rsidR="00544F27">
          <w:rPr>
            <w:rFonts w:ascii="Arial" w:hAnsi="Arial" w:cs="Arial"/>
            <w:i/>
            <w:sz w:val="20"/>
            <w:szCs w:val="20"/>
          </w:rPr>
          <w:t>V</w:t>
        </w:r>
        <w:r w:rsidR="006E5D00">
          <w:rPr>
            <w:rFonts w:ascii="Arial" w:hAnsi="Arial" w:cs="Arial"/>
            <w:i/>
            <w:sz w:val="20"/>
            <w:szCs w:val="20"/>
          </w:rPr>
          <w:t>5</w:t>
        </w:r>
        <w:r w:rsidR="00544F27">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Rural living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sidRPr="00F65D35">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17</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27" w:rsidRDefault="0054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EF" w:rsidRDefault="00382CEF" w:rsidP="005E3AE4">
      <w:pPr>
        <w:spacing w:after="0" w:line="240" w:lineRule="auto"/>
      </w:pPr>
      <w:r>
        <w:separator/>
      </w:r>
    </w:p>
  </w:footnote>
  <w:footnote w:type="continuationSeparator" w:id="0">
    <w:p w:rsidR="00382CEF" w:rsidRDefault="00382CEF" w:rsidP="005E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27" w:rsidRDefault="00544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27" w:rsidRDefault="00544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27" w:rsidRDefault="00544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65FC"/>
    <w:multiLevelType w:val="multilevel"/>
    <w:tmpl w:val="83827F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1051FA"/>
    <w:multiLevelType w:val="multilevel"/>
    <w:tmpl w:val="36466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E20B42"/>
    <w:multiLevelType w:val="multilevel"/>
    <w:tmpl w:val="4A4EF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EA7EB1"/>
    <w:multiLevelType w:val="multilevel"/>
    <w:tmpl w:val="595C7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0D2143"/>
    <w:multiLevelType w:val="multilevel"/>
    <w:tmpl w:val="6A581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E4022E"/>
    <w:multiLevelType w:val="multilevel"/>
    <w:tmpl w:val="76B6C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9C2769"/>
    <w:multiLevelType w:val="multilevel"/>
    <w:tmpl w:val="2C36A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245CC2"/>
    <w:multiLevelType w:val="multilevel"/>
    <w:tmpl w:val="966E85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2C5736"/>
    <w:multiLevelType w:val="multilevel"/>
    <w:tmpl w:val="01AEA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0F5D64"/>
    <w:multiLevelType w:val="multilevel"/>
    <w:tmpl w:val="28801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1C4297"/>
    <w:multiLevelType w:val="multilevel"/>
    <w:tmpl w:val="A2C29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9C4B76"/>
    <w:multiLevelType w:val="multilevel"/>
    <w:tmpl w:val="6DD63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676C99"/>
    <w:multiLevelType w:val="multilevel"/>
    <w:tmpl w:val="021C5A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78E0837"/>
    <w:multiLevelType w:val="multilevel"/>
    <w:tmpl w:val="9D289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C92568"/>
    <w:multiLevelType w:val="multilevel"/>
    <w:tmpl w:val="7F4AB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B60B5C"/>
    <w:multiLevelType w:val="multilevel"/>
    <w:tmpl w:val="E6748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6B528B"/>
    <w:multiLevelType w:val="multilevel"/>
    <w:tmpl w:val="E766B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8933A5"/>
    <w:multiLevelType w:val="multilevel"/>
    <w:tmpl w:val="E6747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77028BE"/>
    <w:multiLevelType w:val="multilevel"/>
    <w:tmpl w:val="9CDC4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D944B3"/>
    <w:multiLevelType w:val="multilevel"/>
    <w:tmpl w:val="9AE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0295E"/>
    <w:multiLevelType w:val="multilevel"/>
    <w:tmpl w:val="737E1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707B76"/>
    <w:multiLevelType w:val="multilevel"/>
    <w:tmpl w:val="6F661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B91379"/>
    <w:multiLevelType w:val="multilevel"/>
    <w:tmpl w:val="6F66F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6C304C9"/>
    <w:multiLevelType w:val="multilevel"/>
    <w:tmpl w:val="A25AC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4D36A5"/>
    <w:multiLevelType w:val="multilevel"/>
    <w:tmpl w:val="410AA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6E062C"/>
    <w:multiLevelType w:val="multilevel"/>
    <w:tmpl w:val="FCF2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931CFC"/>
    <w:multiLevelType w:val="multilevel"/>
    <w:tmpl w:val="D2DCBD80"/>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D2048F"/>
    <w:multiLevelType w:val="multilevel"/>
    <w:tmpl w:val="19228F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8F4699"/>
    <w:multiLevelType w:val="multilevel"/>
    <w:tmpl w:val="371A3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BD28F3"/>
    <w:multiLevelType w:val="multilevel"/>
    <w:tmpl w:val="523E8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1C031B7"/>
    <w:multiLevelType w:val="multilevel"/>
    <w:tmpl w:val="C6F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5014A"/>
    <w:multiLevelType w:val="multilevel"/>
    <w:tmpl w:val="636A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D325AC"/>
    <w:multiLevelType w:val="multilevel"/>
    <w:tmpl w:val="CF5CB5B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4" w15:restartNumberingAfterBreak="0">
    <w:nsid w:val="78AF20EE"/>
    <w:multiLevelType w:val="multilevel"/>
    <w:tmpl w:val="FAEA7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B5410C8"/>
    <w:multiLevelType w:val="multilevel"/>
    <w:tmpl w:val="EA0C5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2"/>
  </w:num>
  <w:num w:numId="2">
    <w:abstractNumId w:val="15"/>
  </w:num>
  <w:num w:numId="3">
    <w:abstractNumId w:val="30"/>
  </w:num>
  <w:num w:numId="4">
    <w:abstractNumId w:val="12"/>
  </w:num>
  <w:num w:numId="5">
    <w:abstractNumId w:val="6"/>
  </w:num>
  <w:num w:numId="6">
    <w:abstractNumId w:val="35"/>
  </w:num>
  <w:num w:numId="7">
    <w:abstractNumId w:val="3"/>
  </w:num>
  <w:num w:numId="8">
    <w:abstractNumId w:val="4"/>
  </w:num>
  <w:num w:numId="9">
    <w:abstractNumId w:val="20"/>
  </w:num>
  <w:num w:numId="10">
    <w:abstractNumId w:val="8"/>
  </w:num>
  <w:num w:numId="11">
    <w:abstractNumId w:val="31"/>
  </w:num>
  <w:num w:numId="12">
    <w:abstractNumId w:val="27"/>
  </w:num>
  <w:num w:numId="13">
    <w:abstractNumId w:val="26"/>
  </w:num>
  <w:num w:numId="14">
    <w:abstractNumId w:val="34"/>
  </w:num>
  <w:num w:numId="15">
    <w:abstractNumId w:val="16"/>
  </w:num>
  <w:num w:numId="16">
    <w:abstractNumId w:val="18"/>
  </w:num>
  <w:num w:numId="17">
    <w:abstractNumId w:val="24"/>
  </w:num>
  <w:num w:numId="18">
    <w:abstractNumId w:val="21"/>
  </w:num>
  <w:num w:numId="19">
    <w:abstractNumId w:val="29"/>
  </w:num>
  <w:num w:numId="20">
    <w:abstractNumId w:val="10"/>
  </w:num>
  <w:num w:numId="21">
    <w:abstractNumId w:val="1"/>
  </w:num>
  <w:num w:numId="22">
    <w:abstractNumId w:val="28"/>
  </w:num>
  <w:num w:numId="23">
    <w:abstractNumId w:val="25"/>
  </w:num>
  <w:num w:numId="24">
    <w:abstractNumId w:val="11"/>
  </w:num>
  <w:num w:numId="25">
    <w:abstractNumId w:val="2"/>
  </w:num>
  <w:num w:numId="26">
    <w:abstractNumId w:val="17"/>
  </w:num>
  <w:num w:numId="27">
    <w:abstractNumId w:val="5"/>
  </w:num>
  <w:num w:numId="28">
    <w:abstractNumId w:val="9"/>
  </w:num>
  <w:num w:numId="29">
    <w:abstractNumId w:val="0"/>
  </w:num>
  <w:num w:numId="30">
    <w:abstractNumId w:val="0"/>
    <w:lvlOverride w:ilvl="1">
      <w:startOverride w:val="1"/>
    </w:lvlOverride>
  </w:num>
  <w:num w:numId="31">
    <w:abstractNumId w:val="13"/>
  </w:num>
  <w:num w:numId="32">
    <w:abstractNumId w:val="22"/>
  </w:num>
  <w:num w:numId="33">
    <w:abstractNumId w:val="19"/>
  </w:num>
  <w:num w:numId="34">
    <w:abstractNumId w:val="14"/>
  </w:num>
  <w:num w:numId="35">
    <w:abstractNumId w:val="23"/>
  </w:num>
  <w:num w:numId="36">
    <w:abstractNumId w:val="7"/>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E4"/>
    <w:rsid w:val="0008515C"/>
    <w:rsid w:val="001074BA"/>
    <w:rsid w:val="0011683F"/>
    <w:rsid w:val="001B6A9C"/>
    <w:rsid w:val="0030696F"/>
    <w:rsid w:val="00360FAD"/>
    <w:rsid w:val="00366E9F"/>
    <w:rsid w:val="00382CEF"/>
    <w:rsid w:val="00392EB9"/>
    <w:rsid w:val="003A3F67"/>
    <w:rsid w:val="004E0E41"/>
    <w:rsid w:val="00532D22"/>
    <w:rsid w:val="0053477A"/>
    <w:rsid w:val="00544F27"/>
    <w:rsid w:val="005A4389"/>
    <w:rsid w:val="005E3AE4"/>
    <w:rsid w:val="00641E2E"/>
    <w:rsid w:val="006E5D00"/>
    <w:rsid w:val="006F4CC8"/>
    <w:rsid w:val="00713630"/>
    <w:rsid w:val="008D5587"/>
    <w:rsid w:val="009701F9"/>
    <w:rsid w:val="009C2853"/>
    <w:rsid w:val="00A46771"/>
    <w:rsid w:val="00A85ED3"/>
    <w:rsid w:val="00B569EC"/>
    <w:rsid w:val="00C36C48"/>
    <w:rsid w:val="00CD27B3"/>
    <w:rsid w:val="00D019C7"/>
    <w:rsid w:val="00DA1F43"/>
    <w:rsid w:val="00E90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E3225-F2FF-47A0-88F6-E880DEE8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3AE4"/>
    <w:rPr>
      <w:i/>
      <w:iCs/>
    </w:rPr>
  </w:style>
  <w:style w:type="character" w:styleId="Strong">
    <w:name w:val="Strong"/>
    <w:basedOn w:val="DefaultParagraphFont"/>
    <w:uiPriority w:val="22"/>
    <w:qFormat/>
    <w:rsid w:val="005E3AE4"/>
    <w:rPr>
      <w:b/>
      <w:bCs/>
    </w:rPr>
  </w:style>
  <w:style w:type="paragraph" w:styleId="Header">
    <w:name w:val="header"/>
    <w:basedOn w:val="Normal"/>
    <w:link w:val="HeaderChar"/>
    <w:uiPriority w:val="99"/>
    <w:unhideWhenUsed/>
    <w:rsid w:val="005E3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AE4"/>
  </w:style>
  <w:style w:type="paragraph" w:styleId="Footer">
    <w:name w:val="footer"/>
    <w:basedOn w:val="Normal"/>
    <w:link w:val="FooterChar"/>
    <w:uiPriority w:val="99"/>
    <w:unhideWhenUsed/>
    <w:rsid w:val="005E3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AE4"/>
  </w:style>
  <w:style w:type="paragraph" w:styleId="ListParagraph">
    <w:name w:val="List Paragraph"/>
    <w:basedOn w:val="Normal"/>
    <w:uiPriority w:val="34"/>
    <w:qFormat/>
    <w:rsid w:val="001074BA"/>
    <w:pPr>
      <w:spacing w:after="200" w:line="276" w:lineRule="auto"/>
      <w:ind w:left="720"/>
      <w:contextualSpacing/>
    </w:pPr>
    <w:rPr>
      <w:rFonts w:ascii="Arial" w:hAnsi="Arial"/>
    </w:rPr>
  </w:style>
  <w:style w:type="paragraph" w:styleId="NormalWeb">
    <w:name w:val="Normal (Web)"/>
    <w:basedOn w:val="Normal"/>
    <w:uiPriority w:val="99"/>
    <w:unhideWhenUsed/>
    <w:rsid w:val="00360FA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A4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6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313">
      <w:bodyDiv w:val="1"/>
      <w:marLeft w:val="0"/>
      <w:marRight w:val="0"/>
      <w:marTop w:val="0"/>
      <w:marBottom w:val="0"/>
      <w:divBdr>
        <w:top w:val="none" w:sz="0" w:space="0" w:color="auto"/>
        <w:left w:val="none" w:sz="0" w:space="0" w:color="auto"/>
        <w:bottom w:val="none" w:sz="0" w:space="0" w:color="auto"/>
        <w:right w:val="none" w:sz="0" w:space="0" w:color="auto"/>
      </w:divBdr>
    </w:div>
    <w:div w:id="71006195">
      <w:bodyDiv w:val="1"/>
      <w:marLeft w:val="0"/>
      <w:marRight w:val="0"/>
      <w:marTop w:val="0"/>
      <w:marBottom w:val="0"/>
      <w:divBdr>
        <w:top w:val="none" w:sz="0" w:space="0" w:color="auto"/>
        <w:left w:val="none" w:sz="0" w:space="0" w:color="auto"/>
        <w:bottom w:val="none" w:sz="0" w:space="0" w:color="auto"/>
        <w:right w:val="none" w:sz="0" w:space="0" w:color="auto"/>
      </w:divBdr>
    </w:div>
    <w:div w:id="120197415">
      <w:bodyDiv w:val="1"/>
      <w:marLeft w:val="0"/>
      <w:marRight w:val="0"/>
      <w:marTop w:val="0"/>
      <w:marBottom w:val="0"/>
      <w:divBdr>
        <w:top w:val="none" w:sz="0" w:space="0" w:color="auto"/>
        <w:left w:val="none" w:sz="0" w:space="0" w:color="auto"/>
        <w:bottom w:val="none" w:sz="0" w:space="0" w:color="auto"/>
        <w:right w:val="none" w:sz="0" w:space="0" w:color="auto"/>
      </w:divBdr>
    </w:div>
    <w:div w:id="145359620">
      <w:bodyDiv w:val="1"/>
      <w:marLeft w:val="0"/>
      <w:marRight w:val="0"/>
      <w:marTop w:val="0"/>
      <w:marBottom w:val="0"/>
      <w:divBdr>
        <w:top w:val="none" w:sz="0" w:space="0" w:color="auto"/>
        <w:left w:val="none" w:sz="0" w:space="0" w:color="auto"/>
        <w:bottom w:val="none" w:sz="0" w:space="0" w:color="auto"/>
        <w:right w:val="none" w:sz="0" w:space="0" w:color="auto"/>
      </w:divBdr>
    </w:div>
    <w:div w:id="168254521">
      <w:bodyDiv w:val="1"/>
      <w:marLeft w:val="0"/>
      <w:marRight w:val="0"/>
      <w:marTop w:val="0"/>
      <w:marBottom w:val="0"/>
      <w:divBdr>
        <w:top w:val="none" w:sz="0" w:space="0" w:color="auto"/>
        <w:left w:val="none" w:sz="0" w:space="0" w:color="auto"/>
        <w:bottom w:val="none" w:sz="0" w:space="0" w:color="auto"/>
        <w:right w:val="none" w:sz="0" w:space="0" w:color="auto"/>
      </w:divBdr>
    </w:div>
    <w:div w:id="181747601">
      <w:bodyDiv w:val="1"/>
      <w:marLeft w:val="0"/>
      <w:marRight w:val="0"/>
      <w:marTop w:val="0"/>
      <w:marBottom w:val="0"/>
      <w:divBdr>
        <w:top w:val="none" w:sz="0" w:space="0" w:color="auto"/>
        <w:left w:val="none" w:sz="0" w:space="0" w:color="auto"/>
        <w:bottom w:val="none" w:sz="0" w:space="0" w:color="auto"/>
        <w:right w:val="none" w:sz="0" w:space="0" w:color="auto"/>
      </w:divBdr>
    </w:div>
    <w:div w:id="185292872">
      <w:bodyDiv w:val="1"/>
      <w:marLeft w:val="0"/>
      <w:marRight w:val="0"/>
      <w:marTop w:val="0"/>
      <w:marBottom w:val="0"/>
      <w:divBdr>
        <w:top w:val="none" w:sz="0" w:space="0" w:color="auto"/>
        <w:left w:val="none" w:sz="0" w:space="0" w:color="auto"/>
        <w:bottom w:val="none" w:sz="0" w:space="0" w:color="auto"/>
        <w:right w:val="none" w:sz="0" w:space="0" w:color="auto"/>
      </w:divBdr>
    </w:div>
    <w:div w:id="257177032">
      <w:bodyDiv w:val="1"/>
      <w:marLeft w:val="0"/>
      <w:marRight w:val="0"/>
      <w:marTop w:val="0"/>
      <w:marBottom w:val="0"/>
      <w:divBdr>
        <w:top w:val="none" w:sz="0" w:space="0" w:color="auto"/>
        <w:left w:val="none" w:sz="0" w:space="0" w:color="auto"/>
        <w:bottom w:val="none" w:sz="0" w:space="0" w:color="auto"/>
        <w:right w:val="none" w:sz="0" w:space="0" w:color="auto"/>
      </w:divBdr>
    </w:div>
    <w:div w:id="296840038">
      <w:bodyDiv w:val="1"/>
      <w:marLeft w:val="0"/>
      <w:marRight w:val="0"/>
      <w:marTop w:val="0"/>
      <w:marBottom w:val="0"/>
      <w:divBdr>
        <w:top w:val="none" w:sz="0" w:space="0" w:color="auto"/>
        <w:left w:val="none" w:sz="0" w:space="0" w:color="auto"/>
        <w:bottom w:val="none" w:sz="0" w:space="0" w:color="auto"/>
        <w:right w:val="none" w:sz="0" w:space="0" w:color="auto"/>
      </w:divBdr>
    </w:div>
    <w:div w:id="305817032">
      <w:bodyDiv w:val="1"/>
      <w:marLeft w:val="0"/>
      <w:marRight w:val="0"/>
      <w:marTop w:val="0"/>
      <w:marBottom w:val="0"/>
      <w:divBdr>
        <w:top w:val="none" w:sz="0" w:space="0" w:color="auto"/>
        <w:left w:val="none" w:sz="0" w:space="0" w:color="auto"/>
        <w:bottom w:val="none" w:sz="0" w:space="0" w:color="auto"/>
        <w:right w:val="none" w:sz="0" w:space="0" w:color="auto"/>
      </w:divBdr>
    </w:div>
    <w:div w:id="312105685">
      <w:bodyDiv w:val="1"/>
      <w:marLeft w:val="0"/>
      <w:marRight w:val="0"/>
      <w:marTop w:val="0"/>
      <w:marBottom w:val="0"/>
      <w:divBdr>
        <w:top w:val="none" w:sz="0" w:space="0" w:color="auto"/>
        <w:left w:val="none" w:sz="0" w:space="0" w:color="auto"/>
        <w:bottom w:val="none" w:sz="0" w:space="0" w:color="auto"/>
        <w:right w:val="none" w:sz="0" w:space="0" w:color="auto"/>
      </w:divBdr>
    </w:div>
    <w:div w:id="417679934">
      <w:bodyDiv w:val="1"/>
      <w:marLeft w:val="0"/>
      <w:marRight w:val="0"/>
      <w:marTop w:val="0"/>
      <w:marBottom w:val="0"/>
      <w:divBdr>
        <w:top w:val="none" w:sz="0" w:space="0" w:color="auto"/>
        <w:left w:val="none" w:sz="0" w:space="0" w:color="auto"/>
        <w:bottom w:val="none" w:sz="0" w:space="0" w:color="auto"/>
        <w:right w:val="none" w:sz="0" w:space="0" w:color="auto"/>
      </w:divBdr>
    </w:div>
    <w:div w:id="420105380">
      <w:bodyDiv w:val="1"/>
      <w:marLeft w:val="0"/>
      <w:marRight w:val="0"/>
      <w:marTop w:val="0"/>
      <w:marBottom w:val="0"/>
      <w:divBdr>
        <w:top w:val="none" w:sz="0" w:space="0" w:color="auto"/>
        <w:left w:val="none" w:sz="0" w:space="0" w:color="auto"/>
        <w:bottom w:val="none" w:sz="0" w:space="0" w:color="auto"/>
        <w:right w:val="none" w:sz="0" w:space="0" w:color="auto"/>
      </w:divBdr>
    </w:div>
    <w:div w:id="572005494">
      <w:bodyDiv w:val="1"/>
      <w:marLeft w:val="0"/>
      <w:marRight w:val="0"/>
      <w:marTop w:val="0"/>
      <w:marBottom w:val="0"/>
      <w:divBdr>
        <w:top w:val="none" w:sz="0" w:space="0" w:color="auto"/>
        <w:left w:val="none" w:sz="0" w:space="0" w:color="auto"/>
        <w:bottom w:val="none" w:sz="0" w:space="0" w:color="auto"/>
        <w:right w:val="none" w:sz="0" w:space="0" w:color="auto"/>
      </w:divBdr>
    </w:div>
    <w:div w:id="676689295">
      <w:bodyDiv w:val="1"/>
      <w:marLeft w:val="0"/>
      <w:marRight w:val="0"/>
      <w:marTop w:val="0"/>
      <w:marBottom w:val="0"/>
      <w:divBdr>
        <w:top w:val="none" w:sz="0" w:space="0" w:color="auto"/>
        <w:left w:val="none" w:sz="0" w:space="0" w:color="auto"/>
        <w:bottom w:val="none" w:sz="0" w:space="0" w:color="auto"/>
        <w:right w:val="none" w:sz="0" w:space="0" w:color="auto"/>
      </w:divBdr>
      <w:divsChild>
        <w:div w:id="327247560">
          <w:marLeft w:val="0"/>
          <w:marRight w:val="0"/>
          <w:marTop w:val="0"/>
          <w:marBottom w:val="0"/>
          <w:divBdr>
            <w:top w:val="none" w:sz="0" w:space="0" w:color="auto"/>
            <w:left w:val="none" w:sz="0" w:space="0" w:color="auto"/>
            <w:bottom w:val="none" w:sz="0" w:space="0" w:color="auto"/>
            <w:right w:val="none" w:sz="0" w:space="0" w:color="auto"/>
          </w:divBdr>
        </w:div>
        <w:div w:id="308486563">
          <w:marLeft w:val="0"/>
          <w:marRight w:val="0"/>
          <w:marTop w:val="0"/>
          <w:marBottom w:val="0"/>
          <w:divBdr>
            <w:top w:val="none" w:sz="0" w:space="0" w:color="auto"/>
            <w:left w:val="none" w:sz="0" w:space="0" w:color="auto"/>
            <w:bottom w:val="none" w:sz="0" w:space="0" w:color="auto"/>
            <w:right w:val="none" w:sz="0" w:space="0" w:color="auto"/>
          </w:divBdr>
        </w:div>
        <w:div w:id="1326471618">
          <w:marLeft w:val="0"/>
          <w:marRight w:val="0"/>
          <w:marTop w:val="0"/>
          <w:marBottom w:val="0"/>
          <w:divBdr>
            <w:top w:val="none" w:sz="0" w:space="0" w:color="auto"/>
            <w:left w:val="none" w:sz="0" w:space="0" w:color="auto"/>
            <w:bottom w:val="none" w:sz="0" w:space="0" w:color="auto"/>
            <w:right w:val="none" w:sz="0" w:space="0" w:color="auto"/>
          </w:divBdr>
        </w:div>
        <w:div w:id="663046621">
          <w:marLeft w:val="0"/>
          <w:marRight w:val="0"/>
          <w:marTop w:val="0"/>
          <w:marBottom w:val="0"/>
          <w:divBdr>
            <w:top w:val="none" w:sz="0" w:space="0" w:color="auto"/>
            <w:left w:val="none" w:sz="0" w:space="0" w:color="auto"/>
            <w:bottom w:val="none" w:sz="0" w:space="0" w:color="auto"/>
            <w:right w:val="none" w:sz="0" w:space="0" w:color="auto"/>
          </w:divBdr>
        </w:div>
        <w:div w:id="529104855">
          <w:marLeft w:val="0"/>
          <w:marRight w:val="0"/>
          <w:marTop w:val="0"/>
          <w:marBottom w:val="0"/>
          <w:divBdr>
            <w:top w:val="none" w:sz="0" w:space="0" w:color="auto"/>
            <w:left w:val="none" w:sz="0" w:space="0" w:color="auto"/>
            <w:bottom w:val="none" w:sz="0" w:space="0" w:color="auto"/>
            <w:right w:val="none" w:sz="0" w:space="0" w:color="auto"/>
          </w:divBdr>
        </w:div>
        <w:div w:id="2035424856">
          <w:marLeft w:val="0"/>
          <w:marRight w:val="0"/>
          <w:marTop w:val="0"/>
          <w:marBottom w:val="0"/>
          <w:divBdr>
            <w:top w:val="none" w:sz="0" w:space="0" w:color="auto"/>
            <w:left w:val="none" w:sz="0" w:space="0" w:color="auto"/>
            <w:bottom w:val="none" w:sz="0" w:space="0" w:color="auto"/>
            <w:right w:val="none" w:sz="0" w:space="0" w:color="auto"/>
          </w:divBdr>
        </w:div>
        <w:div w:id="213347803">
          <w:marLeft w:val="0"/>
          <w:marRight w:val="0"/>
          <w:marTop w:val="0"/>
          <w:marBottom w:val="0"/>
          <w:divBdr>
            <w:top w:val="none" w:sz="0" w:space="0" w:color="auto"/>
            <w:left w:val="none" w:sz="0" w:space="0" w:color="auto"/>
            <w:bottom w:val="none" w:sz="0" w:space="0" w:color="auto"/>
            <w:right w:val="none" w:sz="0" w:space="0" w:color="auto"/>
          </w:divBdr>
        </w:div>
        <w:div w:id="895970513">
          <w:marLeft w:val="0"/>
          <w:marRight w:val="0"/>
          <w:marTop w:val="0"/>
          <w:marBottom w:val="0"/>
          <w:divBdr>
            <w:top w:val="none" w:sz="0" w:space="0" w:color="auto"/>
            <w:left w:val="none" w:sz="0" w:space="0" w:color="auto"/>
            <w:bottom w:val="none" w:sz="0" w:space="0" w:color="auto"/>
            <w:right w:val="none" w:sz="0" w:space="0" w:color="auto"/>
          </w:divBdr>
        </w:div>
        <w:div w:id="719399655">
          <w:marLeft w:val="0"/>
          <w:marRight w:val="0"/>
          <w:marTop w:val="0"/>
          <w:marBottom w:val="0"/>
          <w:divBdr>
            <w:top w:val="none" w:sz="0" w:space="0" w:color="auto"/>
            <w:left w:val="none" w:sz="0" w:space="0" w:color="auto"/>
            <w:bottom w:val="none" w:sz="0" w:space="0" w:color="auto"/>
            <w:right w:val="none" w:sz="0" w:space="0" w:color="auto"/>
          </w:divBdr>
        </w:div>
        <w:div w:id="169761399">
          <w:marLeft w:val="0"/>
          <w:marRight w:val="0"/>
          <w:marTop w:val="0"/>
          <w:marBottom w:val="0"/>
          <w:divBdr>
            <w:top w:val="none" w:sz="0" w:space="0" w:color="auto"/>
            <w:left w:val="none" w:sz="0" w:space="0" w:color="auto"/>
            <w:bottom w:val="none" w:sz="0" w:space="0" w:color="auto"/>
            <w:right w:val="none" w:sz="0" w:space="0" w:color="auto"/>
          </w:divBdr>
        </w:div>
        <w:div w:id="1108738958">
          <w:marLeft w:val="0"/>
          <w:marRight w:val="0"/>
          <w:marTop w:val="0"/>
          <w:marBottom w:val="0"/>
          <w:divBdr>
            <w:top w:val="none" w:sz="0" w:space="0" w:color="auto"/>
            <w:left w:val="none" w:sz="0" w:space="0" w:color="auto"/>
            <w:bottom w:val="none" w:sz="0" w:space="0" w:color="auto"/>
            <w:right w:val="none" w:sz="0" w:space="0" w:color="auto"/>
          </w:divBdr>
        </w:div>
        <w:div w:id="1174615624">
          <w:marLeft w:val="0"/>
          <w:marRight w:val="0"/>
          <w:marTop w:val="0"/>
          <w:marBottom w:val="0"/>
          <w:divBdr>
            <w:top w:val="none" w:sz="0" w:space="0" w:color="auto"/>
            <w:left w:val="none" w:sz="0" w:space="0" w:color="auto"/>
            <w:bottom w:val="none" w:sz="0" w:space="0" w:color="auto"/>
            <w:right w:val="none" w:sz="0" w:space="0" w:color="auto"/>
          </w:divBdr>
        </w:div>
        <w:div w:id="1495104469">
          <w:marLeft w:val="0"/>
          <w:marRight w:val="0"/>
          <w:marTop w:val="0"/>
          <w:marBottom w:val="0"/>
          <w:divBdr>
            <w:top w:val="none" w:sz="0" w:space="0" w:color="auto"/>
            <w:left w:val="none" w:sz="0" w:space="0" w:color="auto"/>
            <w:bottom w:val="none" w:sz="0" w:space="0" w:color="auto"/>
            <w:right w:val="none" w:sz="0" w:space="0" w:color="auto"/>
          </w:divBdr>
        </w:div>
        <w:div w:id="2035882496">
          <w:marLeft w:val="0"/>
          <w:marRight w:val="0"/>
          <w:marTop w:val="0"/>
          <w:marBottom w:val="0"/>
          <w:divBdr>
            <w:top w:val="none" w:sz="0" w:space="0" w:color="auto"/>
            <w:left w:val="none" w:sz="0" w:space="0" w:color="auto"/>
            <w:bottom w:val="none" w:sz="0" w:space="0" w:color="auto"/>
            <w:right w:val="none" w:sz="0" w:space="0" w:color="auto"/>
          </w:divBdr>
        </w:div>
        <w:div w:id="1752198306">
          <w:marLeft w:val="0"/>
          <w:marRight w:val="0"/>
          <w:marTop w:val="0"/>
          <w:marBottom w:val="0"/>
          <w:divBdr>
            <w:top w:val="none" w:sz="0" w:space="0" w:color="auto"/>
            <w:left w:val="none" w:sz="0" w:space="0" w:color="auto"/>
            <w:bottom w:val="none" w:sz="0" w:space="0" w:color="auto"/>
            <w:right w:val="none" w:sz="0" w:space="0" w:color="auto"/>
          </w:divBdr>
        </w:div>
        <w:div w:id="415635966">
          <w:marLeft w:val="0"/>
          <w:marRight w:val="0"/>
          <w:marTop w:val="0"/>
          <w:marBottom w:val="0"/>
          <w:divBdr>
            <w:top w:val="none" w:sz="0" w:space="0" w:color="auto"/>
            <w:left w:val="none" w:sz="0" w:space="0" w:color="auto"/>
            <w:bottom w:val="none" w:sz="0" w:space="0" w:color="auto"/>
            <w:right w:val="none" w:sz="0" w:space="0" w:color="auto"/>
          </w:divBdr>
        </w:div>
        <w:div w:id="533156462">
          <w:marLeft w:val="0"/>
          <w:marRight w:val="0"/>
          <w:marTop w:val="0"/>
          <w:marBottom w:val="0"/>
          <w:divBdr>
            <w:top w:val="none" w:sz="0" w:space="0" w:color="auto"/>
            <w:left w:val="none" w:sz="0" w:space="0" w:color="auto"/>
            <w:bottom w:val="none" w:sz="0" w:space="0" w:color="auto"/>
            <w:right w:val="none" w:sz="0" w:space="0" w:color="auto"/>
          </w:divBdr>
        </w:div>
      </w:divsChild>
    </w:div>
    <w:div w:id="681399201">
      <w:bodyDiv w:val="1"/>
      <w:marLeft w:val="0"/>
      <w:marRight w:val="0"/>
      <w:marTop w:val="0"/>
      <w:marBottom w:val="0"/>
      <w:divBdr>
        <w:top w:val="none" w:sz="0" w:space="0" w:color="auto"/>
        <w:left w:val="none" w:sz="0" w:space="0" w:color="auto"/>
        <w:bottom w:val="none" w:sz="0" w:space="0" w:color="auto"/>
        <w:right w:val="none" w:sz="0" w:space="0" w:color="auto"/>
      </w:divBdr>
    </w:div>
    <w:div w:id="691341155">
      <w:bodyDiv w:val="1"/>
      <w:marLeft w:val="0"/>
      <w:marRight w:val="0"/>
      <w:marTop w:val="0"/>
      <w:marBottom w:val="0"/>
      <w:divBdr>
        <w:top w:val="none" w:sz="0" w:space="0" w:color="auto"/>
        <w:left w:val="none" w:sz="0" w:space="0" w:color="auto"/>
        <w:bottom w:val="none" w:sz="0" w:space="0" w:color="auto"/>
        <w:right w:val="none" w:sz="0" w:space="0" w:color="auto"/>
      </w:divBdr>
    </w:div>
    <w:div w:id="755516638">
      <w:bodyDiv w:val="1"/>
      <w:marLeft w:val="0"/>
      <w:marRight w:val="0"/>
      <w:marTop w:val="0"/>
      <w:marBottom w:val="0"/>
      <w:divBdr>
        <w:top w:val="none" w:sz="0" w:space="0" w:color="auto"/>
        <w:left w:val="none" w:sz="0" w:space="0" w:color="auto"/>
        <w:bottom w:val="none" w:sz="0" w:space="0" w:color="auto"/>
        <w:right w:val="none" w:sz="0" w:space="0" w:color="auto"/>
      </w:divBdr>
    </w:div>
    <w:div w:id="775759911">
      <w:bodyDiv w:val="1"/>
      <w:marLeft w:val="0"/>
      <w:marRight w:val="0"/>
      <w:marTop w:val="0"/>
      <w:marBottom w:val="0"/>
      <w:divBdr>
        <w:top w:val="none" w:sz="0" w:space="0" w:color="auto"/>
        <w:left w:val="none" w:sz="0" w:space="0" w:color="auto"/>
        <w:bottom w:val="none" w:sz="0" w:space="0" w:color="auto"/>
        <w:right w:val="none" w:sz="0" w:space="0" w:color="auto"/>
      </w:divBdr>
    </w:div>
    <w:div w:id="800927911">
      <w:bodyDiv w:val="1"/>
      <w:marLeft w:val="0"/>
      <w:marRight w:val="0"/>
      <w:marTop w:val="0"/>
      <w:marBottom w:val="0"/>
      <w:divBdr>
        <w:top w:val="none" w:sz="0" w:space="0" w:color="auto"/>
        <w:left w:val="none" w:sz="0" w:space="0" w:color="auto"/>
        <w:bottom w:val="none" w:sz="0" w:space="0" w:color="auto"/>
        <w:right w:val="none" w:sz="0" w:space="0" w:color="auto"/>
      </w:divBdr>
    </w:div>
    <w:div w:id="831486139">
      <w:bodyDiv w:val="1"/>
      <w:marLeft w:val="0"/>
      <w:marRight w:val="0"/>
      <w:marTop w:val="0"/>
      <w:marBottom w:val="0"/>
      <w:divBdr>
        <w:top w:val="none" w:sz="0" w:space="0" w:color="auto"/>
        <w:left w:val="none" w:sz="0" w:space="0" w:color="auto"/>
        <w:bottom w:val="none" w:sz="0" w:space="0" w:color="auto"/>
        <w:right w:val="none" w:sz="0" w:space="0" w:color="auto"/>
      </w:divBdr>
    </w:div>
    <w:div w:id="840003513">
      <w:bodyDiv w:val="1"/>
      <w:marLeft w:val="0"/>
      <w:marRight w:val="0"/>
      <w:marTop w:val="0"/>
      <w:marBottom w:val="0"/>
      <w:divBdr>
        <w:top w:val="none" w:sz="0" w:space="0" w:color="auto"/>
        <w:left w:val="none" w:sz="0" w:space="0" w:color="auto"/>
        <w:bottom w:val="none" w:sz="0" w:space="0" w:color="auto"/>
        <w:right w:val="none" w:sz="0" w:space="0" w:color="auto"/>
      </w:divBdr>
    </w:div>
    <w:div w:id="854076214">
      <w:bodyDiv w:val="1"/>
      <w:marLeft w:val="0"/>
      <w:marRight w:val="0"/>
      <w:marTop w:val="0"/>
      <w:marBottom w:val="0"/>
      <w:divBdr>
        <w:top w:val="none" w:sz="0" w:space="0" w:color="auto"/>
        <w:left w:val="none" w:sz="0" w:space="0" w:color="auto"/>
        <w:bottom w:val="none" w:sz="0" w:space="0" w:color="auto"/>
        <w:right w:val="none" w:sz="0" w:space="0" w:color="auto"/>
      </w:divBdr>
    </w:div>
    <w:div w:id="866942639">
      <w:bodyDiv w:val="1"/>
      <w:marLeft w:val="0"/>
      <w:marRight w:val="0"/>
      <w:marTop w:val="0"/>
      <w:marBottom w:val="0"/>
      <w:divBdr>
        <w:top w:val="none" w:sz="0" w:space="0" w:color="auto"/>
        <w:left w:val="none" w:sz="0" w:space="0" w:color="auto"/>
        <w:bottom w:val="none" w:sz="0" w:space="0" w:color="auto"/>
        <w:right w:val="none" w:sz="0" w:space="0" w:color="auto"/>
      </w:divBdr>
    </w:div>
    <w:div w:id="902179109">
      <w:bodyDiv w:val="1"/>
      <w:marLeft w:val="0"/>
      <w:marRight w:val="0"/>
      <w:marTop w:val="0"/>
      <w:marBottom w:val="0"/>
      <w:divBdr>
        <w:top w:val="none" w:sz="0" w:space="0" w:color="auto"/>
        <w:left w:val="none" w:sz="0" w:space="0" w:color="auto"/>
        <w:bottom w:val="none" w:sz="0" w:space="0" w:color="auto"/>
        <w:right w:val="none" w:sz="0" w:space="0" w:color="auto"/>
      </w:divBdr>
    </w:div>
    <w:div w:id="902299721">
      <w:bodyDiv w:val="1"/>
      <w:marLeft w:val="0"/>
      <w:marRight w:val="0"/>
      <w:marTop w:val="0"/>
      <w:marBottom w:val="0"/>
      <w:divBdr>
        <w:top w:val="none" w:sz="0" w:space="0" w:color="auto"/>
        <w:left w:val="none" w:sz="0" w:space="0" w:color="auto"/>
        <w:bottom w:val="none" w:sz="0" w:space="0" w:color="auto"/>
        <w:right w:val="none" w:sz="0" w:space="0" w:color="auto"/>
      </w:divBdr>
      <w:divsChild>
        <w:div w:id="1467242083">
          <w:marLeft w:val="0"/>
          <w:marRight w:val="0"/>
          <w:marTop w:val="0"/>
          <w:marBottom w:val="0"/>
          <w:divBdr>
            <w:top w:val="none" w:sz="0" w:space="0" w:color="auto"/>
            <w:left w:val="none" w:sz="0" w:space="0" w:color="auto"/>
            <w:bottom w:val="none" w:sz="0" w:space="0" w:color="auto"/>
            <w:right w:val="none" w:sz="0" w:space="0" w:color="auto"/>
          </w:divBdr>
          <w:divsChild>
            <w:div w:id="1126315961">
              <w:marLeft w:val="0"/>
              <w:marRight w:val="0"/>
              <w:marTop w:val="150"/>
              <w:marBottom w:val="0"/>
              <w:divBdr>
                <w:top w:val="none" w:sz="0" w:space="0" w:color="auto"/>
                <w:left w:val="none" w:sz="0" w:space="0" w:color="auto"/>
                <w:bottom w:val="none" w:sz="0" w:space="0" w:color="auto"/>
                <w:right w:val="none" w:sz="0" w:space="0" w:color="auto"/>
              </w:divBdr>
              <w:divsChild>
                <w:div w:id="323777345">
                  <w:marLeft w:val="3300"/>
                  <w:marRight w:val="0"/>
                  <w:marTop w:val="0"/>
                  <w:marBottom w:val="0"/>
                  <w:divBdr>
                    <w:top w:val="none" w:sz="0" w:space="0" w:color="auto"/>
                    <w:left w:val="none" w:sz="0" w:space="0" w:color="auto"/>
                    <w:bottom w:val="none" w:sz="0" w:space="0" w:color="auto"/>
                    <w:right w:val="none" w:sz="0" w:space="0" w:color="auto"/>
                  </w:divBdr>
                  <w:divsChild>
                    <w:div w:id="529225361">
                      <w:marLeft w:val="0"/>
                      <w:marRight w:val="0"/>
                      <w:marTop w:val="0"/>
                      <w:marBottom w:val="0"/>
                      <w:divBdr>
                        <w:top w:val="single" w:sz="6" w:space="7" w:color="A8A8A8"/>
                        <w:left w:val="single" w:sz="2" w:space="14" w:color="A8A8A8"/>
                        <w:bottom w:val="single" w:sz="6" w:space="7" w:color="A8A8A8"/>
                        <w:right w:val="single" w:sz="2" w:space="14" w:color="A8A8A8"/>
                      </w:divBdr>
                      <w:divsChild>
                        <w:div w:id="1805922151">
                          <w:marLeft w:val="0"/>
                          <w:marRight w:val="0"/>
                          <w:marTop w:val="0"/>
                          <w:marBottom w:val="0"/>
                          <w:divBdr>
                            <w:top w:val="none" w:sz="0" w:space="0" w:color="auto"/>
                            <w:left w:val="none" w:sz="0" w:space="0" w:color="auto"/>
                            <w:bottom w:val="none" w:sz="0" w:space="0" w:color="auto"/>
                            <w:right w:val="none" w:sz="0" w:space="0" w:color="auto"/>
                          </w:divBdr>
                          <w:divsChild>
                            <w:div w:id="1463768663">
                              <w:marLeft w:val="0"/>
                              <w:marRight w:val="0"/>
                              <w:marTop w:val="0"/>
                              <w:marBottom w:val="0"/>
                              <w:divBdr>
                                <w:top w:val="none" w:sz="0" w:space="0" w:color="auto"/>
                                <w:left w:val="none" w:sz="0" w:space="0" w:color="auto"/>
                                <w:bottom w:val="none" w:sz="0" w:space="0" w:color="auto"/>
                                <w:right w:val="none" w:sz="0" w:space="0" w:color="auto"/>
                              </w:divBdr>
                              <w:divsChild>
                                <w:div w:id="1936480538">
                                  <w:marLeft w:val="0"/>
                                  <w:marRight w:val="0"/>
                                  <w:marTop w:val="0"/>
                                  <w:marBottom w:val="0"/>
                                  <w:divBdr>
                                    <w:top w:val="none" w:sz="0" w:space="0" w:color="auto"/>
                                    <w:left w:val="none" w:sz="0" w:space="0" w:color="auto"/>
                                    <w:bottom w:val="none" w:sz="0" w:space="0" w:color="auto"/>
                                    <w:right w:val="none" w:sz="0" w:space="0" w:color="auto"/>
                                  </w:divBdr>
                                  <w:divsChild>
                                    <w:div w:id="1639531634">
                                      <w:marLeft w:val="0"/>
                                      <w:marRight w:val="0"/>
                                      <w:marTop w:val="0"/>
                                      <w:marBottom w:val="0"/>
                                      <w:divBdr>
                                        <w:top w:val="none" w:sz="0" w:space="0" w:color="auto"/>
                                        <w:left w:val="none" w:sz="0" w:space="0" w:color="auto"/>
                                        <w:bottom w:val="none" w:sz="0" w:space="0" w:color="auto"/>
                                        <w:right w:val="none" w:sz="0" w:space="0" w:color="auto"/>
                                      </w:divBdr>
                                      <w:divsChild>
                                        <w:div w:id="1055087955">
                                          <w:marLeft w:val="0"/>
                                          <w:marRight w:val="0"/>
                                          <w:marTop w:val="0"/>
                                          <w:marBottom w:val="0"/>
                                          <w:divBdr>
                                            <w:top w:val="none" w:sz="0" w:space="0" w:color="auto"/>
                                            <w:left w:val="none" w:sz="0" w:space="0" w:color="auto"/>
                                            <w:bottom w:val="none" w:sz="0" w:space="0" w:color="auto"/>
                                            <w:right w:val="none" w:sz="0" w:space="0" w:color="auto"/>
                                          </w:divBdr>
                                          <w:divsChild>
                                            <w:div w:id="1626695268">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523325704">
                                                      <w:marLeft w:val="0"/>
                                                      <w:marRight w:val="0"/>
                                                      <w:marTop w:val="0"/>
                                                      <w:marBottom w:val="0"/>
                                                      <w:divBdr>
                                                        <w:top w:val="none" w:sz="0" w:space="0" w:color="auto"/>
                                                        <w:left w:val="none" w:sz="0" w:space="0" w:color="auto"/>
                                                        <w:bottom w:val="none" w:sz="0" w:space="0" w:color="auto"/>
                                                        <w:right w:val="none" w:sz="0" w:space="0" w:color="auto"/>
                                                      </w:divBdr>
                                                    </w:div>
                                                  </w:divsChild>
                                                </w:div>
                                                <w:div w:id="473449419">
                                                  <w:marLeft w:val="0"/>
                                                  <w:marRight w:val="0"/>
                                                  <w:marTop w:val="0"/>
                                                  <w:marBottom w:val="0"/>
                                                  <w:divBdr>
                                                    <w:top w:val="none" w:sz="0" w:space="0" w:color="auto"/>
                                                    <w:left w:val="none" w:sz="0" w:space="0" w:color="auto"/>
                                                    <w:bottom w:val="none" w:sz="0" w:space="0" w:color="auto"/>
                                                    <w:right w:val="none" w:sz="0" w:space="0" w:color="auto"/>
                                                  </w:divBdr>
                                                  <w:divsChild>
                                                    <w:div w:id="1620260792">
                                                      <w:marLeft w:val="0"/>
                                                      <w:marRight w:val="0"/>
                                                      <w:marTop w:val="0"/>
                                                      <w:marBottom w:val="0"/>
                                                      <w:divBdr>
                                                        <w:top w:val="none" w:sz="0" w:space="0" w:color="auto"/>
                                                        <w:left w:val="none" w:sz="0" w:space="0" w:color="auto"/>
                                                        <w:bottom w:val="none" w:sz="0" w:space="0" w:color="auto"/>
                                                        <w:right w:val="none" w:sz="0" w:space="0" w:color="auto"/>
                                                      </w:divBdr>
                                                    </w:div>
                                                  </w:divsChild>
                                                </w:div>
                                                <w:div w:id="1195195715">
                                                  <w:marLeft w:val="0"/>
                                                  <w:marRight w:val="0"/>
                                                  <w:marTop w:val="0"/>
                                                  <w:marBottom w:val="0"/>
                                                  <w:divBdr>
                                                    <w:top w:val="none" w:sz="0" w:space="0" w:color="auto"/>
                                                    <w:left w:val="none" w:sz="0" w:space="0" w:color="auto"/>
                                                    <w:bottom w:val="none" w:sz="0" w:space="0" w:color="auto"/>
                                                    <w:right w:val="none" w:sz="0" w:space="0" w:color="auto"/>
                                                  </w:divBdr>
                                                  <w:divsChild>
                                                    <w:div w:id="1559592220">
                                                      <w:marLeft w:val="0"/>
                                                      <w:marRight w:val="0"/>
                                                      <w:marTop w:val="0"/>
                                                      <w:marBottom w:val="0"/>
                                                      <w:divBdr>
                                                        <w:top w:val="none" w:sz="0" w:space="0" w:color="auto"/>
                                                        <w:left w:val="none" w:sz="0" w:space="0" w:color="auto"/>
                                                        <w:bottom w:val="none" w:sz="0" w:space="0" w:color="auto"/>
                                                        <w:right w:val="none" w:sz="0" w:space="0" w:color="auto"/>
                                                      </w:divBdr>
                                                    </w:div>
                                                  </w:divsChild>
                                                </w:div>
                                                <w:div w:id="1028335571">
                                                  <w:marLeft w:val="0"/>
                                                  <w:marRight w:val="0"/>
                                                  <w:marTop w:val="0"/>
                                                  <w:marBottom w:val="0"/>
                                                  <w:divBdr>
                                                    <w:top w:val="none" w:sz="0" w:space="0" w:color="auto"/>
                                                    <w:left w:val="none" w:sz="0" w:space="0" w:color="auto"/>
                                                    <w:bottom w:val="none" w:sz="0" w:space="0" w:color="auto"/>
                                                    <w:right w:val="none" w:sz="0" w:space="0" w:color="auto"/>
                                                  </w:divBdr>
                                                  <w:divsChild>
                                                    <w:div w:id="439108160">
                                                      <w:marLeft w:val="0"/>
                                                      <w:marRight w:val="0"/>
                                                      <w:marTop w:val="0"/>
                                                      <w:marBottom w:val="0"/>
                                                      <w:divBdr>
                                                        <w:top w:val="none" w:sz="0" w:space="0" w:color="auto"/>
                                                        <w:left w:val="none" w:sz="0" w:space="0" w:color="auto"/>
                                                        <w:bottom w:val="none" w:sz="0" w:space="0" w:color="auto"/>
                                                        <w:right w:val="none" w:sz="0" w:space="0" w:color="auto"/>
                                                      </w:divBdr>
                                                    </w:div>
                                                  </w:divsChild>
                                                </w:div>
                                                <w:div w:id="554858336">
                                                  <w:marLeft w:val="0"/>
                                                  <w:marRight w:val="0"/>
                                                  <w:marTop w:val="0"/>
                                                  <w:marBottom w:val="0"/>
                                                  <w:divBdr>
                                                    <w:top w:val="none" w:sz="0" w:space="0" w:color="auto"/>
                                                    <w:left w:val="none" w:sz="0" w:space="0" w:color="auto"/>
                                                    <w:bottom w:val="none" w:sz="0" w:space="0" w:color="auto"/>
                                                    <w:right w:val="none" w:sz="0" w:space="0" w:color="auto"/>
                                                  </w:divBdr>
                                                  <w:divsChild>
                                                    <w:div w:id="1947737161">
                                                      <w:marLeft w:val="0"/>
                                                      <w:marRight w:val="0"/>
                                                      <w:marTop w:val="0"/>
                                                      <w:marBottom w:val="0"/>
                                                      <w:divBdr>
                                                        <w:top w:val="none" w:sz="0" w:space="0" w:color="auto"/>
                                                        <w:left w:val="none" w:sz="0" w:space="0" w:color="auto"/>
                                                        <w:bottom w:val="none" w:sz="0" w:space="0" w:color="auto"/>
                                                        <w:right w:val="none" w:sz="0" w:space="0" w:color="auto"/>
                                                      </w:divBdr>
                                                    </w:div>
                                                  </w:divsChild>
                                                </w:div>
                                                <w:div w:id="1083643645">
                                                  <w:marLeft w:val="0"/>
                                                  <w:marRight w:val="0"/>
                                                  <w:marTop w:val="0"/>
                                                  <w:marBottom w:val="0"/>
                                                  <w:divBdr>
                                                    <w:top w:val="none" w:sz="0" w:space="0" w:color="auto"/>
                                                    <w:left w:val="none" w:sz="0" w:space="0" w:color="auto"/>
                                                    <w:bottom w:val="none" w:sz="0" w:space="0" w:color="auto"/>
                                                    <w:right w:val="none" w:sz="0" w:space="0" w:color="auto"/>
                                                  </w:divBdr>
                                                  <w:divsChild>
                                                    <w:div w:id="80761773">
                                                      <w:marLeft w:val="0"/>
                                                      <w:marRight w:val="0"/>
                                                      <w:marTop w:val="0"/>
                                                      <w:marBottom w:val="0"/>
                                                      <w:divBdr>
                                                        <w:top w:val="none" w:sz="0" w:space="0" w:color="auto"/>
                                                        <w:left w:val="none" w:sz="0" w:space="0" w:color="auto"/>
                                                        <w:bottom w:val="none" w:sz="0" w:space="0" w:color="auto"/>
                                                        <w:right w:val="none" w:sz="0" w:space="0" w:color="auto"/>
                                                      </w:divBdr>
                                                    </w:div>
                                                  </w:divsChild>
                                                </w:div>
                                                <w:div w:id="1457062361">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
                                                  </w:divsChild>
                                                </w:div>
                                                <w:div w:id="1437015436">
                                                  <w:marLeft w:val="0"/>
                                                  <w:marRight w:val="0"/>
                                                  <w:marTop w:val="0"/>
                                                  <w:marBottom w:val="0"/>
                                                  <w:divBdr>
                                                    <w:top w:val="none" w:sz="0" w:space="0" w:color="auto"/>
                                                    <w:left w:val="none" w:sz="0" w:space="0" w:color="auto"/>
                                                    <w:bottom w:val="none" w:sz="0" w:space="0" w:color="auto"/>
                                                    <w:right w:val="none" w:sz="0" w:space="0" w:color="auto"/>
                                                  </w:divBdr>
                                                  <w:divsChild>
                                                    <w:div w:id="373770811">
                                                      <w:marLeft w:val="0"/>
                                                      <w:marRight w:val="0"/>
                                                      <w:marTop w:val="0"/>
                                                      <w:marBottom w:val="0"/>
                                                      <w:divBdr>
                                                        <w:top w:val="none" w:sz="0" w:space="0" w:color="auto"/>
                                                        <w:left w:val="none" w:sz="0" w:space="0" w:color="auto"/>
                                                        <w:bottom w:val="none" w:sz="0" w:space="0" w:color="auto"/>
                                                        <w:right w:val="none" w:sz="0" w:space="0" w:color="auto"/>
                                                      </w:divBdr>
                                                    </w:div>
                                                  </w:divsChild>
                                                </w:div>
                                                <w:div w:id="637806914">
                                                  <w:marLeft w:val="0"/>
                                                  <w:marRight w:val="0"/>
                                                  <w:marTop w:val="0"/>
                                                  <w:marBottom w:val="0"/>
                                                  <w:divBdr>
                                                    <w:top w:val="none" w:sz="0" w:space="0" w:color="auto"/>
                                                    <w:left w:val="none" w:sz="0" w:space="0" w:color="auto"/>
                                                    <w:bottom w:val="none" w:sz="0" w:space="0" w:color="auto"/>
                                                    <w:right w:val="none" w:sz="0" w:space="0" w:color="auto"/>
                                                  </w:divBdr>
                                                  <w:divsChild>
                                                    <w:div w:id="1057510073">
                                                      <w:marLeft w:val="0"/>
                                                      <w:marRight w:val="0"/>
                                                      <w:marTop w:val="0"/>
                                                      <w:marBottom w:val="0"/>
                                                      <w:divBdr>
                                                        <w:top w:val="none" w:sz="0" w:space="0" w:color="auto"/>
                                                        <w:left w:val="none" w:sz="0" w:space="0" w:color="auto"/>
                                                        <w:bottom w:val="none" w:sz="0" w:space="0" w:color="auto"/>
                                                        <w:right w:val="none" w:sz="0" w:space="0" w:color="auto"/>
                                                      </w:divBdr>
                                                    </w:div>
                                                  </w:divsChild>
                                                </w:div>
                                                <w:div w:id="570507236">
                                                  <w:marLeft w:val="0"/>
                                                  <w:marRight w:val="0"/>
                                                  <w:marTop w:val="0"/>
                                                  <w:marBottom w:val="0"/>
                                                  <w:divBdr>
                                                    <w:top w:val="none" w:sz="0" w:space="0" w:color="auto"/>
                                                    <w:left w:val="none" w:sz="0" w:space="0" w:color="auto"/>
                                                    <w:bottom w:val="none" w:sz="0" w:space="0" w:color="auto"/>
                                                    <w:right w:val="none" w:sz="0" w:space="0" w:color="auto"/>
                                                  </w:divBdr>
                                                  <w:divsChild>
                                                    <w:div w:id="1168716110">
                                                      <w:marLeft w:val="0"/>
                                                      <w:marRight w:val="0"/>
                                                      <w:marTop w:val="0"/>
                                                      <w:marBottom w:val="0"/>
                                                      <w:divBdr>
                                                        <w:top w:val="none" w:sz="0" w:space="0" w:color="auto"/>
                                                        <w:left w:val="none" w:sz="0" w:space="0" w:color="auto"/>
                                                        <w:bottom w:val="none" w:sz="0" w:space="0" w:color="auto"/>
                                                        <w:right w:val="none" w:sz="0" w:space="0" w:color="auto"/>
                                                      </w:divBdr>
                                                    </w:div>
                                                  </w:divsChild>
                                                </w:div>
                                                <w:div w:id="306397152">
                                                  <w:marLeft w:val="0"/>
                                                  <w:marRight w:val="0"/>
                                                  <w:marTop w:val="0"/>
                                                  <w:marBottom w:val="0"/>
                                                  <w:divBdr>
                                                    <w:top w:val="none" w:sz="0" w:space="0" w:color="auto"/>
                                                    <w:left w:val="none" w:sz="0" w:space="0" w:color="auto"/>
                                                    <w:bottom w:val="none" w:sz="0" w:space="0" w:color="auto"/>
                                                    <w:right w:val="none" w:sz="0" w:space="0" w:color="auto"/>
                                                  </w:divBdr>
                                                  <w:divsChild>
                                                    <w:div w:id="209998340">
                                                      <w:marLeft w:val="0"/>
                                                      <w:marRight w:val="0"/>
                                                      <w:marTop w:val="0"/>
                                                      <w:marBottom w:val="0"/>
                                                      <w:divBdr>
                                                        <w:top w:val="none" w:sz="0" w:space="0" w:color="auto"/>
                                                        <w:left w:val="none" w:sz="0" w:space="0" w:color="auto"/>
                                                        <w:bottom w:val="none" w:sz="0" w:space="0" w:color="auto"/>
                                                        <w:right w:val="none" w:sz="0" w:space="0" w:color="auto"/>
                                                      </w:divBdr>
                                                    </w:div>
                                                  </w:divsChild>
                                                </w:div>
                                                <w:div w:id="851265566">
                                                  <w:marLeft w:val="0"/>
                                                  <w:marRight w:val="0"/>
                                                  <w:marTop w:val="0"/>
                                                  <w:marBottom w:val="0"/>
                                                  <w:divBdr>
                                                    <w:top w:val="none" w:sz="0" w:space="0" w:color="auto"/>
                                                    <w:left w:val="none" w:sz="0" w:space="0" w:color="auto"/>
                                                    <w:bottom w:val="none" w:sz="0" w:space="0" w:color="auto"/>
                                                    <w:right w:val="none" w:sz="0" w:space="0" w:color="auto"/>
                                                  </w:divBdr>
                                                  <w:divsChild>
                                                    <w:div w:id="1038316260">
                                                      <w:marLeft w:val="0"/>
                                                      <w:marRight w:val="0"/>
                                                      <w:marTop w:val="0"/>
                                                      <w:marBottom w:val="0"/>
                                                      <w:divBdr>
                                                        <w:top w:val="none" w:sz="0" w:space="0" w:color="auto"/>
                                                        <w:left w:val="none" w:sz="0" w:space="0" w:color="auto"/>
                                                        <w:bottom w:val="none" w:sz="0" w:space="0" w:color="auto"/>
                                                        <w:right w:val="none" w:sz="0" w:space="0" w:color="auto"/>
                                                      </w:divBdr>
                                                    </w:div>
                                                  </w:divsChild>
                                                </w:div>
                                                <w:div w:id="150022703">
                                                  <w:marLeft w:val="0"/>
                                                  <w:marRight w:val="0"/>
                                                  <w:marTop w:val="0"/>
                                                  <w:marBottom w:val="0"/>
                                                  <w:divBdr>
                                                    <w:top w:val="none" w:sz="0" w:space="0" w:color="auto"/>
                                                    <w:left w:val="none" w:sz="0" w:space="0" w:color="auto"/>
                                                    <w:bottom w:val="none" w:sz="0" w:space="0" w:color="auto"/>
                                                    <w:right w:val="none" w:sz="0" w:space="0" w:color="auto"/>
                                                  </w:divBdr>
                                                  <w:divsChild>
                                                    <w:div w:id="330569753">
                                                      <w:marLeft w:val="0"/>
                                                      <w:marRight w:val="0"/>
                                                      <w:marTop w:val="0"/>
                                                      <w:marBottom w:val="0"/>
                                                      <w:divBdr>
                                                        <w:top w:val="none" w:sz="0" w:space="0" w:color="auto"/>
                                                        <w:left w:val="none" w:sz="0" w:space="0" w:color="auto"/>
                                                        <w:bottom w:val="none" w:sz="0" w:space="0" w:color="auto"/>
                                                        <w:right w:val="none" w:sz="0" w:space="0" w:color="auto"/>
                                                      </w:divBdr>
                                                    </w:div>
                                                  </w:divsChild>
                                                </w:div>
                                                <w:div w:id="1682050566">
                                                  <w:marLeft w:val="0"/>
                                                  <w:marRight w:val="0"/>
                                                  <w:marTop w:val="0"/>
                                                  <w:marBottom w:val="0"/>
                                                  <w:divBdr>
                                                    <w:top w:val="none" w:sz="0" w:space="0" w:color="auto"/>
                                                    <w:left w:val="none" w:sz="0" w:space="0" w:color="auto"/>
                                                    <w:bottom w:val="none" w:sz="0" w:space="0" w:color="auto"/>
                                                    <w:right w:val="none" w:sz="0" w:space="0" w:color="auto"/>
                                                  </w:divBdr>
                                                  <w:divsChild>
                                                    <w:div w:id="2072462457">
                                                      <w:marLeft w:val="0"/>
                                                      <w:marRight w:val="0"/>
                                                      <w:marTop w:val="0"/>
                                                      <w:marBottom w:val="0"/>
                                                      <w:divBdr>
                                                        <w:top w:val="none" w:sz="0" w:space="0" w:color="auto"/>
                                                        <w:left w:val="none" w:sz="0" w:space="0" w:color="auto"/>
                                                        <w:bottom w:val="none" w:sz="0" w:space="0" w:color="auto"/>
                                                        <w:right w:val="none" w:sz="0" w:space="0" w:color="auto"/>
                                                      </w:divBdr>
                                                    </w:div>
                                                  </w:divsChild>
                                                </w:div>
                                                <w:div w:id="1844515577">
                                                  <w:marLeft w:val="0"/>
                                                  <w:marRight w:val="0"/>
                                                  <w:marTop w:val="0"/>
                                                  <w:marBottom w:val="0"/>
                                                  <w:divBdr>
                                                    <w:top w:val="none" w:sz="0" w:space="0" w:color="auto"/>
                                                    <w:left w:val="none" w:sz="0" w:space="0" w:color="auto"/>
                                                    <w:bottom w:val="none" w:sz="0" w:space="0" w:color="auto"/>
                                                    <w:right w:val="none" w:sz="0" w:space="0" w:color="auto"/>
                                                  </w:divBdr>
                                                  <w:divsChild>
                                                    <w:div w:id="2128111873">
                                                      <w:marLeft w:val="0"/>
                                                      <w:marRight w:val="0"/>
                                                      <w:marTop w:val="0"/>
                                                      <w:marBottom w:val="0"/>
                                                      <w:divBdr>
                                                        <w:top w:val="none" w:sz="0" w:space="0" w:color="auto"/>
                                                        <w:left w:val="none" w:sz="0" w:space="0" w:color="auto"/>
                                                        <w:bottom w:val="none" w:sz="0" w:space="0" w:color="auto"/>
                                                        <w:right w:val="none" w:sz="0" w:space="0" w:color="auto"/>
                                                      </w:divBdr>
                                                    </w:div>
                                                  </w:divsChild>
                                                </w:div>
                                                <w:div w:id="2002348897">
                                                  <w:marLeft w:val="0"/>
                                                  <w:marRight w:val="0"/>
                                                  <w:marTop w:val="0"/>
                                                  <w:marBottom w:val="0"/>
                                                  <w:divBdr>
                                                    <w:top w:val="none" w:sz="0" w:space="0" w:color="auto"/>
                                                    <w:left w:val="none" w:sz="0" w:space="0" w:color="auto"/>
                                                    <w:bottom w:val="none" w:sz="0" w:space="0" w:color="auto"/>
                                                    <w:right w:val="none" w:sz="0" w:space="0" w:color="auto"/>
                                                  </w:divBdr>
                                                  <w:divsChild>
                                                    <w:div w:id="173767068">
                                                      <w:marLeft w:val="0"/>
                                                      <w:marRight w:val="0"/>
                                                      <w:marTop w:val="0"/>
                                                      <w:marBottom w:val="0"/>
                                                      <w:divBdr>
                                                        <w:top w:val="none" w:sz="0" w:space="0" w:color="auto"/>
                                                        <w:left w:val="none" w:sz="0" w:space="0" w:color="auto"/>
                                                        <w:bottom w:val="none" w:sz="0" w:space="0" w:color="auto"/>
                                                        <w:right w:val="none" w:sz="0" w:space="0" w:color="auto"/>
                                                      </w:divBdr>
                                                    </w:div>
                                                  </w:divsChild>
                                                </w:div>
                                                <w:div w:id="1875997026">
                                                  <w:marLeft w:val="0"/>
                                                  <w:marRight w:val="0"/>
                                                  <w:marTop w:val="0"/>
                                                  <w:marBottom w:val="0"/>
                                                  <w:divBdr>
                                                    <w:top w:val="none" w:sz="0" w:space="0" w:color="auto"/>
                                                    <w:left w:val="none" w:sz="0" w:space="0" w:color="auto"/>
                                                    <w:bottom w:val="none" w:sz="0" w:space="0" w:color="auto"/>
                                                    <w:right w:val="none" w:sz="0" w:space="0" w:color="auto"/>
                                                  </w:divBdr>
                                                  <w:divsChild>
                                                    <w:div w:id="1047025326">
                                                      <w:marLeft w:val="0"/>
                                                      <w:marRight w:val="0"/>
                                                      <w:marTop w:val="0"/>
                                                      <w:marBottom w:val="0"/>
                                                      <w:divBdr>
                                                        <w:top w:val="none" w:sz="0" w:space="0" w:color="auto"/>
                                                        <w:left w:val="none" w:sz="0" w:space="0" w:color="auto"/>
                                                        <w:bottom w:val="none" w:sz="0" w:space="0" w:color="auto"/>
                                                        <w:right w:val="none" w:sz="0" w:space="0" w:color="auto"/>
                                                      </w:divBdr>
                                                    </w:div>
                                                  </w:divsChild>
                                                </w:div>
                                                <w:div w:id="225603573">
                                                  <w:marLeft w:val="0"/>
                                                  <w:marRight w:val="0"/>
                                                  <w:marTop w:val="0"/>
                                                  <w:marBottom w:val="0"/>
                                                  <w:divBdr>
                                                    <w:top w:val="none" w:sz="0" w:space="0" w:color="auto"/>
                                                    <w:left w:val="none" w:sz="0" w:space="0" w:color="auto"/>
                                                    <w:bottom w:val="none" w:sz="0" w:space="0" w:color="auto"/>
                                                    <w:right w:val="none" w:sz="0" w:space="0" w:color="auto"/>
                                                  </w:divBdr>
                                                  <w:divsChild>
                                                    <w:div w:id="140580973">
                                                      <w:marLeft w:val="0"/>
                                                      <w:marRight w:val="0"/>
                                                      <w:marTop w:val="0"/>
                                                      <w:marBottom w:val="0"/>
                                                      <w:divBdr>
                                                        <w:top w:val="none" w:sz="0" w:space="0" w:color="auto"/>
                                                        <w:left w:val="none" w:sz="0" w:space="0" w:color="auto"/>
                                                        <w:bottom w:val="none" w:sz="0" w:space="0" w:color="auto"/>
                                                        <w:right w:val="none" w:sz="0" w:space="0" w:color="auto"/>
                                                      </w:divBdr>
                                                    </w:div>
                                                  </w:divsChild>
                                                </w:div>
                                                <w:div w:id="2117599891">
                                                  <w:marLeft w:val="0"/>
                                                  <w:marRight w:val="0"/>
                                                  <w:marTop w:val="0"/>
                                                  <w:marBottom w:val="0"/>
                                                  <w:divBdr>
                                                    <w:top w:val="none" w:sz="0" w:space="0" w:color="auto"/>
                                                    <w:left w:val="none" w:sz="0" w:space="0" w:color="auto"/>
                                                    <w:bottom w:val="none" w:sz="0" w:space="0" w:color="auto"/>
                                                    <w:right w:val="none" w:sz="0" w:space="0" w:color="auto"/>
                                                  </w:divBdr>
                                                  <w:divsChild>
                                                    <w:div w:id="865215517">
                                                      <w:marLeft w:val="0"/>
                                                      <w:marRight w:val="0"/>
                                                      <w:marTop w:val="0"/>
                                                      <w:marBottom w:val="0"/>
                                                      <w:divBdr>
                                                        <w:top w:val="none" w:sz="0" w:space="0" w:color="auto"/>
                                                        <w:left w:val="none" w:sz="0" w:space="0" w:color="auto"/>
                                                        <w:bottom w:val="none" w:sz="0" w:space="0" w:color="auto"/>
                                                        <w:right w:val="none" w:sz="0" w:space="0" w:color="auto"/>
                                                      </w:divBdr>
                                                    </w:div>
                                                  </w:divsChild>
                                                </w:div>
                                                <w:div w:id="1470593412">
                                                  <w:marLeft w:val="0"/>
                                                  <w:marRight w:val="0"/>
                                                  <w:marTop w:val="0"/>
                                                  <w:marBottom w:val="0"/>
                                                  <w:divBdr>
                                                    <w:top w:val="none" w:sz="0" w:space="0" w:color="auto"/>
                                                    <w:left w:val="none" w:sz="0" w:space="0" w:color="auto"/>
                                                    <w:bottom w:val="none" w:sz="0" w:space="0" w:color="auto"/>
                                                    <w:right w:val="none" w:sz="0" w:space="0" w:color="auto"/>
                                                  </w:divBdr>
                                                  <w:divsChild>
                                                    <w:div w:id="1253927829">
                                                      <w:marLeft w:val="0"/>
                                                      <w:marRight w:val="0"/>
                                                      <w:marTop w:val="0"/>
                                                      <w:marBottom w:val="0"/>
                                                      <w:divBdr>
                                                        <w:top w:val="none" w:sz="0" w:space="0" w:color="auto"/>
                                                        <w:left w:val="none" w:sz="0" w:space="0" w:color="auto"/>
                                                        <w:bottom w:val="none" w:sz="0" w:space="0" w:color="auto"/>
                                                        <w:right w:val="none" w:sz="0" w:space="0" w:color="auto"/>
                                                      </w:divBdr>
                                                    </w:div>
                                                  </w:divsChild>
                                                </w:div>
                                                <w:div w:id="1397436269">
                                                  <w:marLeft w:val="0"/>
                                                  <w:marRight w:val="0"/>
                                                  <w:marTop w:val="0"/>
                                                  <w:marBottom w:val="0"/>
                                                  <w:divBdr>
                                                    <w:top w:val="none" w:sz="0" w:space="0" w:color="auto"/>
                                                    <w:left w:val="none" w:sz="0" w:space="0" w:color="auto"/>
                                                    <w:bottom w:val="none" w:sz="0" w:space="0" w:color="auto"/>
                                                    <w:right w:val="none" w:sz="0" w:space="0" w:color="auto"/>
                                                  </w:divBdr>
                                                  <w:divsChild>
                                                    <w:div w:id="16729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31256">
                  <w:marLeft w:val="3300"/>
                  <w:marRight w:val="0"/>
                  <w:marTop w:val="0"/>
                  <w:marBottom w:val="0"/>
                  <w:divBdr>
                    <w:top w:val="single" w:sz="2" w:space="0" w:color="A8A8A8"/>
                    <w:left w:val="single" w:sz="6" w:space="0" w:color="A8A8A8"/>
                    <w:bottom w:val="single" w:sz="2" w:space="0" w:color="A8A8A8"/>
                    <w:right w:val="single" w:sz="6" w:space="0" w:color="A8A8A8"/>
                  </w:divBdr>
                  <w:divsChild>
                    <w:div w:id="1992245138">
                      <w:marLeft w:val="-15"/>
                      <w:marRight w:val="-15"/>
                      <w:marTop w:val="0"/>
                      <w:marBottom w:val="0"/>
                      <w:divBdr>
                        <w:top w:val="none" w:sz="0" w:space="0" w:color="auto"/>
                        <w:left w:val="none" w:sz="0" w:space="0" w:color="auto"/>
                        <w:bottom w:val="none" w:sz="0" w:space="0" w:color="auto"/>
                        <w:right w:val="none" w:sz="0" w:space="0" w:color="auto"/>
                      </w:divBdr>
                      <w:divsChild>
                        <w:div w:id="18125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4522">
      <w:bodyDiv w:val="1"/>
      <w:marLeft w:val="0"/>
      <w:marRight w:val="0"/>
      <w:marTop w:val="0"/>
      <w:marBottom w:val="0"/>
      <w:divBdr>
        <w:top w:val="none" w:sz="0" w:space="0" w:color="auto"/>
        <w:left w:val="none" w:sz="0" w:space="0" w:color="auto"/>
        <w:bottom w:val="none" w:sz="0" w:space="0" w:color="auto"/>
        <w:right w:val="none" w:sz="0" w:space="0" w:color="auto"/>
      </w:divBdr>
    </w:div>
    <w:div w:id="944508089">
      <w:bodyDiv w:val="1"/>
      <w:marLeft w:val="0"/>
      <w:marRight w:val="0"/>
      <w:marTop w:val="0"/>
      <w:marBottom w:val="0"/>
      <w:divBdr>
        <w:top w:val="none" w:sz="0" w:space="0" w:color="auto"/>
        <w:left w:val="none" w:sz="0" w:space="0" w:color="auto"/>
        <w:bottom w:val="none" w:sz="0" w:space="0" w:color="auto"/>
        <w:right w:val="none" w:sz="0" w:space="0" w:color="auto"/>
      </w:divBdr>
    </w:div>
    <w:div w:id="950168017">
      <w:bodyDiv w:val="1"/>
      <w:marLeft w:val="0"/>
      <w:marRight w:val="0"/>
      <w:marTop w:val="0"/>
      <w:marBottom w:val="0"/>
      <w:divBdr>
        <w:top w:val="none" w:sz="0" w:space="0" w:color="auto"/>
        <w:left w:val="none" w:sz="0" w:space="0" w:color="auto"/>
        <w:bottom w:val="none" w:sz="0" w:space="0" w:color="auto"/>
        <w:right w:val="none" w:sz="0" w:space="0" w:color="auto"/>
      </w:divBdr>
    </w:div>
    <w:div w:id="1032144265">
      <w:bodyDiv w:val="1"/>
      <w:marLeft w:val="0"/>
      <w:marRight w:val="0"/>
      <w:marTop w:val="0"/>
      <w:marBottom w:val="0"/>
      <w:divBdr>
        <w:top w:val="none" w:sz="0" w:space="0" w:color="auto"/>
        <w:left w:val="none" w:sz="0" w:space="0" w:color="auto"/>
        <w:bottom w:val="none" w:sz="0" w:space="0" w:color="auto"/>
        <w:right w:val="none" w:sz="0" w:space="0" w:color="auto"/>
      </w:divBdr>
    </w:div>
    <w:div w:id="1059863201">
      <w:bodyDiv w:val="1"/>
      <w:marLeft w:val="0"/>
      <w:marRight w:val="0"/>
      <w:marTop w:val="0"/>
      <w:marBottom w:val="0"/>
      <w:divBdr>
        <w:top w:val="none" w:sz="0" w:space="0" w:color="auto"/>
        <w:left w:val="none" w:sz="0" w:space="0" w:color="auto"/>
        <w:bottom w:val="none" w:sz="0" w:space="0" w:color="auto"/>
        <w:right w:val="none" w:sz="0" w:space="0" w:color="auto"/>
      </w:divBdr>
    </w:div>
    <w:div w:id="1125662242">
      <w:bodyDiv w:val="1"/>
      <w:marLeft w:val="0"/>
      <w:marRight w:val="0"/>
      <w:marTop w:val="0"/>
      <w:marBottom w:val="0"/>
      <w:divBdr>
        <w:top w:val="none" w:sz="0" w:space="0" w:color="auto"/>
        <w:left w:val="none" w:sz="0" w:space="0" w:color="auto"/>
        <w:bottom w:val="none" w:sz="0" w:space="0" w:color="auto"/>
        <w:right w:val="none" w:sz="0" w:space="0" w:color="auto"/>
      </w:divBdr>
    </w:div>
    <w:div w:id="1129396216">
      <w:bodyDiv w:val="1"/>
      <w:marLeft w:val="0"/>
      <w:marRight w:val="0"/>
      <w:marTop w:val="0"/>
      <w:marBottom w:val="0"/>
      <w:divBdr>
        <w:top w:val="none" w:sz="0" w:space="0" w:color="auto"/>
        <w:left w:val="none" w:sz="0" w:space="0" w:color="auto"/>
        <w:bottom w:val="none" w:sz="0" w:space="0" w:color="auto"/>
        <w:right w:val="none" w:sz="0" w:space="0" w:color="auto"/>
      </w:divBdr>
    </w:div>
    <w:div w:id="1150247493">
      <w:bodyDiv w:val="1"/>
      <w:marLeft w:val="0"/>
      <w:marRight w:val="0"/>
      <w:marTop w:val="0"/>
      <w:marBottom w:val="0"/>
      <w:divBdr>
        <w:top w:val="none" w:sz="0" w:space="0" w:color="auto"/>
        <w:left w:val="none" w:sz="0" w:space="0" w:color="auto"/>
        <w:bottom w:val="none" w:sz="0" w:space="0" w:color="auto"/>
        <w:right w:val="none" w:sz="0" w:space="0" w:color="auto"/>
      </w:divBdr>
    </w:div>
    <w:div w:id="1175415978">
      <w:bodyDiv w:val="1"/>
      <w:marLeft w:val="0"/>
      <w:marRight w:val="0"/>
      <w:marTop w:val="0"/>
      <w:marBottom w:val="0"/>
      <w:divBdr>
        <w:top w:val="none" w:sz="0" w:space="0" w:color="auto"/>
        <w:left w:val="none" w:sz="0" w:space="0" w:color="auto"/>
        <w:bottom w:val="none" w:sz="0" w:space="0" w:color="auto"/>
        <w:right w:val="none" w:sz="0" w:space="0" w:color="auto"/>
      </w:divBdr>
    </w:div>
    <w:div w:id="1186870656">
      <w:bodyDiv w:val="1"/>
      <w:marLeft w:val="0"/>
      <w:marRight w:val="0"/>
      <w:marTop w:val="0"/>
      <w:marBottom w:val="0"/>
      <w:divBdr>
        <w:top w:val="none" w:sz="0" w:space="0" w:color="auto"/>
        <w:left w:val="none" w:sz="0" w:space="0" w:color="auto"/>
        <w:bottom w:val="none" w:sz="0" w:space="0" w:color="auto"/>
        <w:right w:val="none" w:sz="0" w:space="0" w:color="auto"/>
      </w:divBdr>
    </w:div>
    <w:div w:id="1194227898">
      <w:bodyDiv w:val="1"/>
      <w:marLeft w:val="0"/>
      <w:marRight w:val="0"/>
      <w:marTop w:val="0"/>
      <w:marBottom w:val="0"/>
      <w:divBdr>
        <w:top w:val="none" w:sz="0" w:space="0" w:color="auto"/>
        <w:left w:val="none" w:sz="0" w:space="0" w:color="auto"/>
        <w:bottom w:val="none" w:sz="0" w:space="0" w:color="auto"/>
        <w:right w:val="none" w:sz="0" w:space="0" w:color="auto"/>
      </w:divBdr>
      <w:divsChild>
        <w:div w:id="333848919">
          <w:marLeft w:val="0"/>
          <w:marRight w:val="0"/>
          <w:marTop w:val="0"/>
          <w:marBottom w:val="0"/>
          <w:divBdr>
            <w:top w:val="none" w:sz="0" w:space="0" w:color="auto"/>
            <w:left w:val="none" w:sz="0" w:space="0" w:color="auto"/>
            <w:bottom w:val="none" w:sz="0" w:space="0" w:color="auto"/>
            <w:right w:val="none" w:sz="0" w:space="0" w:color="auto"/>
          </w:divBdr>
        </w:div>
        <w:div w:id="809984275">
          <w:marLeft w:val="0"/>
          <w:marRight w:val="0"/>
          <w:marTop w:val="0"/>
          <w:marBottom w:val="0"/>
          <w:divBdr>
            <w:top w:val="none" w:sz="0" w:space="0" w:color="auto"/>
            <w:left w:val="none" w:sz="0" w:space="0" w:color="auto"/>
            <w:bottom w:val="none" w:sz="0" w:space="0" w:color="auto"/>
            <w:right w:val="none" w:sz="0" w:space="0" w:color="auto"/>
          </w:divBdr>
        </w:div>
        <w:div w:id="2037657890">
          <w:marLeft w:val="0"/>
          <w:marRight w:val="0"/>
          <w:marTop w:val="0"/>
          <w:marBottom w:val="0"/>
          <w:divBdr>
            <w:top w:val="none" w:sz="0" w:space="0" w:color="auto"/>
            <w:left w:val="none" w:sz="0" w:space="0" w:color="auto"/>
            <w:bottom w:val="none" w:sz="0" w:space="0" w:color="auto"/>
            <w:right w:val="none" w:sz="0" w:space="0" w:color="auto"/>
          </w:divBdr>
        </w:div>
        <w:div w:id="1512379091">
          <w:marLeft w:val="0"/>
          <w:marRight w:val="0"/>
          <w:marTop w:val="0"/>
          <w:marBottom w:val="0"/>
          <w:divBdr>
            <w:top w:val="none" w:sz="0" w:space="0" w:color="auto"/>
            <w:left w:val="none" w:sz="0" w:space="0" w:color="auto"/>
            <w:bottom w:val="none" w:sz="0" w:space="0" w:color="auto"/>
            <w:right w:val="none" w:sz="0" w:space="0" w:color="auto"/>
          </w:divBdr>
        </w:div>
        <w:div w:id="271665607">
          <w:marLeft w:val="0"/>
          <w:marRight w:val="0"/>
          <w:marTop w:val="0"/>
          <w:marBottom w:val="0"/>
          <w:divBdr>
            <w:top w:val="none" w:sz="0" w:space="0" w:color="auto"/>
            <w:left w:val="none" w:sz="0" w:space="0" w:color="auto"/>
            <w:bottom w:val="none" w:sz="0" w:space="0" w:color="auto"/>
            <w:right w:val="none" w:sz="0" w:space="0" w:color="auto"/>
          </w:divBdr>
        </w:div>
        <w:div w:id="170722913">
          <w:marLeft w:val="0"/>
          <w:marRight w:val="0"/>
          <w:marTop w:val="0"/>
          <w:marBottom w:val="0"/>
          <w:divBdr>
            <w:top w:val="none" w:sz="0" w:space="0" w:color="auto"/>
            <w:left w:val="none" w:sz="0" w:space="0" w:color="auto"/>
            <w:bottom w:val="none" w:sz="0" w:space="0" w:color="auto"/>
            <w:right w:val="none" w:sz="0" w:space="0" w:color="auto"/>
          </w:divBdr>
        </w:div>
        <w:div w:id="185751356">
          <w:marLeft w:val="0"/>
          <w:marRight w:val="0"/>
          <w:marTop w:val="0"/>
          <w:marBottom w:val="0"/>
          <w:divBdr>
            <w:top w:val="none" w:sz="0" w:space="0" w:color="auto"/>
            <w:left w:val="none" w:sz="0" w:space="0" w:color="auto"/>
            <w:bottom w:val="none" w:sz="0" w:space="0" w:color="auto"/>
            <w:right w:val="none" w:sz="0" w:space="0" w:color="auto"/>
          </w:divBdr>
        </w:div>
        <w:div w:id="602498940">
          <w:marLeft w:val="0"/>
          <w:marRight w:val="0"/>
          <w:marTop w:val="0"/>
          <w:marBottom w:val="0"/>
          <w:divBdr>
            <w:top w:val="none" w:sz="0" w:space="0" w:color="auto"/>
            <w:left w:val="none" w:sz="0" w:space="0" w:color="auto"/>
            <w:bottom w:val="none" w:sz="0" w:space="0" w:color="auto"/>
            <w:right w:val="none" w:sz="0" w:space="0" w:color="auto"/>
          </w:divBdr>
        </w:div>
        <w:div w:id="296499281">
          <w:marLeft w:val="0"/>
          <w:marRight w:val="0"/>
          <w:marTop w:val="0"/>
          <w:marBottom w:val="0"/>
          <w:divBdr>
            <w:top w:val="none" w:sz="0" w:space="0" w:color="auto"/>
            <w:left w:val="none" w:sz="0" w:space="0" w:color="auto"/>
            <w:bottom w:val="none" w:sz="0" w:space="0" w:color="auto"/>
            <w:right w:val="none" w:sz="0" w:space="0" w:color="auto"/>
          </w:divBdr>
        </w:div>
        <w:div w:id="16542198">
          <w:marLeft w:val="0"/>
          <w:marRight w:val="0"/>
          <w:marTop w:val="0"/>
          <w:marBottom w:val="0"/>
          <w:divBdr>
            <w:top w:val="none" w:sz="0" w:space="0" w:color="auto"/>
            <w:left w:val="none" w:sz="0" w:space="0" w:color="auto"/>
            <w:bottom w:val="none" w:sz="0" w:space="0" w:color="auto"/>
            <w:right w:val="none" w:sz="0" w:space="0" w:color="auto"/>
          </w:divBdr>
        </w:div>
        <w:div w:id="1649016899">
          <w:marLeft w:val="0"/>
          <w:marRight w:val="0"/>
          <w:marTop w:val="0"/>
          <w:marBottom w:val="0"/>
          <w:divBdr>
            <w:top w:val="none" w:sz="0" w:space="0" w:color="auto"/>
            <w:left w:val="none" w:sz="0" w:space="0" w:color="auto"/>
            <w:bottom w:val="none" w:sz="0" w:space="0" w:color="auto"/>
            <w:right w:val="none" w:sz="0" w:space="0" w:color="auto"/>
          </w:divBdr>
        </w:div>
        <w:div w:id="2130582369">
          <w:marLeft w:val="0"/>
          <w:marRight w:val="0"/>
          <w:marTop w:val="0"/>
          <w:marBottom w:val="0"/>
          <w:divBdr>
            <w:top w:val="none" w:sz="0" w:space="0" w:color="auto"/>
            <w:left w:val="none" w:sz="0" w:space="0" w:color="auto"/>
            <w:bottom w:val="none" w:sz="0" w:space="0" w:color="auto"/>
            <w:right w:val="none" w:sz="0" w:space="0" w:color="auto"/>
          </w:divBdr>
        </w:div>
        <w:div w:id="1238519695">
          <w:marLeft w:val="0"/>
          <w:marRight w:val="0"/>
          <w:marTop w:val="0"/>
          <w:marBottom w:val="0"/>
          <w:divBdr>
            <w:top w:val="none" w:sz="0" w:space="0" w:color="auto"/>
            <w:left w:val="none" w:sz="0" w:space="0" w:color="auto"/>
            <w:bottom w:val="none" w:sz="0" w:space="0" w:color="auto"/>
            <w:right w:val="none" w:sz="0" w:space="0" w:color="auto"/>
          </w:divBdr>
        </w:div>
        <w:div w:id="2097361516">
          <w:marLeft w:val="0"/>
          <w:marRight w:val="0"/>
          <w:marTop w:val="0"/>
          <w:marBottom w:val="0"/>
          <w:divBdr>
            <w:top w:val="none" w:sz="0" w:space="0" w:color="auto"/>
            <w:left w:val="none" w:sz="0" w:space="0" w:color="auto"/>
            <w:bottom w:val="none" w:sz="0" w:space="0" w:color="auto"/>
            <w:right w:val="none" w:sz="0" w:space="0" w:color="auto"/>
          </w:divBdr>
        </w:div>
        <w:div w:id="382751462">
          <w:marLeft w:val="0"/>
          <w:marRight w:val="0"/>
          <w:marTop w:val="0"/>
          <w:marBottom w:val="0"/>
          <w:divBdr>
            <w:top w:val="none" w:sz="0" w:space="0" w:color="auto"/>
            <w:left w:val="none" w:sz="0" w:space="0" w:color="auto"/>
            <w:bottom w:val="none" w:sz="0" w:space="0" w:color="auto"/>
            <w:right w:val="none" w:sz="0" w:space="0" w:color="auto"/>
          </w:divBdr>
        </w:div>
        <w:div w:id="29694750">
          <w:marLeft w:val="0"/>
          <w:marRight w:val="0"/>
          <w:marTop w:val="0"/>
          <w:marBottom w:val="0"/>
          <w:divBdr>
            <w:top w:val="none" w:sz="0" w:space="0" w:color="auto"/>
            <w:left w:val="none" w:sz="0" w:space="0" w:color="auto"/>
            <w:bottom w:val="none" w:sz="0" w:space="0" w:color="auto"/>
            <w:right w:val="none" w:sz="0" w:space="0" w:color="auto"/>
          </w:divBdr>
        </w:div>
        <w:div w:id="787050201">
          <w:marLeft w:val="0"/>
          <w:marRight w:val="0"/>
          <w:marTop w:val="0"/>
          <w:marBottom w:val="0"/>
          <w:divBdr>
            <w:top w:val="none" w:sz="0" w:space="0" w:color="auto"/>
            <w:left w:val="none" w:sz="0" w:space="0" w:color="auto"/>
            <w:bottom w:val="none" w:sz="0" w:space="0" w:color="auto"/>
            <w:right w:val="none" w:sz="0" w:space="0" w:color="auto"/>
          </w:divBdr>
        </w:div>
      </w:divsChild>
    </w:div>
    <w:div w:id="1299189315">
      <w:bodyDiv w:val="1"/>
      <w:marLeft w:val="0"/>
      <w:marRight w:val="0"/>
      <w:marTop w:val="0"/>
      <w:marBottom w:val="0"/>
      <w:divBdr>
        <w:top w:val="none" w:sz="0" w:space="0" w:color="auto"/>
        <w:left w:val="none" w:sz="0" w:space="0" w:color="auto"/>
        <w:bottom w:val="none" w:sz="0" w:space="0" w:color="auto"/>
        <w:right w:val="none" w:sz="0" w:space="0" w:color="auto"/>
      </w:divBdr>
    </w:div>
    <w:div w:id="1299458581">
      <w:bodyDiv w:val="1"/>
      <w:marLeft w:val="0"/>
      <w:marRight w:val="0"/>
      <w:marTop w:val="0"/>
      <w:marBottom w:val="0"/>
      <w:divBdr>
        <w:top w:val="none" w:sz="0" w:space="0" w:color="auto"/>
        <w:left w:val="none" w:sz="0" w:space="0" w:color="auto"/>
        <w:bottom w:val="none" w:sz="0" w:space="0" w:color="auto"/>
        <w:right w:val="none" w:sz="0" w:space="0" w:color="auto"/>
      </w:divBdr>
    </w:div>
    <w:div w:id="1380783773">
      <w:bodyDiv w:val="1"/>
      <w:marLeft w:val="0"/>
      <w:marRight w:val="0"/>
      <w:marTop w:val="0"/>
      <w:marBottom w:val="0"/>
      <w:divBdr>
        <w:top w:val="none" w:sz="0" w:space="0" w:color="auto"/>
        <w:left w:val="none" w:sz="0" w:space="0" w:color="auto"/>
        <w:bottom w:val="none" w:sz="0" w:space="0" w:color="auto"/>
        <w:right w:val="none" w:sz="0" w:space="0" w:color="auto"/>
      </w:divBdr>
    </w:div>
    <w:div w:id="1408108346">
      <w:bodyDiv w:val="1"/>
      <w:marLeft w:val="0"/>
      <w:marRight w:val="0"/>
      <w:marTop w:val="0"/>
      <w:marBottom w:val="0"/>
      <w:divBdr>
        <w:top w:val="none" w:sz="0" w:space="0" w:color="auto"/>
        <w:left w:val="none" w:sz="0" w:space="0" w:color="auto"/>
        <w:bottom w:val="none" w:sz="0" w:space="0" w:color="auto"/>
        <w:right w:val="none" w:sz="0" w:space="0" w:color="auto"/>
      </w:divBdr>
    </w:div>
    <w:div w:id="1415740262">
      <w:bodyDiv w:val="1"/>
      <w:marLeft w:val="0"/>
      <w:marRight w:val="0"/>
      <w:marTop w:val="0"/>
      <w:marBottom w:val="0"/>
      <w:divBdr>
        <w:top w:val="none" w:sz="0" w:space="0" w:color="auto"/>
        <w:left w:val="none" w:sz="0" w:space="0" w:color="auto"/>
        <w:bottom w:val="none" w:sz="0" w:space="0" w:color="auto"/>
        <w:right w:val="none" w:sz="0" w:space="0" w:color="auto"/>
      </w:divBdr>
    </w:div>
    <w:div w:id="1416513407">
      <w:bodyDiv w:val="1"/>
      <w:marLeft w:val="0"/>
      <w:marRight w:val="0"/>
      <w:marTop w:val="0"/>
      <w:marBottom w:val="0"/>
      <w:divBdr>
        <w:top w:val="none" w:sz="0" w:space="0" w:color="auto"/>
        <w:left w:val="none" w:sz="0" w:space="0" w:color="auto"/>
        <w:bottom w:val="none" w:sz="0" w:space="0" w:color="auto"/>
        <w:right w:val="none" w:sz="0" w:space="0" w:color="auto"/>
      </w:divBdr>
    </w:div>
    <w:div w:id="1461335596">
      <w:bodyDiv w:val="1"/>
      <w:marLeft w:val="0"/>
      <w:marRight w:val="0"/>
      <w:marTop w:val="0"/>
      <w:marBottom w:val="0"/>
      <w:divBdr>
        <w:top w:val="none" w:sz="0" w:space="0" w:color="auto"/>
        <w:left w:val="none" w:sz="0" w:space="0" w:color="auto"/>
        <w:bottom w:val="none" w:sz="0" w:space="0" w:color="auto"/>
        <w:right w:val="none" w:sz="0" w:space="0" w:color="auto"/>
      </w:divBdr>
    </w:div>
    <w:div w:id="1462503317">
      <w:bodyDiv w:val="1"/>
      <w:marLeft w:val="0"/>
      <w:marRight w:val="0"/>
      <w:marTop w:val="0"/>
      <w:marBottom w:val="0"/>
      <w:divBdr>
        <w:top w:val="none" w:sz="0" w:space="0" w:color="auto"/>
        <w:left w:val="none" w:sz="0" w:space="0" w:color="auto"/>
        <w:bottom w:val="none" w:sz="0" w:space="0" w:color="auto"/>
        <w:right w:val="none" w:sz="0" w:space="0" w:color="auto"/>
      </w:divBdr>
    </w:div>
    <w:div w:id="1474448960">
      <w:bodyDiv w:val="1"/>
      <w:marLeft w:val="0"/>
      <w:marRight w:val="0"/>
      <w:marTop w:val="0"/>
      <w:marBottom w:val="0"/>
      <w:divBdr>
        <w:top w:val="none" w:sz="0" w:space="0" w:color="auto"/>
        <w:left w:val="none" w:sz="0" w:space="0" w:color="auto"/>
        <w:bottom w:val="none" w:sz="0" w:space="0" w:color="auto"/>
        <w:right w:val="none" w:sz="0" w:space="0" w:color="auto"/>
      </w:divBdr>
    </w:div>
    <w:div w:id="1477529402">
      <w:bodyDiv w:val="1"/>
      <w:marLeft w:val="0"/>
      <w:marRight w:val="0"/>
      <w:marTop w:val="0"/>
      <w:marBottom w:val="0"/>
      <w:divBdr>
        <w:top w:val="none" w:sz="0" w:space="0" w:color="auto"/>
        <w:left w:val="none" w:sz="0" w:space="0" w:color="auto"/>
        <w:bottom w:val="none" w:sz="0" w:space="0" w:color="auto"/>
        <w:right w:val="none" w:sz="0" w:space="0" w:color="auto"/>
      </w:divBdr>
    </w:div>
    <w:div w:id="1496073281">
      <w:bodyDiv w:val="1"/>
      <w:marLeft w:val="0"/>
      <w:marRight w:val="0"/>
      <w:marTop w:val="0"/>
      <w:marBottom w:val="0"/>
      <w:divBdr>
        <w:top w:val="none" w:sz="0" w:space="0" w:color="auto"/>
        <w:left w:val="none" w:sz="0" w:space="0" w:color="auto"/>
        <w:bottom w:val="none" w:sz="0" w:space="0" w:color="auto"/>
        <w:right w:val="none" w:sz="0" w:space="0" w:color="auto"/>
      </w:divBdr>
    </w:div>
    <w:div w:id="1497720287">
      <w:bodyDiv w:val="1"/>
      <w:marLeft w:val="0"/>
      <w:marRight w:val="0"/>
      <w:marTop w:val="0"/>
      <w:marBottom w:val="0"/>
      <w:divBdr>
        <w:top w:val="none" w:sz="0" w:space="0" w:color="auto"/>
        <w:left w:val="none" w:sz="0" w:space="0" w:color="auto"/>
        <w:bottom w:val="none" w:sz="0" w:space="0" w:color="auto"/>
        <w:right w:val="none" w:sz="0" w:space="0" w:color="auto"/>
      </w:divBdr>
    </w:div>
    <w:div w:id="1510950461">
      <w:bodyDiv w:val="1"/>
      <w:marLeft w:val="0"/>
      <w:marRight w:val="0"/>
      <w:marTop w:val="0"/>
      <w:marBottom w:val="0"/>
      <w:divBdr>
        <w:top w:val="none" w:sz="0" w:space="0" w:color="auto"/>
        <w:left w:val="none" w:sz="0" w:space="0" w:color="auto"/>
        <w:bottom w:val="none" w:sz="0" w:space="0" w:color="auto"/>
        <w:right w:val="none" w:sz="0" w:space="0" w:color="auto"/>
      </w:divBdr>
    </w:div>
    <w:div w:id="1545676027">
      <w:bodyDiv w:val="1"/>
      <w:marLeft w:val="0"/>
      <w:marRight w:val="0"/>
      <w:marTop w:val="0"/>
      <w:marBottom w:val="0"/>
      <w:divBdr>
        <w:top w:val="none" w:sz="0" w:space="0" w:color="auto"/>
        <w:left w:val="none" w:sz="0" w:space="0" w:color="auto"/>
        <w:bottom w:val="none" w:sz="0" w:space="0" w:color="auto"/>
        <w:right w:val="none" w:sz="0" w:space="0" w:color="auto"/>
      </w:divBdr>
    </w:div>
    <w:div w:id="1574896723">
      <w:bodyDiv w:val="1"/>
      <w:marLeft w:val="0"/>
      <w:marRight w:val="0"/>
      <w:marTop w:val="0"/>
      <w:marBottom w:val="0"/>
      <w:divBdr>
        <w:top w:val="none" w:sz="0" w:space="0" w:color="auto"/>
        <w:left w:val="none" w:sz="0" w:space="0" w:color="auto"/>
        <w:bottom w:val="none" w:sz="0" w:space="0" w:color="auto"/>
        <w:right w:val="none" w:sz="0" w:space="0" w:color="auto"/>
      </w:divBdr>
    </w:div>
    <w:div w:id="1713067678">
      <w:bodyDiv w:val="1"/>
      <w:marLeft w:val="0"/>
      <w:marRight w:val="0"/>
      <w:marTop w:val="0"/>
      <w:marBottom w:val="0"/>
      <w:divBdr>
        <w:top w:val="none" w:sz="0" w:space="0" w:color="auto"/>
        <w:left w:val="none" w:sz="0" w:space="0" w:color="auto"/>
        <w:bottom w:val="none" w:sz="0" w:space="0" w:color="auto"/>
        <w:right w:val="none" w:sz="0" w:space="0" w:color="auto"/>
      </w:divBdr>
    </w:div>
    <w:div w:id="1769615162">
      <w:bodyDiv w:val="1"/>
      <w:marLeft w:val="0"/>
      <w:marRight w:val="0"/>
      <w:marTop w:val="0"/>
      <w:marBottom w:val="0"/>
      <w:divBdr>
        <w:top w:val="none" w:sz="0" w:space="0" w:color="auto"/>
        <w:left w:val="none" w:sz="0" w:space="0" w:color="auto"/>
        <w:bottom w:val="none" w:sz="0" w:space="0" w:color="auto"/>
        <w:right w:val="none" w:sz="0" w:space="0" w:color="auto"/>
      </w:divBdr>
    </w:div>
    <w:div w:id="1820147645">
      <w:bodyDiv w:val="1"/>
      <w:marLeft w:val="0"/>
      <w:marRight w:val="0"/>
      <w:marTop w:val="0"/>
      <w:marBottom w:val="0"/>
      <w:divBdr>
        <w:top w:val="none" w:sz="0" w:space="0" w:color="auto"/>
        <w:left w:val="none" w:sz="0" w:space="0" w:color="auto"/>
        <w:bottom w:val="none" w:sz="0" w:space="0" w:color="auto"/>
        <w:right w:val="none" w:sz="0" w:space="0" w:color="auto"/>
      </w:divBdr>
    </w:div>
    <w:div w:id="1932857991">
      <w:bodyDiv w:val="1"/>
      <w:marLeft w:val="0"/>
      <w:marRight w:val="0"/>
      <w:marTop w:val="0"/>
      <w:marBottom w:val="0"/>
      <w:divBdr>
        <w:top w:val="none" w:sz="0" w:space="0" w:color="auto"/>
        <w:left w:val="none" w:sz="0" w:space="0" w:color="auto"/>
        <w:bottom w:val="none" w:sz="0" w:space="0" w:color="auto"/>
        <w:right w:val="none" w:sz="0" w:space="0" w:color="auto"/>
      </w:divBdr>
    </w:div>
    <w:div w:id="1995257888">
      <w:bodyDiv w:val="1"/>
      <w:marLeft w:val="0"/>
      <w:marRight w:val="0"/>
      <w:marTop w:val="0"/>
      <w:marBottom w:val="0"/>
      <w:divBdr>
        <w:top w:val="none" w:sz="0" w:space="0" w:color="auto"/>
        <w:left w:val="none" w:sz="0" w:space="0" w:color="auto"/>
        <w:bottom w:val="none" w:sz="0" w:space="0" w:color="auto"/>
        <w:right w:val="none" w:sz="0" w:space="0" w:color="auto"/>
      </w:divBdr>
    </w:div>
    <w:div w:id="1995841579">
      <w:bodyDiv w:val="1"/>
      <w:marLeft w:val="0"/>
      <w:marRight w:val="0"/>
      <w:marTop w:val="0"/>
      <w:marBottom w:val="0"/>
      <w:divBdr>
        <w:top w:val="none" w:sz="0" w:space="0" w:color="auto"/>
        <w:left w:val="none" w:sz="0" w:space="0" w:color="auto"/>
        <w:bottom w:val="none" w:sz="0" w:space="0" w:color="auto"/>
        <w:right w:val="none" w:sz="0" w:space="0" w:color="auto"/>
      </w:divBdr>
    </w:div>
    <w:div w:id="2033339821">
      <w:bodyDiv w:val="1"/>
      <w:marLeft w:val="0"/>
      <w:marRight w:val="0"/>
      <w:marTop w:val="0"/>
      <w:marBottom w:val="0"/>
      <w:divBdr>
        <w:top w:val="none" w:sz="0" w:space="0" w:color="auto"/>
        <w:left w:val="none" w:sz="0" w:space="0" w:color="auto"/>
        <w:bottom w:val="none" w:sz="0" w:space="0" w:color="auto"/>
        <w:right w:val="none" w:sz="0" w:space="0" w:color="auto"/>
      </w:divBdr>
    </w:div>
    <w:div w:id="2035185617">
      <w:bodyDiv w:val="1"/>
      <w:marLeft w:val="0"/>
      <w:marRight w:val="0"/>
      <w:marTop w:val="0"/>
      <w:marBottom w:val="0"/>
      <w:divBdr>
        <w:top w:val="none" w:sz="0" w:space="0" w:color="auto"/>
        <w:left w:val="none" w:sz="0" w:space="0" w:color="auto"/>
        <w:bottom w:val="none" w:sz="0" w:space="0" w:color="auto"/>
        <w:right w:val="none" w:sz="0" w:space="0" w:color="auto"/>
      </w:divBdr>
      <w:divsChild>
        <w:div w:id="1890410624">
          <w:marLeft w:val="0"/>
          <w:marRight w:val="0"/>
          <w:marTop w:val="0"/>
          <w:marBottom w:val="0"/>
          <w:divBdr>
            <w:top w:val="none" w:sz="0" w:space="0" w:color="auto"/>
            <w:left w:val="none" w:sz="0" w:space="0" w:color="auto"/>
            <w:bottom w:val="none" w:sz="0" w:space="0" w:color="auto"/>
            <w:right w:val="none" w:sz="0" w:space="0" w:color="auto"/>
          </w:divBdr>
        </w:div>
        <w:div w:id="1969779468">
          <w:marLeft w:val="0"/>
          <w:marRight w:val="0"/>
          <w:marTop w:val="0"/>
          <w:marBottom w:val="0"/>
          <w:divBdr>
            <w:top w:val="none" w:sz="0" w:space="0" w:color="auto"/>
            <w:left w:val="none" w:sz="0" w:space="0" w:color="auto"/>
            <w:bottom w:val="none" w:sz="0" w:space="0" w:color="auto"/>
            <w:right w:val="none" w:sz="0" w:space="0" w:color="auto"/>
          </w:divBdr>
        </w:div>
        <w:div w:id="706419078">
          <w:marLeft w:val="0"/>
          <w:marRight w:val="0"/>
          <w:marTop w:val="0"/>
          <w:marBottom w:val="0"/>
          <w:divBdr>
            <w:top w:val="none" w:sz="0" w:space="0" w:color="auto"/>
            <w:left w:val="none" w:sz="0" w:space="0" w:color="auto"/>
            <w:bottom w:val="none" w:sz="0" w:space="0" w:color="auto"/>
            <w:right w:val="none" w:sz="0" w:space="0" w:color="auto"/>
          </w:divBdr>
        </w:div>
        <w:div w:id="713190061">
          <w:marLeft w:val="0"/>
          <w:marRight w:val="0"/>
          <w:marTop w:val="0"/>
          <w:marBottom w:val="0"/>
          <w:divBdr>
            <w:top w:val="none" w:sz="0" w:space="0" w:color="auto"/>
            <w:left w:val="none" w:sz="0" w:space="0" w:color="auto"/>
            <w:bottom w:val="none" w:sz="0" w:space="0" w:color="auto"/>
            <w:right w:val="none" w:sz="0" w:space="0" w:color="auto"/>
          </w:divBdr>
        </w:div>
        <w:div w:id="61218089">
          <w:marLeft w:val="0"/>
          <w:marRight w:val="0"/>
          <w:marTop w:val="0"/>
          <w:marBottom w:val="0"/>
          <w:divBdr>
            <w:top w:val="none" w:sz="0" w:space="0" w:color="auto"/>
            <w:left w:val="none" w:sz="0" w:space="0" w:color="auto"/>
            <w:bottom w:val="none" w:sz="0" w:space="0" w:color="auto"/>
            <w:right w:val="none" w:sz="0" w:space="0" w:color="auto"/>
          </w:divBdr>
        </w:div>
        <w:div w:id="1844122995">
          <w:marLeft w:val="0"/>
          <w:marRight w:val="0"/>
          <w:marTop w:val="0"/>
          <w:marBottom w:val="0"/>
          <w:divBdr>
            <w:top w:val="none" w:sz="0" w:space="0" w:color="auto"/>
            <w:left w:val="none" w:sz="0" w:space="0" w:color="auto"/>
            <w:bottom w:val="none" w:sz="0" w:space="0" w:color="auto"/>
            <w:right w:val="none" w:sz="0" w:space="0" w:color="auto"/>
          </w:divBdr>
        </w:div>
        <w:div w:id="785850974">
          <w:marLeft w:val="0"/>
          <w:marRight w:val="0"/>
          <w:marTop w:val="0"/>
          <w:marBottom w:val="0"/>
          <w:divBdr>
            <w:top w:val="none" w:sz="0" w:space="0" w:color="auto"/>
            <w:left w:val="none" w:sz="0" w:space="0" w:color="auto"/>
            <w:bottom w:val="none" w:sz="0" w:space="0" w:color="auto"/>
            <w:right w:val="none" w:sz="0" w:space="0" w:color="auto"/>
          </w:divBdr>
        </w:div>
        <w:div w:id="1921791623">
          <w:marLeft w:val="0"/>
          <w:marRight w:val="0"/>
          <w:marTop w:val="0"/>
          <w:marBottom w:val="0"/>
          <w:divBdr>
            <w:top w:val="none" w:sz="0" w:space="0" w:color="auto"/>
            <w:left w:val="none" w:sz="0" w:space="0" w:color="auto"/>
            <w:bottom w:val="none" w:sz="0" w:space="0" w:color="auto"/>
            <w:right w:val="none" w:sz="0" w:space="0" w:color="auto"/>
          </w:divBdr>
        </w:div>
        <w:div w:id="272636351">
          <w:marLeft w:val="0"/>
          <w:marRight w:val="0"/>
          <w:marTop w:val="0"/>
          <w:marBottom w:val="0"/>
          <w:divBdr>
            <w:top w:val="none" w:sz="0" w:space="0" w:color="auto"/>
            <w:left w:val="none" w:sz="0" w:space="0" w:color="auto"/>
            <w:bottom w:val="none" w:sz="0" w:space="0" w:color="auto"/>
            <w:right w:val="none" w:sz="0" w:space="0" w:color="auto"/>
          </w:divBdr>
        </w:div>
        <w:div w:id="916206089">
          <w:marLeft w:val="0"/>
          <w:marRight w:val="0"/>
          <w:marTop w:val="0"/>
          <w:marBottom w:val="0"/>
          <w:divBdr>
            <w:top w:val="none" w:sz="0" w:space="0" w:color="auto"/>
            <w:left w:val="none" w:sz="0" w:space="0" w:color="auto"/>
            <w:bottom w:val="none" w:sz="0" w:space="0" w:color="auto"/>
            <w:right w:val="none" w:sz="0" w:space="0" w:color="auto"/>
          </w:divBdr>
        </w:div>
        <w:div w:id="503207491">
          <w:marLeft w:val="0"/>
          <w:marRight w:val="0"/>
          <w:marTop w:val="0"/>
          <w:marBottom w:val="0"/>
          <w:divBdr>
            <w:top w:val="none" w:sz="0" w:space="0" w:color="auto"/>
            <w:left w:val="none" w:sz="0" w:space="0" w:color="auto"/>
            <w:bottom w:val="none" w:sz="0" w:space="0" w:color="auto"/>
            <w:right w:val="none" w:sz="0" w:space="0" w:color="auto"/>
          </w:divBdr>
        </w:div>
        <w:div w:id="764347936">
          <w:marLeft w:val="0"/>
          <w:marRight w:val="0"/>
          <w:marTop w:val="0"/>
          <w:marBottom w:val="0"/>
          <w:divBdr>
            <w:top w:val="none" w:sz="0" w:space="0" w:color="auto"/>
            <w:left w:val="none" w:sz="0" w:space="0" w:color="auto"/>
            <w:bottom w:val="none" w:sz="0" w:space="0" w:color="auto"/>
            <w:right w:val="none" w:sz="0" w:space="0" w:color="auto"/>
          </w:divBdr>
        </w:div>
        <w:div w:id="1608926624">
          <w:marLeft w:val="0"/>
          <w:marRight w:val="0"/>
          <w:marTop w:val="0"/>
          <w:marBottom w:val="0"/>
          <w:divBdr>
            <w:top w:val="none" w:sz="0" w:space="0" w:color="auto"/>
            <w:left w:val="none" w:sz="0" w:space="0" w:color="auto"/>
            <w:bottom w:val="none" w:sz="0" w:space="0" w:color="auto"/>
            <w:right w:val="none" w:sz="0" w:space="0" w:color="auto"/>
          </w:divBdr>
        </w:div>
        <w:div w:id="30619904">
          <w:marLeft w:val="0"/>
          <w:marRight w:val="0"/>
          <w:marTop w:val="0"/>
          <w:marBottom w:val="0"/>
          <w:divBdr>
            <w:top w:val="none" w:sz="0" w:space="0" w:color="auto"/>
            <w:left w:val="none" w:sz="0" w:space="0" w:color="auto"/>
            <w:bottom w:val="none" w:sz="0" w:space="0" w:color="auto"/>
            <w:right w:val="none" w:sz="0" w:space="0" w:color="auto"/>
          </w:divBdr>
        </w:div>
        <w:div w:id="953513522">
          <w:marLeft w:val="0"/>
          <w:marRight w:val="0"/>
          <w:marTop w:val="0"/>
          <w:marBottom w:val="0"/>
          <w:divBdr>
            <w:top w:val="none" w:sz="0" w:space="0" w:color="auto"/>
            <w:left w:val="none" w:sz="0" w:space="0" w:color="auto"/>
            <w:bottom w:val="none" w:sz="0" w:space="0" w:color="auto"/>
            <w:right w:val="none" w:sz="0" w:space="0" w:color="auto"/>
          </w:divBdr>
        </w:div>
        <w:div w:id="416247425">
          <w:marLeft w:val="0"/>
          <w:marRight w:val="0"/>
          <w:marTop w:val="0"/>
          <w:marBottom w:val="0"/>
          <w:divBdr>
            <w:top w:val="none" w:sz="0" w:space="0" w:color="auto"/>
            <w:left w:val="none" w:sz="0" w:space="0" w:color="auto"/>
            <w:bottom w:val="none" w:sz="0" w:space="0" w:color="auto"/>
            <w:right w:val="none" w:sz="0" w:space="0" w:color="auto"/>
          </w:divBdr>
        </w:div>
        <w:div w:id="1185823604">
          <w:marLeft w:val="0"/>
          <w:marRight w:val="0"/>
          <w:marTop w:val="0"/>
          <w:marBottom w:val="0"/>
          <w:divBdr>
            <w:top w:val="none" w:sz="0" w:space="0" w:color="auto"/>
            <w:left w:val="none" w:sz="0" w:space="0" w:color="auto"/>
            <w:bottom w:val="none" w:sz="0" w:space="0" w:color="auto"/>
            <w:right w:val="none" w:sz="0" w:space="0" w:color="auto"/>
          </w:divBdr>
        </w:div>
      </w:divsChild>
    </w:div>
    <w:div w:id="2041122592">
      <w:bodyDiv w:val="1"/>
      <w:marLeft w:val="0"/>
      <w:marRight w:val="0"/>
      <w:marTop w:val="0"/>
      <w:marBottom w:val="0"/>
      <w:divBdr>
        <w:top w:val="none" w:sz="0" w:space="0" w:color="auto"/>
        <w:left w:val="none" w:sz="0" w:space="0" w:color="auto"/>
        <w:bottom w:val="none" w:sz="0" w:space="0" w:color="auto"/>
        <w:right w:val="none" w:sz="0" w:space="0" w:color="auto"/>
      </w:divBdr>
    </w:div>
    <w:div w:id="2066566595">
      <w:bodyDiv w:val="1"/>
      <w:marLeft w:val="0"/>
      <w:marRight w:val="0"/>
      <w:marTop w:val="0"/>
      <w:marBottom w:val="0"/>
      <w:divBdr>
        <w:top w:val="none" w:sz="0" w:space="0" w:color="auto"/>
        <w:left w:val="none" w:sz="0" w:space="0" w:color="auto"/>
        <w:bottom w:val="none" w:sz="0" w:space="0" w:color="auto"/>
        <w:right w:val="none" w:sz="0" w:space="0" w:color="auto"/>
      </w:divBdr>
    </w:div>
    <w:div w:id="21150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21" Type="http://schemas.openxmlformats.org/officeDocument/2006/relationships/hyperlink" Target="https://consult-moretonbay.objective.com/kse/event/4190/section/s1332743658181" TargetMode="External"/><Relationship Id="rId34"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hyperlink" Target="https://consult-moretonbay.objective.com/kse/event/4190/section/s133274365818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s://consult-moretonbay.objective.com/kse/event/4190/section/s133274365818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header" Target="head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s://consult-moretonbay.objective.com/kse/event/4190/section/s133274365818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27</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2019-12-16T03:39:00Z</dcterms:created>
  <dcterms:modified xsi:type="dcterms:W3CDTF">2021-10-18T06:28:00Z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A19478793</vt:lpwstr>
  </property>
  <property fmtid="{D5CDD505-2E9C-101B-9397-08002B2CF9AE}" pid="4" name="Objective-Title">
    <vt:lpwstr>7.2.3.7.5 Reconfiguring a lot code - Rural living precinct - Assessable - UPDATED</vt:lpwstr>
  </property>
  <property fmtid="{D5CDD505-2E9C-101B-9397-08002B2CF9AE}" pid="5" name="Objective-Comment">
    <vt:lpwstr/>
  </property>
  <property fmtid="{D5CDD505-2E9C-101B-9397-08002B2CF9AE}" pid="6" name="Objective-CreationStamp">
    <vt:filetime>2019-12-16T05:22:40Z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2020-01-23T01:22:32Z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