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42"/>
        <w:gridCol w:w="5001"/>
        <w:gridCol w:w="2271"/>
        <w:gridCol w:w="2884"/>
      </w:tblGrid>
      <w:tr w:rsidR="00D7355A" w:rsidRPr="00D7355A" w:rsidTr="00E750DF">
        <w:trPr>
          <w:trHeight w:val="518"/>
          <w:tblCellSpacing w:w="15" w:type="dxa"/>
        </w:trPr>
        <w:tc>
          <w:tcPr>
            <w:tcW w:w="4981" w:type="pct"/>
            <w:gridSpan w:val="4"/>
            <w:tcBorders>
              <w:top w:val="nil"/>
              <w:left w:val="nil"/>
              <w:bottom w:val="nil"/>
              <w:right w:val="nil"/>
            </w:tcBorders>
            <w:shd w:val="clear" w:color="auto" w:fill="CCCCCC"/>
            <w:vAlign w:val="center"/>
            <w:hideMark/>
          </w:tcPr>
          <w:p w:rsidR="00D7355A" w:rsidRPr="00D7355A" w:rsidRDefault="00D7355A" w:rsidP="002221EB">
            <w:pPr>
              <w:spacing w:after="0" w:line="240" w:lineRule="auto"/>
              <w:jc w:val="center"/>
              <w:rPr>
                <w:rFonts w:ascii="Arial" w:eastAsia="Times New Roman" w:hAnsi="Arial" w:cs="Arial"/>
                <w:b/>
                <w:bCs/>
                <w:sz w:val="20"/>
                <w:szCs w:val="20"/>
                <w:lang w:eastAsia="en-AU"/>
              </w:rPr>
            </w:pPr>
            <w:r w:rsidRPr="00D7355A">
              <w:rPr>
                <w:rFonts w:ascii="Arial" w:eastAsia="Times New Roman" w:hAnsi="Arial" w:cs="Arial"/>
                <w:b/>
                <w:bCs/>
                <w:sz w:val="20"/>
                <w:szCs w:val="20"/>
                <w:lang w:eastAsia="en-AU"/>
              </w:rPr>
              <w:t>Table 7.2.3.2.8.1 Assessable development - Light industry sub-precinct</w:t>
            </w: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Performance outcome</w:t>
            </w:r>
          </w:p>
        </w:tc>
        <w:tc>
          <w:tcPr>
            <w:tcW w:w="1614"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Examples that achieve aspects of the Performance Outcome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 Compliance</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Yes</w:t>
            </w:r>
          </w:p>
          <w:p w:rsid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 xml:space="preserve">No See PO or </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NA</w:t>
            </w: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Justification for compliance</w:t>
            </w:r>
          </w:p>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General criteria</w:t>
            </w: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cover</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site cover allows for adequate on-site provision of:</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vehicle access and manoeuvring;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setbacks to boundaries;</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landscaped areas.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height</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height of buildings </w:t>
            </w:r>
            <w:proofErr w:type="gramStart"/>
            <w:r w:rsidRPr="00D7355A">
              <w:rPr>
                <w:rFonts w:ascii="Arial" w:eastAsiaTheme="minorEastAsia" w:hAnsi="Arial" w:cs="Arial"/>
                <w:sz w:val="20"/>
                <w:szCs w:val="20"/>
                <w:lang w:eastAsia="en-AU"/>
              </w:rPr>
              <w:t>reflect</w:t>
            </w:r>
            <w:proofErr w:type="gramEnd"/>
            <w:r w:rsidRPr="00D7355A">
              <w:rPr>
                <w:rFonts w:ascii="Arial" w:eastAsiaTheme="minorEastAsia" w:hAnsi="Arial" w:cs="Arial"/>
                <w:sz w:val="20"/>
                <w:szCs w:val="20"/>
                <w:lang w:eastAsia="en-AU"/>
              </w:rPr>
              <w:t xml:space="preserve"> the individual character of the 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heights do not to exceed that mapped on Neighbourhood development plan map - Building heights.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Setbacks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addresses and activates streets and public spaces by:</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and maintaining interaction, pedestrian activity and casual surveillance through appropriate land uses and building </w:t>
            </w:r>
            <w:r w:rsidRPr="00D7355A">
              <w:rPr>
                <w:rFonts w:ascii="Arial" w:eastAsia="Times New Roman" w:hAnsi="Arial" w:cs="Arial"/>
                <w:sz w:val="20"/>
                <w:szCs w:val="20"/>
                <w:lang w:eastAsia="en-AU"/>
              </w:rPr>
              <w:lastRenderedPageBreak/>
              <w:t>design (e.g. the use of windows or glazing and avoiding blank walls with the use of sleeving);</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ensuring buildings and individual tenancies address street frontages and other areas of pedestrian movement;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new buildings adjoin or are within 3m of a primary street frontage, civic space or public open space;</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locating car parking areas behind or under buildings to not dominate the street environment;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providing visual interest to the façade (e.g. windows or glazing, variation in colours, materials, finishes, articulation, recesses or projections);</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or maintaining human scale. </w:t>
            </w:r>
            <w:r w:rsidRPr="00D7355A">
              <w:rPr>
                <w:rFonts w:ascii="Arial" w:eastAsia="Times New Roman" w:hAnsi="Arial" w:cs="Arial"/>
                <w:sz w:val="20"/>
                <w:szCs w:val="20"/>
                <w:lang w:eastAsia="en-AU"/>
              </w:rPr>
              <w:br/>
              <w:t> </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buildings and extensions adjacent to street frontages are built to the street alignment.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grade car parking:</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does not adjoin a main street or a corner;</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at grade car parking areas adjoins a street (other than a main street) or civic space they should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Centre and neighbourhood hub design for details and examples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on corner lots: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addresses both street frontages;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express strong visual elements, including feature building entries.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adjoining the main street frontage, individual tenancies do not exceed 20m in length.</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Side and rear boundary setbacks maintain views, privacy, access to natural light and the visual amenity of adjoining sensitive land uses.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 adjoins non-Light industry sub-precinct land, the building is setback a minimum of 3m from the property boundary and includes landscaping along the boundary appropriate for screening with a mature height of at least 3m.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Integrated design for determining acceptable levels of landscaping for screening purposes.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appearance and design</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Building on highly visible sites incorporate a high standard of industrial design and construction, which </w:t>
            </w:r>
            <w:r w:rsidRPr="00D7355A">
              <w:rPr>
                <w:rFonts w:ascii="Arial" w:eastAsiaTheme="minorEastAsia" w:hAnsi="Arial" w:cs="Arial"/>
                <w:sz w:val="20"/>
                <w:szCs w:val="20"/>
                <w:lang w:eastAsia="en-AU"/>
              </w:rPr>
              <w:lastRenderedPageBreak/>
              <w:t>adds visual interest to the streetscape and reduces the perceived bulk of the building from the street.</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r w:rsidRPr="00D7355A">
                    <w:rPr>
                      <w:rFonts w:ascii="Arial" w:eastAsiaTheme="minorEastAsia" w:hAnsi="Arial" w:cs="Arial"/>
                      <w:sz w:val="20"/>
                      <w:szCs w:val="20"/>
                      <w:lang w:eastAsia="en-AU"/>
                    </w:rPr>
                    <w:t>.</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20CEFAC5" wp14:editId="3F772CC3">
                        <wp:extent cx="2876550" cy="2705100"/>
                        <wp:effectExtent l="0" t="0" r="0" b="0"/>
                        <wp:docPr id="142" name="ID-2693406-710570"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570" descr="Acceptable industrial design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fronting a main street, or visible from a residential use or Mixed business sub-precinct lot, </w:t>
            </w:r>
            <w:r w:rsidRPr="00D7355A">
              <w:rPr>
                <w:rFonts w:ascii="Arial" w:eastAsiaTheme="minorEastAsia" w:hAnsi="Arial" w:cs="Arial"/>
                <w:sz w:val="20"/>
                <w:szCs w:val="20"/>
                <w:lang w:eastAsia="en-AU"/>
              </w:rPr>
              <w:lastRenderedPageBreak/>
              <w:t>buildings provide a high level of architectural design, by incorporating:</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range of building materials, colours and features;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facade articulation along street frontages;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features to promote customer entry points;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materials that are not highly reflective.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on highly visible corner allotments: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contain building openings facing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present blank unarticulated walls to either frontage.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59FCFC78" wp14:editId="596E7A4F">
                        <wp:extent cx="2876550" cy="2219325"/>
                        <wp:effectExtent l="0" t="0" r="0" b="9525"/>
                        <wp:docPr id="143" name="ID-2693406-698457"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98457" descr="Industrial site design - corn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Staff recreation area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an on-site recreation area for staff that:</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includes seating, tables and rubbish bins;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adequately protected from the weather;</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safely accessible to all staff;</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separate and private from public areas;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located away from a noisy or odorous activity.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Landscaping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is provided on the site to:</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visually soften the built form, areas of hardstand, storage areas and mechanical plant associated with the on-site activities;</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complement the existing or desired streetscape;</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minimise the impact of industrial development on adjoining lots not within an industrial precinct or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Landscaping is provided and </w:t>
            </w:r>
            <w:proofErr w:type="gramStart"/>
            <w:r w:rsidRPr="00D7355A">
              <w:rPr>
                <w:rFonts w:ascii="Arial" w:eastAsiaTheme="minorEastAsia" w:hAnsi="Arial" w:cs="Arial"/>
                <w:sz w:val="20"/>
                <w:szCs w:val="20"/>
                <w:lang w:eastAsia="en-AU"/>
              </w:rPr>
              <w:t>maintained  in</w:t>
            </w:r>
            <w:proofErr w:type="gramEnd"/>
            <w:r w:rsidRPr="00D7355A">
              <w:rPr>
                <w:rFonts w:ascii="Arial" w:eastAsiaTheme="minorEastAsia" w:hAnsi="Arial" w:cs="Arial"/>
                <w:sz w:val="20"/>
                <w:szCs w:val="20"/>
                <w:lang w:eastAsia="en-AU"/>
              </w:rPr>
              <w:t xml:space="preserve"> accordance with Planning scheme policy - Integrated design.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Fencing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provision of fencing on street frontages does not dominate the streetscape or create safety issues.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7E57060E" wp14:editId="6B9053B9">
                        <wp:extent cx="2876550" cy="1914525"/>
                        <wp:effectExtent l="0" t="0" r="0" b="9525"/>
                        <wp:docPr id="144" name="ID-2693406-710620"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620" descr="Industrial fencing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fencing is provided on the street frontage, it has a minimum transparency of 70%.</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Public access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use has a safe, clearly identifiable public access separated from service and parking areas.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diagram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1AE8DE2A" wp14:editId="729FB1C5">
                        <wp:extent cx="2876550" cy="2695575"/>
                        <wp:effectExtent l="0" t="0" r="0" b="9525"/>
                        <wp:docPr id="145" name="ID-2693406-68325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83252" descr="Industrial sit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Pedestrian linkages are provided from the street and customer car parking areas directly to the main entrance of the building.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public access is separated from industrial service areas.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Car parking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117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on-site to meet the anticipated demand of employees and visitors and avoid adverse impacts on the external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Refer to Planning scheme policy - Integrated transport assessment for guidance on how to achieve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in accordance with Schedule 7 - Car parking.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15"/>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design of car parking areas:</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impact on the safety of the external road network;</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ensures the safety of pedestrians at all times</w:t>
            </w:r>
            <w:proofErr w:type="gramEnd"/>
            <w:r w:rsidRPr="00D7355A">
              <w:rPr>
                <w:rFonts w:ascii="Arial" w:eastAsiaTheme="minorEastAsia" w:hAnsi="Arial" w:cs="Arial"/>
                <w:sz w:val="20"/>
                <w:szCs w:val="20"/>
                <w:lang w:eastAsia="en-AU"/>
              </w:rPr>
              <w:t>;</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ensures the safe movement of vehicles within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car parking areas are designed and constructed in accordance with Australian Standard AS 2890.1 Parking facilities Part 1: Off-</w:t>
            </w:r>
            <w:proofErr w:type="gramStart"/>
            <w:r w:rsidRPr="00D7355A">
              <w:rPr>
                <w:rFonts w:ascii="Arial" w:eastAsiaTheme="minorEastAsia" w:hAnsi="Arial" w:cs="Arial"/>
                <w:sz w:val="20"/>
                <w:szCs w:val="20"/>
                <w:lang w:eastAsia="en-AU"/>
              </w:rPr>
              <w:t>street car</w:t>
            </w:r>
            <w:proofErr w:type="gramEnd"/>
            <w:r w:rsidRPr="00D7355A">
              <w:rPr>
                <w:rFonts w:ascii="Arial" w:eastAsiaTheme="minorEastAsia" w:hAnsi="Arial" w:cs="Arial"/>
                <w:sz w:val="20"/>
                <w:szCs w:val="20"/>
                <w:lang w:eastAsia="en-AU"/>
              </w:rPr>
              <w:t xml:space="preserve"> parking.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safety and efficiency of pedestrian movement is prioritised in the design of car parking areas through providing pedestrian paths in car parking areas that are:</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along the most direct routes between building entrances, car parks and adjoining uses;</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protected from vehicle intrusion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physical and visual separation (e.g. wheel stops, trees etc);</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of a width to allow safe and efficient access for prams and wheelchairs.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E750DF" w:rsidRPr="00D7355A" w:rsidTr="00E750DF">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750DF" w:rsidRPr="00D7355A" w:rsidTr="00D7355A">
              <w:trPr>
                <w:tblCellSpacing w:w="15" w:type="dxa"/>
              </w:trPr>
              <w:tc>
                <w:tcPr>
                  <w:tcW w:w="15066" w:type="dxa"/>
                  <w:vAlign w:val="center"/>
                  <w:hideMark/>
                </w:tcPr>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Building work to which this code applies constitutes Major Development for purposes of development requirements for end of trip facilities prescribed in the Queensland Development Code MP 4.1.</w:t>
                  </w:r>
                </w:p>
              </w:tc>
            </w:tr>
          </w:tbl>
          <w:p w:rsidR="00E750DF" w:rsidRPr="00D7355A" w:rsidRDefault="00E750DF"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PO14</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End of trip facilities are provided for employees or occupants, in the building or on-site within a reasonable walking distance, and include:</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bicycle parking and storage facilities;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provision for securing belongings;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change rooms that include adequate showers, sanitary compartments, wash basins and mirrors.</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Notwithstanding a. there is no requirement to provide end of trip facilities if it would be unreasonable to provide these facilities having regard to:</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projected population growth and forward planning for road upgrading and development of cycle paths;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whether it would be practical to commute to and from the building on a bicycle, </w:t>
            </w:r>
            <w:r w:rsidRPr="00D7355A">
              <w:rPr>
                <w:rFonts w:ascii="Arial" w:eastAsiaTheme="minorEastAsia" w:hAnsi="Arial" w:cs="Arial"/>
                <w:sz w:val="20"/>
                <w:szCs w:val="20"/>
                <w:lang w:eastAsia="en-AU"/>
              </w:rPr>
              <w:lastRenderedPageBreak/>
              <w:t>having regard to the likely commute distances and nature of the terrain;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2C27">
                    <w:rPr>
                      <w:rFonts w:ascii="Arial" w:eastAsiaTheme="minorEastAsia" w:hAnsi="Arial" w:cs="Arial"/>
                      <w:sz w:val="18"/>
                      <w:szCs w:val="20"/>
                      <w:lang w:eastAsia="en-AU"/>
                    </w:rPr>
                    <w:t>example</w:t>
                  </w:r>
                  <w:proofErr w:type="gramEnd"/>
                  <w:r w:rsidRPr="009D2C27">
                    <w:rPr>
                      <w:rFonts w:ascii="Arial" w:eastAsiaTheme="minorEastAsia" w:hAnsi="Arial" w:cs="Arial"/>
                      <w:sz w:val="18"/>
                      <w:szCs w:val="20"/>
                      <w:lang w:eastAsia="en-AU"/>
                    </w:rPr>
                    <w:t xml:space="preserve"> these requirements should not, and do not apply in the Rural zone or the Rural residential zone etc.</w:t>
                  </w:r>
                </w:p>
              </w:tc>
            </w:tr>
            <w:tr w:rsidR="00D7355A" w:rsidRPr="00D7355A" w:rsidTr="00D7355A">
              <w:trPr>
                <w:tblCellSpacing w:w="15" w:type="dxa"/>
              </w:trPr>
              <w:tc>
                <w:tcPr>
                  <w:tcW w:w="9920" w:type="dxa"/>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bicycle parking facilities are provided at a rate of 1 bicycle parking space for every 3 vehicles parking spaces required by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Bicycle parking is:</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provided in accordance with </w:t>
            </w:r>
            <w:r w:rsidRPr="00D7355A">
              <w:rPr>
                <w:rFonts w:ascii="Arial" w:eastAsiaTheme="minorEastAsia" w:hAnsi="Arial" w:cs="Arial"/>
                <w:i/>
                <w:iCs/>
                <w:sz w:val="20"/>
                <w:szCs w:val="20"/>
                <w:lang w:eastAsia="en-AU"/>
              </w:rPr>
              <w:t>Austroads (2008), Guide to Traffic Management - Part 11: Parking</w:t>
            </w:r>
            <w:r w:rsidRPr="00D7355A">
              <w:rPr>
                <w:rFonts w:ascii="Arial" w:eastAsiaTheme="minorEastAsia" w:hAnsi="Arial" w:cs="Arial"/>
                <w:sz w:val="20"/>
                <w:szCs w:val="20"/>
                <w:lang w:eastAsia="en-AU"/>
              </w:rPr>
              <w:t>;</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protected from the weather by its location or a dedicated roof structure;</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within the building or in a dedicated, secure structure for residents and staff;</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structures are to be constructed to the standards prescribed in AS2890.3.</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and end of trip facilities provided for residential and non-residential activities may be pooled, provided they are within 100 metres of the entrance to the building.</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507"/>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storage lockers:</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provide at a rate of 1.6 per bicycle parking space (rounded up to the nearest whole number);</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w:t>
                  </w:r>
                  <w:r w:rsidRPr="009D2C27">
                    <w:rPr>
                      <w:rFonts w:ascii="Arial" w:eastAsiaTheme="minorEastAsia" w:hAnsi="Arial" w:cs="Arial"/>
                      <w:sz w:val="18"/>
                      <w:szCs w:val="20"/>
                      <w:lang w:eastAsia="en-AU"/>
                    </w:rPr>
                    <w:lastRenderedPageBreak/>
                    <w:t>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changing rooms: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at a rate of 1 per 10 bicycle parking spaces;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fitted with a lockable door or otherwise screened from public view;</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696"/>
              <w:gridCol w:w="597"/>
              <w:gridCol w:w="678"/>
              <w:gridCol w:w="720"/>
              <w:gridCol w:w="1103"/>
              <w:gridCol w:w="933"/>
              <w:gridCol w:w="88"/>
            </w:tblGrid>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Bicycle spaces provided</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Male/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Change rooms required</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Showers required</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Sanitary compartments required</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Washbasins required</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1-5</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 and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unisex change room</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6-19</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val="restart"/>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20 or more</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9D2C27" w:rsidRDefault="00D7355A" w:rsidP="002221EB">
                  <w:pPr>
                    <w:spacing w:after="0" w:line="240" w:lineRule="auto"/>
                    <w:rPr>
                      <w:rFonts w:ascii="Arial" w:eastAsia="Times New Roman" w:hAnsi="Arial" w:cs="Arial"/>
                      <w:sz w:val="16"/>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closet pans, plus 1 sanitary compartment for every 60 bicycle parking spaces 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plus 1 for every 60 bicycle parking spaces provided thereafter</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 xml:space="preserve">1 urinal and 1 closet pans, plus 1 sanitary compartment at the rate of 1 closet pan or 1 urinal for every </w:t>
                  </w:r>
                  <w:proofErr w:type="gramStart"/>
                  <w:r w:rsidRPr="009D2C27">
                    <w:rPr>
                      <w:rFonts w:ascii="Arial" w:eastAsia="Times New Roman" w:hAnsi="Arial" w:cs="Arial"/>
                      <w:sz w:val="16"/>
                      <w:szCs w:val="20"/>
                      <w:lang w:eastAsia="en-AU"/>
                    </w:rPr>
                    <w:t>60 bicycle</w:t>
                  </w:r>
                  <w:proofErr w:type="gramEnd"/>
                  <w:r w:rsidRPr="009D2C27">
                    <w:rPr>
                      <w:rFonts w:ascii="Arial" w:eastAsia="Times New Roman" w:hAnsi="Arial" w:cs="Arial"/>
                      <w:sz w:val="16"/>
                      <w:szCs w:val="20"/>
                      <w:lang w:eastAsia="en-AU"/>
                    </w:rPr>
                    <w:t xml:space="preserve"> space </w:t>
                  </w:r>
                  <w:r w:rsidRPr="009D2C27">
                    <w:rPr>
                      <w:rFonts w:ascii="Arial" w:eastAsia="Times New Roman" w:hAnsi="Arial" w:cs="Arial"/>
                      <w:sz w:val="16"/>
                      <w:szCs w:val="20"/>
                      <w:lang w:eastAsia="en-AU"/>
                    </w:rPr>
                    <w:lastRenderedPageBreak/>
                    <w:t>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lastRenderedPageBreak/>
                    <w:t>1, plus 1 for every 60 bicycle parking spaces provided thereafter</w:t>
                  </w:r>
                </w:p>
              </w:tc>
            </w:tr>
            <w:tr w:rsidR="00D7355A" w:rsidRPr="009D2C27" w:rsidTr="00D7355A">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50" w:type="dxa"/>
                  <w:gridSpan w:val="8"/>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showers have a minimum 3-star Water Efficiency Labelling and Standards (WELS) rating shower head.</w:t>
                  </w:r>
                </w:p>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sanitary compartments are constructed in compliance with F2.3 (e) and F2.5 of BCA (Volume 1).</w:t>
                  </w:r>
                </w:p>
              </w:tc>
            </w:tr>
          </w:tbl>
          <w:p w:rsidR="00D7355A" w:rsidRPr="00B409F1" w:rsidRDefault="00D7355A" w:rsidP="00532B53">
            <w:pPr>
              <w:numPr>
                <w:ilvl w:val="0"/>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are provided with:</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mirror located above each wash basin;</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hook and bench seating within each shower compartment;</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Loading and servicing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Service areas including loading/unloading facilities, plant areas, bin storage and outdoor storage areas are screened from the direct view from public areas and non-Light industry sub-precinct land.</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8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If landscaping is proposed for screening purposes, refer to Planning scheme policy - Integrated design for determining acceptable levels.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110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Waste and waste storage areas are designed and managed in accordance with Planning scheme policy - Waste.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Waste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Bins and bin storage area/s are designed, located and managed to prevent amenity impacts on the locality.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in the Planning scheme policy - Waste and is demonstrated in a waste management program.</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Environmental impacts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achieves the standard listed in Schedule 1 Air Quality Objectives, Environmental Protection (Air) Policy 2008.</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Lighting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Lighting is directed and shielded to not cause unreasonable disturbance to any person on adjoining land.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Artificial lighting on-site is directed and shielded in such manner as not to exceed the recommended maximum values of light technical parameters for the control of obtrusive light given in Table 2.1 of Australian Standard AS 4282 (1997) Control of Obtrusive Effects of Outdoor Lighting.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"Curfewed hours' are taken to be those hours between 10pm and 7am on the following day.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45"/>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Noise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lastRenderedPageBreak/>
                    <w:t>Note - The use of walls, barriers or fences that are visible from or adjoin a road or public area are not appropriate noise attenuation measures unless adjoining a motorway, arterial road or rail line.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Sensitive land uses are provided with an appropriate acoustic environment within designated external private outdoor living spaces and internal areas while:</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outlined in the Planning Scheme Policy – Noise.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attenuation structures (e.g. walls, barriers or fences):</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visible from an adjoining road or public area unless:</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a motorway or rail line; or</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remove existing or prevent future active transport routes or connections to the street network;</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Overlay map – Active transport for future active transport routes.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Works criteria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Utilities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Access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functional and integrated car parking and vehicle access, that: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prioritises the movement and safety of pedestrians between car parking areas at the rear through to the 'main street' and the entrance to the building (e.g. Rear entry, arcade etc.);</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provides safety and security of people and property at all times</w:t>
            </w:r>
            <w:proofErr w:type="gramEnd"/>
            <w:r w:rsidRPr="00D7355A">
              <w:rPr>
                <w:rFonts w:ascii="Arial" w:eastAsia="Times New Roman" w:hAnsi="Arial" w:cs="Arial"/>
                <w:sz w:val="20"/>
                <w:szCs w:val="20"/>
                <w:lang w:eastAsia="en-AU"/>
              </w:rPr>
              <w: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impede active transport options;</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impact on the safe and efficient movement of traffic external to the site;</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Centre and neighbourhood hub design for details and examples.</w:t>
                  </w:r>
                </w:p>
                <w:p w:rsidR="00E750DF" w:rsidRPr="00D7355A" w:rsidRDefault="00E750DF" w:rsidP="002221EB">
                  <w:pPr>
                    <w:spacing w:after="0" w:line="240" w:lineRule="auto"/>
                    <w:rPr>
                      <w:rFonts w:ascii="Arial" w:eastAsia="Times New Roman" w:hAnsi="Arial" w:cs="Arial"/>
                      <w:sz w:val="20"/>
                      <w:szCs w:val="20"/>
                      <w:lang w:eastAsia="en-AU"/>
                    </w:rPr>
                  </w:pP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PO24</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required access easements contain a driveway and provision for services constructed to suit the user’s needs. The easement covers all works associated with the access in accordance with Planning scheme policy - Integrated design.</w:t>
            </w:r>
          </w:p>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3084"/>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layout of the development does not compromise:</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development of the road network in the area;</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function or safety of the road network;</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Residential developments should consider amalgamation with the lot to the rear and gaining access via a laneway.</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28"/>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provides for the extension of the road network in the area in accordance with Council’s road network planning.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36"/>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compromise future road widening of frontage roads in accordance with the relevant standard and Council’s road planning.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layout allows forward vehicular access to and from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access facilities are provided for all vehicles required to access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Site access and driveways are designed, located and constructed in accordance with:</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Council-controlled road and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Planning scheme policy - Integrated design;</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Council-controlled road and not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AS/NZS 2890.1 Parking facilities Part 1: Off </w:t>
            </w:r>
            <w:proofErr w:type="gramStart"/>
            <w:r w:rsidRPr="00D7355A">
              <w:rPr>
                <w:rFonts w:ascii="Arial" w:eastAsia="Times New Roman" w:hAnsi="Arial" w:cs="Arial"/>
                <w:sz w:val="20"/>
                <w:szCs w:val="20"/>
                <w:lang w:eastAsia="en-AU"/>
              </w:rPr>
              <w:t>street car</w:t>
            </w:r>
            <w:proofErr w:type="gramEnd"/>
            <w:r w:rsidRPr="00D7355A">
              <w:rPr>
                <w:rFonts w:ascii="Arial" w:eastAsia="Times New Roman" w:hAnsi="Arial" w:cs="Arial"/>
                <w:sz w:val="20"/>
                <w:szCs w:val="20"/>
                <w:lang w:eastAsia="en-AU"/>
              </w:rPr>
              <w:t xml:space="preserve"> parking;</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 Parking facilities Part 2: Off-street commercial vehicle facilities;</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driveways, car parks and access ways are designed and constructed with a sealed pavement and in accordance with: </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AS/NZS 2890.1 Parking Facilities Part 1: Off </w:t>
            </w:r>
            <w:proofErr w:type="gramStart"/>
            <w:r w:rsidRPr="00D7355A">
              <w:rPr>
                <w:rFonts w:ascii="Arial" w:eastAsia="Times New Roman" w:hAnsi="Arial" w:cs="Arial"/>
                <w:sz w:val="20"/>
                <w:szCs w:val="20"/>
                <w:lang w:eastAsia="en-AU"/>
              </w:rPr>
              <w:t>street car</w:t>
            </w:r>
            <w:proofErr w:type="gramEnd"/>
            <w:r w:rsidRPr="00D7355A">
              <w:rPr>
                <w:rFonts w:ascii="Arial" w:eastAsia="Times New Roman" w:hAnsi="Arial" w:cs="Arial"/>
                <w:sz w:val="20"/>
                <w:szCs w:val="20"/>
                <w:lang w:eastAsia="en-AU"/>
              </w:rPr>
              <w:t xml:space="preserve"> parking;</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Parking Facilities Part 2: Off street commercial vehicle facilities;</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 and</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This includes queue lengths (refer to Schedule 8 - Service vehicle requirements), pavement widths and construction.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Access driveways, manoeuvring areas and loading facilities are sealed and provide for service vehicles </w:t>
            </w:r>
            <w:r w:rsidRPr="00D7355A">
              <w:rPr>
                <w:rFonts w:ascii="Arial" w:eastAsiaTheme="minorEastAsia" w:hAnsi="Arial" w:cs="Arial"/>
                <w:sz w:val="20"/>
                <w:szCs w:val="20"/>
                <w:lang w:eastAsia="en-AU"/>
              </w:rPr>
              <w:lastRenderedPageBreak/>
              <w:t>listed in Schedule 8 - Service vehicle requirements for the relevant use. The on-site manoeuvring is to be in accordance with Schedule 8 - Service vehicle requirements.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(including shade trees) is provided within car parks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Where associated with a State-controlled road, further requirements may apply, and approvals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Access roads to the development have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QUDM for requirements regarding trafficability.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Culverts and causeways do not increase inundation levels or increase velocities, for all events up to the defined flood event, to upstream or downstream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Street design and layout</w:t>
            </w:r>
          </w:p>
        </w:tc>
        <w:tc>
          <w:tcPr>
            <w:tcW w:w="732"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7355A">
              <w:rPr>
                <w:rFonts w:ascii="Arial" w:eastAsiaTheme="minorEastAsia" w:hAnsi="Arial" w:cs="Arial"/>
                <w:sz w:val="20"/>
                <w:szCs w:val="20"/>
                <w:lang w:eastAsia="en-AU"/>
              </w:rPr>
              <w:t>accommodates</w:t>
            </w:r>
            <w:proofErr w:type="gramEnd"/>
            <w:r w:rsidRPr="00D7355A">
              <w:rPr>
                <w:rFonts w:ascii="Arial" w:eastAsiaTheme="minorEastAsia" w:hAnsi="Arial" w:cs="Arial"/>
                <w:sz w:val="20"/>
                <w:szCs w:val="20"/>
                <w:lang w:eastAsia="en-AU"/>
              </w:rPr>
              <w:t xml:space="preserve"> the following functions: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premises by providing convenient vehicular movement for residents between their homes and the major road network;</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and convenient pedestrian and cycle movement;</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on street parking;</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paths and treatment facilities;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efficient public transport routes;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utility services location;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emergency access and waste collection;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setting and approach (streetscape, landscaping and street furniture) for adjoining residences;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expected traffic speeds and volumes; and</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Planning scheme policy - Environmental areas and corridors for examples of when and where wildlife movement infrastructure is required.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2092"/>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PO30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is near a transport sensitive location;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Forecast traffic to/from the development exceeds 5% of the </w:t>
                  </w:r>
                  <w:proofErr w:type="gramStart"/>
                  <w:r w:rsidRPr="009D2C27">
                    <w:rPr>
                      <w:rFonts w:ascii="Arial" w:eastAsiaTheme="minorEastAsia" w:hAnsi="Arial" w:cs="Arial"/>
                      <w:sz w:val="18"/>
                      <w:szCs w:val="20"/>
                      <w:lang w:eastAsia="en-AU"/>
                    </w:rPr>
                    <w:t>two way</w:t>
                  </w:r>
                  <w:proofErr w:type="gramEnd"/>
                  <w:r w:rsidRPr="009D2C27">
                    <w:rPr>
                      <w:rFonts w:ascii="Arial" w:eastAsiaTheme="minorEastAsia" w:hAnsi="Arial" w:cs="Arial"/>
                      <w:sz w:val="18"/>
                      <w:szCs w:val="20"/>
                      <w:lang w:eastAsia="en-AU"/>
                    </w:rPr>
                    <w:t xml:space="preserve"> flow on the adjoining road or intersection, and congestion currently exists or is anticipated within 10 years of the development completion;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access onto a sub arterial, or arterial road or within 100m of a signalised intersection;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Residential development greater than 50 lots or dwellings;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Offices greater than 4,000m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Gross Floor Area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Retail activities including Hardware and trade supplies, Showroom, Shop or Shopping centre greater than 1,000m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proofErr w:type="gramStart"/>
                  <w:r w:rsidRPr="009D2C27">
                    <w:rPr>
                      <w:rFonts w:ascii="Arial" w:eastAsiaTheme="minorEastAsia" w:hAnsi="Arial" w:cs="Arial"/>
                      <w:sz w:val="18"/>
                      <w:szCs w:val="20"/>
                      <w:lang w:eastAsia="en-AU"/>
                    </w:rPr>
                    <w:t>Warehouses</w:t>
                  </w:r>
                  <w:r w:rsidRPr="009D2C27">
                    <w:rPr>
                      <w:rFonts w:ascii="Arial" w:eastAsiaTheme="minorEastAsia" w:hAnsi="Arial" w:cs="Arial"/>
                      <w:sz w:val="18"/>
                      <w:szCs w:val="20"/>
                      <w:vertAlign w:val="superscript"/>
                      <w:lang w:eastAsia="en-AU"/>
                    </w:rPr>
                    <w:t>(</w:t>
                  </w:r>
                  <w:proofErr w:type="gramEnd"/>
                  <w:r w:rsidRPr="009D2C27">
                    <w:rPr>
                      <w:rFonts w:ascii="Arial" w:eastAsiaTheme="minorEastAsia" w:hAnsi="Arial" w:cs="Arial"/>
                      <w:sz w:val="18"/>
                      <w:szCs w:val="20"/>
                      <w:vertAlign w:val="superscript"/>
                      <w:lang w:eastAsia="en-AU"/>
                    </w:rPr>
                    <w:t>88)</w:t>
                  </w:r>
                  <w:r w:rsidRPr="009D2C27">
                    <w:rPr>
                      <w:rFonts w:ascii="Arial" w:eastAsiaTheme="minorEastAsia" w:hAnsi="Arial" w:cs="Arial"/>
                      <w:sz w:val="18"/>
                      <w:szCs w:val="20"/>
                      <w:lang w:eastAsia="en-AU"/>
                    </w:rPr>
                    <w:t xml:space="preserve"> greater than 6,000m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On-site carpark greater than 100 spaces.</w:t>
                  </w:r>
                </w:p>
                <w:p w:rsidR="00D7355A" w:rsidRPr="009D2C27" w:rsidRDefault="00D7355A" w:rsidP="002221EB">
                  <w:pPr>
                    <w:spacing w:before="100" w:beforeAutospacing="1" w:after="100" w:afterAutospacing="1" w:line="240" w:lineRule="auto"/>
                    <w:rPr>
                      <w:rFonts w:ascii="Arial" w:eastAsiaTheme="minorEastAsia" w:hAnsi="Arial" w:cs="Arial"/>
                      <w:sz w:val="16"/>
                      <w:szCs w:val="20"/>
                      <w:lang w:eastAsia="en-AU"/>
                    </w:rPr>
                  </w:pPr>
                  <w:r w:rsidRPr="009D2C27">
                    <w:rPr>
                      <w:rFonts w:ascii="Arial" w:eastAsiaTheme="minorEastAsia"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9D2C27">
                    <w:rPr>
                      <w:rFonts w:ascii="Arial" w:eastAsiaTheme="minorEastAsia" w:hAnsi="Arial" w:cs="Arial"/>
                      <w:sz w:val="18"/>
                      <w:szCs w:val="20"/>
                      <w:lang w:eastAsia="en-AU"/>
                    </w:rPr>
                    <w:t>sufficient</w:t>
                  </w:r>
                  <w:proofErr w:type="gramEnd"/>
                  <w:r w:rsidRPr="009D2C27">
                    <w:rPr>
                      <w:rFonts w:ascii="Arial" w:eastAsiaTheme="minorEastAsia"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The primary and secondary active transport network is mapped on Overlay map - Active transport.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turns vehicular access to existing lots is to be retained at new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Existing on-street parking is to be retained at new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64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turns vehicular access to existing lots is to be retained at upgraded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Existing on-street parking is to be retained at upgraded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active transport network is extended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Planning scheme policy - Integrated design and Planning scheme policy - Operational works inspection, maintenance and bonding procedures for design and construction standards.</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9D2C27">
                    <w:rPr>
                      <w:rFonts w:ascii="Arial" w:eastAsiaTheme="minorEastAsia" w:hAnsi="Arial" w:cs="Arial"/>
                      <w:sz w:val="18"/>
                      <w:szCs w:val="20"/>
                      <w:lang w:eastAsia="en-AU"/>
                    </w:rPr>
                    <w:br/>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 spacing (centreline – centreline) along a through road conforms with the following:</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an access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60 metres; or</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60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40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 collector or sub-arterial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100 metres; </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100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60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an 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300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Based on the absolute minimum intersection spacing identified above, all turns access may not be permitted (</w:t>
                  </w:r>
                  <w:proofErr w:type="spellStart"/>
                  <w:r w:rsidRPr="009D2C27">
                    <w:rPr>
                      <w:rFonts w:ascii="Arial" w:eastAsiaTheme="minorEastAsia" w:hAnsi="Arial" w:cs="Arial"/>
                      <w:sz w:val="18"/>
                      <w:szCs w:val="20"/>
                      <w:lang w:eastAsia="en-AU"/>
                    </w:rPr>
                    <w:t>ie</w:t>
                  </w:r>
                  <w:proofErr w:type="spellEnd"/>
                  <w:r w:rsidRPr="009D2C27">
                    <w:rPr>
                      <w:rFonts w:ascii="Arial" w:eastAsiaTheme="minorEastAsia" w:hAnsi="Arial" w:cs="Arial"/>
                      <w:sz w:val="18"/>
                      <w:szCs w:val="20"/>
                      <w:lang w:eastAsia="en-AU"/>
                    </w:rPr>
                    <w:t>. left in/left out only) at intersections with sub-arterial roads or arterial roads.</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Frontage roads include streets where no direct lot access is provided.</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Primary and Secondary active transport network is mapped on Overlay map - Active transport.</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construction</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unconstructed or gravel road only;</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sealed but not constructed* to Planning scheme policy - Integrated design standard;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minimum total travel lane width is: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6m for minor roads;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7m for major roads.</w:t>
                  </w:r>
                </w:p>
              </w:tc>
            </w:tr>
            <w:tr w:rsidR="00D7355A" w:rsidRPr="009D2C27"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Major roads are sub-arterial roads and arterial roads.  Minor roads are roads that are not major roads.</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Construction includes all associated works (services, street lighting and </w:t>
                  </w:r>
                  <w:proofErr w:type="spellStart"/>
                  <w:r w:rsidRPr="009D2C27">
                    <w:rPr>
                      <w:rFonts w:ascii="Arial" w:eastAsiaTheme="minorEastAsia" w:hAnsi="Arial" w:cs="Arial"/>
                      <w:sz w:val="18"/>
                      <w:szCs w:val="20"/>
                      <w:lang w:eastAsia="en-AU"/>
                    </w:rPr>
                    <w:t>linemarking</w:t>
                  </w:r>
                  <w:proofErr w:type="spellEnd"/>
                  <w:r w:rsidRPr="009D2C27">
                    <w:rPr>
                      <w:rFonts w:ascii="Arial" w:eastAsiaTheme="minorEastAsia" w:hAnsi="Arial" w:cs="Arial"/>
                      <w:sz w:val="18"/>
                      <w:szCs w:val="20"/>
                      <w:lang w:eastAsia="en-AU"/>
                    </w:rPr>
                    <w:t>).</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Alignment within road reserves is to be agreed with Council.</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*Roads </w:t>
                  </w:r>
                  <w:proofErr w:type="gramStart"/>
                  <w:r w:rsidRPr="009D2C27">
                    <w:rPr>
                      <w:rFonts w:ascii="Arial" w:eastAsiaTheme="minorEastAsia" w:hAnsi="Arial" w:cs="Arial"/>
                      <w:sz w:val="18"/>
                      <w:szCs w:val="20"/>
                      <w:lang w:eastAsia="en-AU"/>
                    </w:rPr>
                    <w:t>are considered to be</w:t>
                  </w:r>
                  <w:proofErr w:type="gramEnd"/>
                  <w:r w:rsidRPr="009D2C27">
                    <w:rPr>
                      <w:rFonts w:ascii="Arial" w:eastAsiaTheme="minorEastAsia"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 xml:space="preserve">Stormwater </w:t>
            </w:r>
            <w:r w:rsidRPr="00D7355A">
              <w:rPr>
                <w:rFonts w:ascii="Arial" w:eastAsiaTheme="minorEastAsia" w:hAnsi="Arial" w:cs="Arial"/>
                <w:sz w:val="20"/>
                <w:szCs w:val="20"/>
                <w:lang w:eastAsia="en-AU"/>
              </w:rPr>
              <w:t> </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capacity of all minor drainage systems </w:t>
            </w:r>
            <w:proofErr w:type="gramStart"/>
            <w:r w:rsidRPr="00D7355A">
              <w:rPr>
                <w:rFonts w:ascii="Arial" w:eastAsiaTheme="minorEastAsia" w:hAnsi="Arial" w:cs="Arial"/>
                <w:sz w:val="20"/>
                <w:szCs w:val="20"/>
                <w:lang w:eastAsia="en-AU"/>
              </w:rPr>
              <w:t>are</w:t>
            </w:r>
            <w:proofErr w:type="gramEnd"/>
            <w:r w:rsidRPr="00D7355A">
              <w:rPr>
                <w:rFonts w:ascii="Arial" w:eastAsiaTheme="minorEastAsia" w:hAnsi="Arial" w:cs="Arial"/>
                <w:sz w:val="20"/>
                <w:szCs w:val="20"/>
                <w:lang w:eastAsia="en-AU"/>
              </w:rPr>
              <w:t xml:space="preserve"> designed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network capacity is to be calculated in accordance with the Hydraulic Grade Line method as detailed in Australian Rainfall and Runoff or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Development ensures that inter-allotment drainage infrastructure is provided in accordance with the relevant level as identified in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Major stormwater drainage system(s) have the capacity to safely convey stormwater flows for the 1% AEP event for the fully developed upstream catchment.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internal drainage system safely and adequately conveys the stormwater flows for the 1% AEP event for the fully developed upstream catchment through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051EDF">
                    <w:rPr>
                      <w:rFonts w:ascii="Arial" w:eastAsiaTheme="minorEastAsia" w:hAnsi="Arial" w:cs="Arial"/>
                      <w:sz w:val="18"/>
                      <w:szCs w:val="20"/>
                      <w:lang w:eastAsia="en-AU"/>
                    </w:rPr>
                    <w:t>Note - Refer to QUDM for recommended average flow velocities.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Provide measures to properly manage surface flows for the 1% AEP event (for the fully developed catchment) </w:t>
            </w:r>
            <w:r w:rsidRPr="00D7355A">
              <w:rPr>
                <w:rFonts w:ascii="Arial" w:eastAsiaTheme="minorEastAsia" w:hAnsi="Arial" w:cs="Arial"/>
                <w:sz w:val="20"/>
                <w:szCs w:val="20"/>
                <w:lang w:eastAsia="en-AU"/>
              </w:rPr>
              <w:lastRenderedPageBreak/>
              <w:t>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stormwater drainage system is designed and constructed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downstream drainage discharge report in accordance with Planning scheme policy - Stormwater management may be required to demonstrate achievement of this performance outcome.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generated from the development does not compromise the capacity of existing stormwater infrastructure downstream of the site.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A downstream drainage discharge report in accordance with Planning scheme policy - Stormwater management may be required to demonstrate compliance with this performance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PO38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for an urban purpose that involves a land area of 2500m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or greater; and</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will result in:</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6 or more dwellings; or</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t xml:space="preserve">an </w:t>
            </w:r>
            <w:proofErr w:type="spellStart"/>
            <w:r w:rsidRPr="00D7355A">
              <w:rPr>
                <w:rFonts w:ascii="Arial" w:eastAsiaTheme="minorEastAsia" w:hAnsi="Arial" w:cs="Arial"/>
                <w:sz w:val="20"/>
                <w:szCs w:val="20"/>
                <w:lang w:val="en-US" w:eastAsia="en-AU"/>
              </w:rPr>
              <w:t>i</w:t>
            </w:r>
            <w:r w:rsidRPr="00D7355A">
              <w:rPr>
                <w:rFonts w:ascii="Arial" w:eastAsiaTheme="minorEastAsia" w:hAnsi="Arial" w:cs="Arial"/>
                <w:sz w:val="20"/>
                <w:szCs w:val="20"/>
                <w:lang w:eastAsia="en-AU"/>
              </w:rPr>
              <w:t>mpervious</w:t>
            </w:r>
            <w:proofErr w:type="spellEnd"/>
            <w:r w:rsidRPr="00D7355A">
              <w:rPr>
                <w:rFonts w:ascii="Arial" w:eastAsiaTheme="minorEastAsia" w:hAnsi="Arial" w:cs="Arial"/>
                <w:sz w:val="20"/>
                <w:szCs w:val="20"/>
                <w:lang w:eastAsia="en-AU"/>
              </w:rPr>
              <w:t xml:space="preserve"> area greater than 25% of the net developable area, </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 A </w:t>
                  </w:r>
                  <w:proofErr w:type="gramStart"/>
                  <w:r w:rsidRPr="00740B52">
                    <w:rPr>
                      <w:rFonts w:ascii="Arial" w:eastAsiaTheme="minorEastAsia" w:hAnsi="Arial" w:cs="Arial"/>
                      <w:sz w:val="18"/>
                      <w:szCs w:val="20"/>
                      <w:lang w:eastAsia="en-AU"/>
                    </w:rPr>
                    <w:t>site based</w:t>
                  </w:r>
                  <w:proofErr w:type="gramEnd"/>
                  <w:r w:rsidRPr="00740B52">
                    <w:rPr>
                      <w:rFonts w:ascii="Arial" w:eastAsiaTheme="minorEastAsia"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w:t>
                  </w:r>
                  <w:r w:rsidRPr="00740B52">
                    <w:rPr>
                      <w:rFonts w:ascii="Arial" w:eastAsiaTheme="minorEastAsia" w:hAnsi="Arial" w:cs="Arial"/>
                      <w:sz w:val="18"/>
                      <w:szCs w:val="18"/>
                      <w:lang w:eastAsia="en-AU"/>
                    </w:rPr>
                    <w:t>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Easement Width (excluding access requirements)</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3.0m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pipe up to 825mm diameter with </w:t>
                  </w:r>
                  <w:r w:rsidRPr="00D7355A">
                    <w:rPr>
                      <w:rFonts w:ascii="Arial" w:eastAsiaTheme="minorEastAsia" w:hAnsi="Arial" w:cs="Arial"/>
                      <w:sz w:val="20"/>
                      <w:szCs w:val="20"/>
                      <w:lang w:eastAsia="en-AU"/>
                    </w:rPr>
                    <w:lastRenderedPageBreak/>
                    <w:t>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4.0m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Easement boundary to be 1m clear of the outside wall of the stormwater pipe (each side)</w:t>
                  </w:r>
                </w:p>
              </w:tc>
            </w:tr>
            <w:tr w:rsidR="00D7355A" w:rsidRPr="00740B52"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Additional easement width may be required in certain circumstances in order to facilitate maintenance access to the stormwater system. </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(Appendix C) for easement requirements over open channels.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management facilities (excluding outlets) are located outside of riparian areas and prevent increased channel bed and bank erosion.</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Council is provided with accurate representations of the completed stormwater management works within residential developments.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Documentation is to include:</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val="en-US" w:eastAsia="en-AU"/>
                    </w:rPr>
                    <w:t>photographic evidence and inspection date of the installation of approved underdrainage;</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val="en-US" w:eastAsia="en-AU"/>
                    </w:rPr>
                    <w:t>copy of the bioretention filter media delivery dockets/quality certificates confirming the materials comply with specifications in the approved Stormwater Management Plan;</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val="en-US" w:eastAsia="en-AU"/>
                    </w:rPr>
                    <w:t>date of the final inspection</w:t>
                  </w:r>
                  <w:r w:rsidRPr="00D7355A">
                    <w:rPr>
                      <w:rFonts w:ascii="Arial" w:eastAsiaTheme="minorEastAsia" w:hAnsi="Arial" w:cs="Arial"/>
                      <w:sz w:val="20"/>
                      <w:szCs w:val="20"/>
                      <w:lang w:val="en-US" w:eastAsia="en-AU"/>
                    </w:rPr>
                    <w:t>.</w:t>
                  </w:r>
                </w:p>
                <w:p w:rsidR="00E750DF" w:rsidRPr="00D7355A" w:rsidRDefault="00E750DF" w:rsidP="00E750DF">
                  <w:pPr>
                    <w:spacing w:before="100" w:beforeAutospacing="1" w:after="100" w:afterAutospacing="1" w:line="240" w:lineRule="auto"/>
                    <w:ind w:left="720"/>
                    <w:rPr>
                      <w:rFonts w:ascii="Arial" w:eastAsiaTheme="minorEastAsia" w:hAnsi="Arial" w:cs="Arial"/>
                      <w:sz w:val="20"/>
                      <w:szCs w:val="20"/>
                      <w:lang w:eastAsia="en-AU"/>
                    </w:rPr>
                  </w:pP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works and construction management</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10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site and any existing structures are maintained in a tidy and safe condition.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works on-site are managed to:</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minimise as far as practicable, impacts on adjoining or adjacent premises and the streetscape </w:t>
            </w: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erosion and sedimentation, dust, noise, safety and light;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as far as possible, impacts on the natural environment;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ensure stormwater discharge is managed in a manner that does not cause actionable nuisance to any person or premises;</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avoid adverse impacts on street streets and their critical root zone.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is not discharged to adjacent properties in a manner that differs significantly from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discharged to adjoining and downstream properties does not cause scour or erosion of any kind;</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 rates do not exceed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design storm for all temporary diversion drains and sedimentation basins in accordance with Schedule 10 - Stormwater management design objectives;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ponding  or</w:t>
            </w:r>
            <w:proofErr w:type="gramEnd"/>
            <w:r w:rsidRPr="00D7355A">
              <w:rPr>
                <w:rFonts w:ascii="Arial" w:eastAsiaTheme="minorEastAsia" w:hAnsi="Arial" w:cs="Arial"/>
                <w:sz w:val="20"/>
                <w:szCs w:val="20"/>
                <w:lang w:eastAsia="en-AU"/>
              </w:rPr>
              <w:t xml:space="preserve"> concentration of stormwater does not occur on adjoining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525"/>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run-off, erosion and sediment controls are constructed in accordance with Planning scheme policy - Integrated design (Appendix C) prior to commencement of any clearing work or earthworks </w:t>
            </w:r>
            <w:r w:rsidRPr="00D7355A">
              <w:rPr>
                <w:rFonts w:ascii="Arial" w:eastAsiaTheme="minorEastAsia" w:hAnsi="Arial" w:cs="Arial"/>
                <w:sz w:val="20"/>
                <w:szCs w:val="20"/>
                <w:lang w:eastAsia="en-AU"/>
              </w:rPr>
              <w:lastRenderedPageBreak/>
              <w:t xml:space="preserve">and </w:t>
            </w:r>
            <w:proofErr w:type="gramStart"/>
            <w:r w:rsidRPr="00D7355A">
              <w:rPr>
                <w:rFonts w:ascii="Arial" w:eastAsiaTheme="minorEastAsia" w:hAnsi="Arial" w:cs="Arial"/>
                <w:sz w:val="20"/>
                <w:szCs w:val="20"/>
                <w:lang w:eastAsia="en-AU"/>
              </w:rPr>
              <w:t>are maintained and adjusted as necessary at all times</w:t>
            </w:r>
            <w:proofErr w:type="gramEnd"/>
            <w:r w:rsidRPr="00D7355A">
              <w:rPr>
                <w:rFonts w:ascii="Arial" w:eastAsiaTheme="minorEastAsia" w:hAnsi="Arial" w:cs="Arial"/>
                <w:sz w:val="20"/>
                <w:szCs w:val="20"/>
                <w:lang w:eastAsia="en-AU"/>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measures are adjusted on-site to maximise their effectiveness.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70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completed earthworks (fill or excavation) area is stabilised using turf, established grass seeding, mulch or sprayed stabilisation techniques to control erosion and sediment and dust from leaving the property.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Dust suppression measures are implemented during construction works to protect nearby premises from unreasonable dust impacts.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dust emissions extend beyond the boundaries of the site during soil disturbances and construction works.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lastRenderedPageBreak/>
                    <w:t>Note - A Traffic Management Plan may be required to demonstrate compliance with this PO.  A Traffic Management Plan is to be prepared in accordance with the Manual of Uniform Traffic Control Devices (MUTCD).</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haulage route must be identified and approved by Council where imported or exported material is transported to the site via a road of Local Collector standard or less, and:</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1000m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200m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xml:space="preserve"> per day;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proposed haulage route involves a vulnerable land use or shopping centre.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dilapidation report (including photographs) may be required for the haulage route to demonstrate compliance with this PO.</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 xml:space="preserve">Editor's note - Where associated with a State-controlled </w:t>
                  </w:r>
                  <w:proofErr w:type="gramStart"/>
                  <w:r w:rsidRPr="00740B52">
                    <w:rPr>
                      <w:rFonts w:ascii="Arial" w:eastAsiaTheme="minorEastAsia" w:hAnsi="Arial" w:cs="Arial"/>
                      <w:sz w:val="18"/>
                      <w:szCs w:val="20"/>
                      <w:lang w:eastAsia="en-AU"/>
                    </w:rPr>
                    <w:t>road ,</w:t>
                  </w:r>
                  <w:proofErr w:type="gramEnd"/>
                  <w:r w:rsidRPr="00740B52">
                    <w:rPr>
                      <w:rFonts w:ascii="Arial" w:eastAsiaTheme="minorEastAsia" w:hAnsi="Arial" w:cs="Arial"/>
                      <w:sz w:val="18"/>
                      <w:szCs w:val="20"/>
                      <w:lang w:eastAsia="en-AU"/>
                    </w:rPr>
                    <w:t xml:space="preserve"> further requirements may apply, and approval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E45.1</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contractor car parking is either provided on the development site, or on an alternative site in the general locality which has been set aside for car parking. Contractor vehicles are generally not to be parked in existing roads.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40"/>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Any material dropped, deposited or spilled on the roads as a result of construction processes associated with the site </w:t>
            </w:r>
            <w:proofErr w:type="gramStart"/>
            <w:r w:rsidRPr="00D7355A">
              <w:rPr>
                <w:rFonts w:ascii="Arial" w:eastAsiaTheme="minorEastAsia" w:hAnsi="Arial" w:cs="Arial"/>
                <w:sz w:val="20"/>
                <w:szCs w:val="20"/>
                <w:lang w:eastAsia="en-AU"/>
              </w:rPr>
              <w:t>are to be cleaned at all times</w:t>
            </w:r>
            <w:proofErr w:type="gramEnd"/>
            <w:r w:rsidRPr="00D7355A">
              <w:rPr>
                <w:rFonts w:ascii="Arial" w:eastAsiaTheme="minorEastAsia" w:hAnsi="Arial" w:cs="Arial"/>
                <w:sz w:val="20"/>
                <w:szCs w:val="20"/>
                <w:lang w:eastAsia="en-AU"/>
              </w:rPr>
              <w: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road hierarchy is mapped on Overlay map - Road hierarchy.</w:t>
                  </w:r>
                </w:p>
              </w:tc>
            </w:tr>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dilapidation report may be required to demonstrate compliance with this 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lastRenderedPageBreak/>
                    <w:t>Note - A traffic control plan prepared in accordance with the Manual of Uniform Traffic Control Devices (MUTCD) will be required for any works that will affect access, traffic movements or traffic safety in existing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the development site is obtained via an existing lawful access point.</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completion of construction all disturbed areas of the site are to be:</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topsoiled with a minimum compacted thickness of fifty (50) millimetres;</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These areas are to be maintained during any maintenance period to maximise grass coverage.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Soil disturbances are staged into manageable areas of not greater than 3.5 ha.</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clearing of vegetation on-site:</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limited to the area of infrastructure works, buildings areas and other necessary areas for the works;</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includes the removal of declared weeds and other materials which are detrimental to the intended use of the land;</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No burning of cleared vegetation is permitted.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No parking of vehicles or storage of machinery or goods is to occur in these areas during development works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540"/>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Disposal of materials is managed in one or more of the following ways:</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cleared vegetation, declared weeds, stumps, rubbish, car bodies, scrap metal and the like are removed and disposed of in a Council land fill facility; or</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chipped vegetation must be stored in an approved location.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at times which minimise noise impacts to residents. </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within the following times: </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Monday to Saturday (other than public holidays) between 6:30am and 6:30pm on the same day;</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Earthworks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95"/>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On-site earthworks are designed to consider the visual and amenity impact as they relate to:</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natural topographical features of the 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short and long-term slope stability;</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soft or compressible foundation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reactive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low density or potentially collapsing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existing fills and soil contamination that may exist on-site;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stability and maintenance of steep slopes and batters;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excavation (cut) and fill and impacts on the amenity of adjoining lots (e.g. residential)</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Stabilisation measures are provided, as necessary, to ensure long-term stability and low maintenance of steep slopes and batters.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fill </w:t>
            </w:r>
            <w:proofErr w:type="gramStart"/>
            <w:r w:rsidRPr="00D7355A">
              <w:rPr>
                <w:rFonts w:ascii="Arial" w:eastAsiaTheme="minorEastAsia" w:hAnsi="Arial" w:cs="Arial"/>
                <w:sz w:val="20"/>
                <w:szCs w:val="20"/>
                <w:lang w:eastAsia="en-AU"/>
              </w:rPr>
              <w:t>batters</w:t>
            </w:r>
            <w:proofErr w:type="gramEnd"/>
            <w:r w:rsidRPr="00D7355A">
              <w:rPr>
                <w:rFonts w:ascii="Arial" w:eastAsiaTheme="minorEastAsia" w:hAnsi="Arial" w:cs="Arial"/>
                <w:sz w:val="20"/>
                <w:szCs w:val="20"/>
                <w:lang w:eastAsia="en-AU"/>
              </w:rPr>
              <w:t xml:space="preserve"> steeper than 1 (V) in 6 (H) on residential lots are fully turfed to prevent scour and erosion.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filling or excavation is contained within the site and is free draining.</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 placed on-site is:</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limited to that area necessary for the approved use;</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clean and uncontaminated (i.e. no building waste, concrete, green waste, actual acid sulfate soils, potential acid sulfate soils or contaminated material etc.).</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site is </w:t>
            </w:r>
            <w:proofErr w:type="gramStart"/>
            <w:r w:rsidRPr="00D7355A">
              <w:rPr>
                <w:rFonts w:ascii="Arial" w:eastAsiaTheme="minorEastAsia" w:hAnsi="Arial" w:cs="Arial"/>
                <w:sz w:val="20"/>
                <w:szCs w:val="20"/>
                <w:lang w:eastAsia="en-AU"/>
              </w:rPr>
              <w:t>prepared</w:t>
            </w:r>
            <w:proofErr w:type="gramEnd"/>
            <w:r w:rsidRPr="00D7355A">
              <w:rPr>
                <w:rFonts w:ascii="Arial" w:eastAsiaTheme="minorEastAsia" w:hAnsi="Arial" w:cs="Arial"/>
                <w:sz w:val="20"/>
                <w:szCs w:val="20"/>
                <w:lang w:eastAsia="en-AU"/>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6"/>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Inspection and certification of steep slopes and batters may be required by a suitably qualified and experienced RPEQ.</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Embankments are stepped, terraced and landscaped to not adversely impact on the visual amenity of the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Any embankments more than 1.5 metres in height are stepped, terraced and landscaped.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b/>
                <w:bCs/>
                <w:sz w:val="20"/>
                <w:szCs w:val="20"/>
                <w:lang w:eastAsia="en-AU"/>
              </w:rPr>
              <w:t>Figure - Embankment</w:t>
            </w:r>
            <w:r w:rsidRPr="00D7355A">
              <w:rPr>
                <w:rFonts w:ascii="Arial" w:eastAsia="Times New Roman" w:hAnsi="Arial" w:cs="Arial"/>
                <w:sz w:val="20"/>
                <w:szCs w:val="20"/>
                <w:lang w:eastAsia="en-AU"/>
              </w:rPr>
              <w:t xml:space="preserve"> </w:t>
            </w:r>
          </w:p>
          <w:p w:rsidR="00D7355A" w:rsidRPr="00D7355A" w:rsidRDefault="00740B52" w:rsidP="002221EB">
            <w:pPr>
              <w:spacing w:after="0" w:line="240" w:lineRule="auto"/>
              <w:rPr>
                <w:rFonts w:ascii="Arial" w:eastAsia="Times New Roman" w:hAnsi="Arial" w:cs="Arial"/>
                <w:sz w:val="20"/>
                <w:szCs w:val="20"/>
                <w:lang w:eastAsia="en-AU"/>
              </w:rPr>
            </w:pPr>
            <w:r>
              <w:rPr>
                <w:noProof/>
              </w:rPr>
              <w:drawing>
                <wp:inline distT="0" distB="0" distL="0" distR="0" wp14:anchorId="3C8A3A47" wp14:editId="0C4750CF">
                  <wp:extent cx="3099435" cy="11868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9435" cy="1186815"/>
                          </a:xfrm>
                          <a:prstGeom prst="rect">
                            <a:avLst/>
                          </a:prstGeom>
                        </pic:spPr>
                      </pic:pic>
                    </a:graphicData>
                  </a:graphic>
                </wp:inline>
              </w:drawing>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Filling or excavation is undertaken in a manner that:</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adversely impact on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land;</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preclude reasonable access to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w:t>
                  </w:r>
                  <w:proofErr w:type="gramStart"/>
                  <w:r w:rsidRPr="00740B52">
                    <w:rPr>
                      <w:rFonts w:ascii="Arial" w:eastAsiaTheme="minorEastAsia" w:hAnsi="Arial" w:cs="Arial"/>
                      <w:sz w:val="18"/>
                      <w:szCs w:val="20"/>
                      <w:lang w:eastAsia="en-AU"/>
                    </w:rPr>
                    <w:t>-  Public</w:t>
                  </w:r>
                  <w:proofErr w:type="gramEnd"/>
                  <w:r w:rsidRPr="00740B52">
                    <w:rPr>
                      <w:rFonts w:ascii="Arial" w:eastAsiaTheme="minorEastAsia" w:hAnsi="Arial" w:cs="Arial"/>
                      <w:sz w:val="18"/>
                      <w:szCs w:val="20"/>
                      <w:lang w:eastAsia="en-AU"/>
                    </w:rPr>
                    <w:t xml:space="preserve">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Public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Earthworks that would result in any of the following are not carried out on-site:</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 reduction in cover over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service to less than 600mm;</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increase in finished surface grade over, or within 1.5m on each side of,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above that which existed prior to the earthworks being undertaken; and</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prevent reasonable access to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Public sector entity is defined in Schedule 2 of the Act.</w:t>
                  </w:r>
                </w:p>
              </w:tc>
            </w:tr>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All building work covered by QDC MP1.4 is excluded from this provision.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does not result in</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adverse impacts on the hydrological and hydraulic capacity of the waterway or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increased flood inundation outside the site;</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any reduction in the flood storage capacity in the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any clearing of native vegetation.</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740B52">
                    <w:rPr>
                      <w:rFonts w:ascii="Arial" w:eastAsia="Times New Roman" w:hAnsi="Arial" w:cs="Arial"/>
                      <w:sz w:val="18"/>
                      <w:szCs w:val="20"/>
                      <w:lang w:eastAsia="en-AU"/>
                    </w:rPr>
                    <w:t>site based</w:t>
                  </w:r>
                  <w:proofErr w:type="gramEnd"/>
                  <w:r w:rsidRPr="00740B52">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and excavation undertaken on the development site are shaped in a manner which does not:</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prevent stormwater surface flow which, prior to commencement of the earthworks, passed onto the development site, from entering the land;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redirect stormwater surface flow away from existing flow paths;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divert stormwater surface flow onto adjacent land, (other than a road), in a manner which: </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concentrates the flow;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increases the flow rate of stormwater over the affected section of the adjacent land above the situation which existed prior to the diversion;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causes actionable nuisance to any person, property or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Refer to Planning scheme policy - Residential design for guidance on how to achieve compliance with this performance outcome.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Earth retaining structures:</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constructed of boulder rocks or timber;</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no greater than 900mm, are provided in accordance with Figure - Retaining on a boundary;</w:t>
            </w:r>
          </w:p>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20D0D6A1" wp14:editId="06C6B243">
                  <wp:extent cx="2876550" cy="1838325"/>
                  <wp:effectExtent l="0" t="0" r="0" b="9525"/>
                  <wp:docPr id="147"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7355A" w:rsidRPr="00D7355A" w:rsidRDefault="00D7355A" w:rsidP="002221EB">
            <w:pPr>
              <w:spacing w:after="0" w:line="240" w:lineRule="auto"/>
              <w:rPr>
                <w:rFonts w:ascii="Arial" w:eastAsia="Times New Roman" w:hAnsi="Arial" w:cs="Arial"/>
                <w:sz w:val="20"/>
                <w:szCs w:val="20"/>
                <w:lang w:eastAsia="en-AU"/>
              </w:rPr>
            </w:pP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0FB16AAB" wp14:editId="2455C9AF">
                  <wp:extent cx="2876550" cy="2533650"/>
                  <wp:effectExtent l="0" t="0" r="0" b="0"/>
                  <wp:docPr id="148"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0A2714D2" wp14:editId="18567264">
                  <wp:extent cx="2876550" cy="2600325"/>
                  <wp:effectExtent l="0" t="0" r="0" b="9525"/>
                  <wp:docPr id="149"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740B52" w:rsidRPr="00D7355A" w:rsidTr="00E750DF">
        <w:trPr>
          <w:trHeight w:val="4077"/>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740B52" w:rsidRPr="00D7355A" w:rsidTr="00D7355A">
              <w:trPr>
                <w:tblCellSpacing w:w="15" w:type="dxa"/>
              </w:trPr>
              <w:tc>
                <w:tcPr>
                  <w:tcW w:w="15066" w:type="dxa"/>
                  <w:vAlign w:val="center"/>
                  <w:hideMark/>
                </w:tcPr>
                <w:p w:rsidR="00740B52" w:rsidRPr="00E750DF" w:rsidRDefault="00740B52"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The provisions under this heading only apply if:</w:t>
                  </w:r>
                </w:p>
                <w:p w:rsidR="00740B52" w:rsidRPr="00E750DF" w:rsidRDefault="00740B52" w:rsidP="00532B53">
                  <w:pPr>
                    <w:numPr>
                      <w:ilvl w:val="0"/>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the development is for, or incorporates:</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reconfiguring a lot for a community title scheme creating 1 or more vacant lots;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2 or more sole occupancy units on the same lot, or within the same community titles scheme;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a Tourist park</w:t>
                  </w:r>
                  <w:r w:rsidRPr="00E750DF">
                    <w:rPr>
                      <w:rFonts w:ascii="Arial" w:eastAsia="Times New Roman" w:hAnsi="Arial" w:cs="Arial"/>
                      <w:sz w:val="18"/>
                      <w:szCs w:val="18"/>
                      <w:vertAlign w:val="superscript"/>
                      <w:lang w:eastAsia="en-AU"/>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750DF">
                      <w:rPr>
                        <w:rFonts w:ascii="Arial" w:eastAsia="Times New Roman" w:hAnsi="Arial" w:cs="Arial"/>
                        <w:color w:val="0000FF"/>
                        <w:sz w:val="18"/>
                        <w:szCs w:val="18"/>
                        <w:u w:val="single"/>
                        <w:vertAlign w:val="superscript"/>
                        <w:lang w:eastAsia="en-AU"/>
                      </w:rPr>
                      <w:t>84</w:t>
                    </w:r>
                  </w:hyperlink>
                  <w:r w:rsidRPr="00E750DF">
                    <w:rPr>
                      <w:rFonts w:ascii="Arial" w:eastAsia="Times New Roman" w:hAnsi="Arial" w:cs="Arial"/>
                      <w:sz w:val="18"/>
                      <w:szCs w:val="18"/>
                      <w:vertAlign w:val="superscript"/>
                      <w:lang w:eastAsia="en-AU"/>
                    </w:rPr>
                    <w:t>)</w:t>
                  </w:r>
                  <w:r w:rsidRPr="00E750DF">
                    <w:rPr>
                      <w:rFonts w:ascii="Arial" w:eastAsia="Times New Roman" w:hAnsi="Arial" w:cs="Arial"/>
                      <w:sz w:val="18"/>
                      <w:szCs w:val="18"/>
                      <w:lang w:eastAsia="en-AU"/>
                    </w:rPr>
                    <w:t xml:space="preserve"> with accommodation in the form of caravans or tents;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outdoor sales</w:t>
                  </w:r>
                  <w:r w:rsidRPr="00E750DF">
                    <w:rPr>
                      <w:rFonts w:ascii="Arial" w:eastAsia="Times New Roman" w:hAnsi="Arial" w:cs="Arial"/>
                      <w:sz w:val="18"/>
                      <w:szCs w:val="18"/>
                      <w:vertAlign w:val="superscript"/>
                      <w:lang w:eastAsia="en-AU"/>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750DF">
                      <w:rPr>
                        <w:rFonts w:ascii="Arial" w:eastAsia="Times New Roman" w:hAnsi="Arial" w:cs="Arial"/>
                        <w:color w:val="0000FF"/>
                        <w:sz w:val="18"/>
                        <w:szCs w:val="18"/>
                        <w:u w:val="single"/>
                        <w:vertAlign w:val="superscript"/>
                        <w:lang w:eastAsia="en-AU"/>
                      </w:rPr>
                      <w:t>54</w:t>
                    </w:r>
                  </w:hyperlink>
                  <w:r w:rsidRPr="00E750DF">
                    <w:rPr>
                      <w:rFonts w:ascii="Arial" w:eastAsia="Times New Roman" w:hAnsi="Arial" w:cs="Arial"/>
                      <w:sz w:val="18"/>
                      <w:szCs w:val="18"/>
                      <w:vertAlign w:val="superscript"/>
                      <w:lang w:eastAsia="en-AU"/>
                    </w:rPr>
                    <w:t>)</w:t>
                  </w:r>
                  <w:r w:rsidRPr="00E750DF">
                    <w:rPr>
                      <w:rFonts w:ascii="Arial" w:eastAsia="Times New Roman" w:hAnsi="Arial" w:cs="Arial"/>
                      <w:sz w:val="18"/>
                      <w:szCs w:val="18"/>
                      <w:lang w:eastAsia="en-AU"/>
                    </w:rPr>
                    <w:t>, outdoor processing or outdoor storage where involving combustible materials.</w:t>
                  </w:r>
                </w:p>
                <w:p w:rsidR="00740B52" w:rsidRPr="00E750DF" w:rsidRDefault="00740B52"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AND</w:t>
                  </w:r>
                </w:p>
                <w:p w:rsidR="00740B52" w:rsidRPr="00E750DF" w:rsidRDefault="00740B52" w:rsidP="00532B53">
                  <w:pPr>
                    <w:numPr>
                      <w:ilvl w:val="0"/>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none of the following exceptions apply:</w:t>
                  </w:r>
                </w:p>
                <w:p w:rsidR="00740B52" w:rsidRPr="00E750DF" w:rsidRDefault="00740B52" w:rsidP="00532B53">
                  <w:pPr>
                    <w:numPr>
                      <w:ilvl w:val="1"/>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 xml:space="preserve">the distributor-retailer for the area has indicated, in its </w:t>
                  </w:r>
                  <w:proofErr w:type="spellStart"/>
                  <w:r w:rsidRPr="00E750DF">
                    <w:rPr>
                      <w:rFonts w:ascii="Arial" w:eastAsia="Times New Roman" w:hAnsi="Arial" w:cs="Arial"/>
                      <w:sz w:val="18"/>
                      <w:szCs w:val="18"/>
                      <w:lang w:eastAsia="en-AU"/>
                    </w:rPr>
                    <w:t>netserv</w:t>
                  </w:r>
                  <w:proofErr w:type="spellEnd"/>
                  <w:r w:rsidRPr="00E750DF">
                    <w:rPr>
                      <w:rFonts w:ascii="Arial" w:eastAsia="Times New Roman" w:hAnsi="Arial" w:cs="Arial"/>
                      <w:sz w:val="18"/>
                      <w:szCs w:val="18"/>
                      <w:lang w:eastAsia="en-AU"/>
                    </w:rPr>
                    <w:t xml:space="preserve"> plan, that the premises will not be served by that entity’s reticulated water supply; or</w:t>
                  </w:r>
                </w:p>
                <w:p w:rsidR="00740B52" w:rsidRPr="00E750DF" w:rsidRDefault="00740B52" w:rsidP="00532B53">
                  <w:pPr>
                    <w:numPr>
                      <w:ilvl w:val="1"/>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every part of the development site is within 60m walking distance of an existing fire hydrant on the distributor-retailer’s reticulated water supply network, measured around all obstructions, either on or adjacent to the site.</w:t>
                  </w:r>
                </w:p>
              </w:tc>
            </w:tr>
            <w:tr w:rsidR="00740B52" w:rsidRPr="00D7355A" w:rsidTr="00D7355A">
              <w:trPr>
                <w:tblCellSpacing w:w="15" w:type="dxa"/>
              </w:trPr>
              <w:tc>
                <w:tcPr>
                  <w:tcW w:w="15066" w:type="dxa"/>
                  <w:vAlign w:val="center"/>
                  <w:hideMark/>
                </w:tcPr>
                <w:p w:rsidR="00740B52" w:rsidRPr="00E750DF" w:rsidRDefault="00740B52" w:rsidP="002221EB">
                  <w:pPr>
                    <w:spacing w:after="0"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E750DF">
                    <w:rPr>
                      <w:rFonts w:ascii="Arial" w:eastAsia="Times New Roman" w:hAnsi="Arial" w:cs="Arial"/>
                      <w:sz w:val="18"/>
                      <w:szCs w:val="18"/>
                      <w:lang w:eastAsia="en-AU"/>
                    </w:rPr>
                    <w:t>fire fighting</w:t>
                  </w:r>
                  <w:proofErr w:type="spellEnd"/>
                  <w:r w:rsidRPr="00E750DF">
                    <w:rPr>
                      <w:rFonts w:ascii="Arial" w:eastAsia="Times New Roman" w:hAnsi="Arial" w:cs="Arial"/>
                      <w:sz w:val="18"/>
                      <w:szCs w:val="18"/>
                      <w:lang w:eastAsia="en-AU"/>
                    </w:rPr>
                    <w:t xml:space="preserve"> facilities which provide equivalent protection.</w:t>
                  </w:r>
                </w:p>
              </w:tc>
            </w:tr>
          </w:tbl>
          <w:p w:rsidR="00740B52" w:rsidRPr="00D7355A" w:rsidRDefault="00740B52"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incorporates a fire fighting system that:</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satisfies the reasonable needs of the </w:t>
            </w:r>
            <w:proofErr w:type="spellStart"/>
            <w:r w:rsidRPr="00D7355A">
              <w:rPr>
                <w:rFonts w:ascii="Arial" w:eastAsia="Times New Roman" w:hAnsi="Arial" w:cs="Arial"/>
                <w:sz w:val="20"/>
                <w:szCs w:val="20"/>
                <w:lang w:eastAsia="en-AU"/>
              </w:rPr>
              <w:t>fire fighting</w:t>
            </w:r>
            <w:proofErr w:type="spellEnd"/>
            <w:r w:rsidRPr="00D7355A">
              <w:rPr>
                <w:rFonts w:ascii="Arial" w:eastAsia="Times New Roman" w:hAnsi="Arial" w:cs="Arial"/>
                <w:sz w:val="20"/>
                <w:szCs w:val="20"/>
                <w:lang w:eastAsia="en-AU"/>
              </w:rPr>
              <w:t xml:space="preserve">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appropriate for the size, shape and topography of the development and its surrounds;</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is compatible with the operational equipment available to the </w:t>
            </w:r>
            <w:proofErr w:type="spellStart"/>
            <w:r w:rsidRPr="00D7355A">
              <w:rPr>
                <w:rFonts w:ascii="Arial" w:eastAsia="Times New Roman" w:hAnsi="Arial" w:cs="Arial"/>
                <w:sz w:val="20"/>
                <w:szCs w:val="20"/>
                <w:lang w:eastAsia="en-AU"/>
              </w:rPr>
              <w:t>fire fighting</w:t>
            </w:r>
            <w:proofErr w:type="spellEnd"/>
            <w:r w:rsidRPr="00D7355A">
              <w:rPr>
                <w:rFonts w:ascii="Arial" w:eastAsia="Times New Roman" w:hAnsi="Arial" w:cs="Arial"/>
                <w:sz w:val="20"/>
                <w:szCs w:val="20"/>
                <w:lang w:eastAsia="en-AU"/>
              </w:rPr>
              <w:t xml:space="preserve">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materials comprising the development and their proximity to one another;</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surrounds to the development site;</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The Queensland Fire and Emergency Services is the entity currently providing the </w:t>
                  </w:r>
                  <w:proofErr w:type="spellStart"/>
                  <w:r w:rsidRPr="00740B52">
                    <w:rPr>
                      <w:rFonts w:ascii="Arial" w:eastAsia="Times New Roman" w:hAnsi="Arial" w:cs="Arial"/>
                      <w:sz w:val="18"/>
                      <w:szCs w:val="20"/>
                      <w:lang w:eastAsia="en-AU"/>
                    </w:rPr>
                    <w:t>fire fighting</w:t>
                  </w:r>
                  <w:proofErr w:type="spellEnd"/>
                  <w:r w:rsidRPr="00740B52">
                    <w:rPr>
                      <w:rFonts w:ascii="Arial" w:eastAsia="Times New Roman" w:hAnsi="Arial" w:cs="Arial"/>
                      <w:sz w:val="18"/>
                      <w:szCs w:val="20"/>
                      <w:lang w:eastAsia="en-AU"/>
                    </w:rPr>
                    <w:t xml:space="preserve"> function for the urban areas of the Moreton Bay Region.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External fire hydrant facilities are provided on site to the standard prescribed under the relevant parts of </w:t>
            </w:r>
            <w:r w:rsidRPr="00D7355A">
              <w:rPr>
                <w:rFonts w:ascii="Arial" w:eastAsiaTheme="minorEastAsia" w:hAnsi="Arial" w:cs="Arial"/>
                <w:i/>
                <w:iCs/>
                <w:sz w:val="20"/>
                <w:szCs w:val="20"/>
                <w:lang w:eastAsia="en-AU"/>
              </w:rPr>
              <w:t>Australian Standard AS 2419.1 (2005) – Fire Hydrant Installations</w:t>
            </w:r>
            <w:r w:rsidRPr="00D7355A">
              <w:rPr>
                <w:rFonts w:ascii="Arial" w:eastAsiaTheme="minorEastAsia"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For this requirement for accepted development, the following are the relevant parts of AS 2419.1 (2005) that may be applicable: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 regard to the form of any fire hydrant - Part 8.5 and Part 3.2.2.1, with the exception that for Tourist parks</w:t>
                  </w:r>
                  <w:r w:rsidRPr="00D7355A">
                    <w:rPr>
                      <w:rFonts w:ascii="Arial" w:eastAsia="Times New Roman" w:hAnsi="Arial" w:cs="Arial"/>
                      <w:sz w:val="20"/>
                      <w:szCs w:val="20"/>
                      <w:vertAlign w:val="superscript"/>
                      <w:lang w:eastAsia="en-AU"/>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7355A">
                      <w:rPr>
                        <w:rFonts w:ascii="Arial" w:eastAsia="Times New Roman" w:hAnsi="Arial" w:cs="Arial"/>
                        <w:color w:val="0000FF"/>
                        <w:sz w:val="20"/>
                        <w:szCs w:val="20"/>
                        <w:u w:val="single"/>
                        <w:vertAlign w:val="superscript"/>
                        <w:lang w:eastAsia="en-AU"/>
                      </w:rPr>
                      <w:t>84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general locational requirements for fire hydrants - Part 3.2.2.2 </w:t>
                  </w:r>
                  <w:r w:rsidRPr="00D7355A">
                    <w:rPr>
                      <w:rFonts w:ascii="Arial" w:eastAsia="Times New Roman" w:hAnsi="Arial" w:cs="Arial"/>
                      <w:sz w:val="20"/>
                      <w:szCs w:val="20"/>
                      <w:lang w:eastAsia="en-AU"/>
                    </w:rPr>
                    <w:lastRenderedPageBreak/>
                    <w:t>(a), (e), (f), (g) and (h) as well as Appendix B of AS 2419.1 (2005);</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proximity of hydrants to buildings and other facilities - Part 3.2.2.2 (b), (c) and (d), with the exception that:</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dwellings and their associated outbuildings, hydrant coverage need only extend to the roof and external walls of those buildings;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caravans and tents, hydrant coverage need only extend to the roof of those tents and caravans;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outdoor sales</w:t>
                  </w:r>
                  <w:r w:rsidRPr="00D7355A">
                    <w:rPr>
                      <w:rFonts w:ascii="Arial" w:eastAsia="Times New Roman" w:hAnsi="Arial" w:cs="Arial"/>
                      <w:sz w:val="20"/>
                      <w:szCs w:val="20"/>
                      <w:vertAlign w:val="superscript"/>
                      <w:lang w:eastAsia="en-AU"/>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processing or storage facilities, hydrant coverage is required across the entire area of the outdoor sales</w:t>
                  </w:r>
                  <w:r w:rsidRPr="00D7355A">
                    <w:rPr>
                      <w:rFonts w:ascii="Arial" w:eastAsia="Times New Roman" w:hAnsi="Arial" w:cs="Arial"/>
                      <w:sz w:val="20"/>
                      <w:szCs w:val="20"/>
                      <w:vertAlign w:val="superscript"/>
                      <w:lang w:eastAsia="en-AU"/>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outdoor processing and outdoor storage facilities;</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fire hydrant accessibility and clearance requirements - Part 3.5 and, where applicable, Part 3.6.</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width of no less than 3.5m;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height of no less than 4.8m;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constructed to be readily traversed by a 17 tonne HRV fire brigade pumping appliance;</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area for a fire brigade pumping appliance to stand within 20m of each fire hydrant and 8m of each hydrant booster point.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 facilities are maintained in effective operating order in a manner prescribed in </w:t>
            </w:r>
            <w:r w:rsidRPr="00D7355A">
              <w:rPr>
                <w:rFonts w:ascii="Arial" w:eastAsiaTheme="minorEastAsia" w:hAnsi="Arial" w:cs="Arial"/>
                <w:i/>
                <w:iCs/>
                <w:sz w:val="20"/>
                <w:szCs w:val="20"/>
                <w:lang w:eastAsia="en-AU"/>
              </w:rPr>
              <w:t xml:space="preserve">Australian </w:t>
            </w:r>
            <w:r w:rsidRPr="00D7355A">
              <w:rPr>
                <w:rFonts w:ascii="Arial" w:eastAsiaTheme="minorEastAsia" w:hAnsi="Arial" w:cs="Arial"/>
                <w:i/>
                <w:iCs/>
                <w:sz w:val="20"/>
                <w:szCs w:val="20"/>
                <w:lang w:eastAsia="en-AU"/>
              </w:rPr>
              <w:lastRenderedPageBreak/>
              <w:t>Standard AS1851 (2012) – Routine service of fire protection systems and equipment</w:t>
            </w:r>
            <w:r w:rsidRPr="00D7355A">
              <w:rPr>
                <w:rFonts w:ascii="Arial" w:eastAsiaTheme="minorEastAsia" w:hAnsi="Arial" w:cs="Arial"/>
                <w:sz w:val="20"/>
                <w:szCs w:val="20"/>
                <w:lang w:eastAsia="en-AU"/>
              </w:rPr>
              <w: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hydrants that are external to buildings, as well as the available </w:t>
            </w:r>
            <w:proofErr w:type="spellStart"/>
            <w:r w:rsidRPr="00D7355A">
              <w:rPr>
                <w:rFonts w:ascii="Arial" w:eastAsiaTheme="minorEastAsia" w:hAnsi="Arial" w:cs="Arial"/>
                <w:sz w:val="20"/>
                <w:szCs w:val="20"/>
                <w:lang w:eastAsia="en-AU"/>
              </w:rPr>
              <w:t>fire fighting</w:t>
            </w:r>
            <w:proofErr w:type="spellEnd"/>
            <w:r w:rsidRPr="00D7355A">
              <w:rPr>
                <w:rFonts w:ascii="Arial" w:eastAsiaTheme="minorEastAsia" w:hAnsi="Arial" w:cs="Arial"/>
                <w:sz w:val="20"/>
                <w:szCs w:val="20"/>
                <w:lang w:eastAsia="en-AU"/>
              </w:rPr>
              <w:t xml:space="preserve"> appliance access routes to those hydrants, </w:t>
            </w:r>
            <w:proofErr w:type="gramStart"/>
            <w:r w:rsidRPr="00D7355A">
              <w:rPr>
                <w:rFonts w:ascii="Arial" w:eastAsiaTheme="minorEastAsia" w:hAnsi="Arial" w:cs="Arial"/>
                <w:sz w:val="20"/>
                <w:szCs w:val="20"/>
                <w:lang w:eastAsia="en-AU"/>
              </w:rPr>
              <w:t>can be readily identified at all times</w:t>
            </w:r>
            <w:proofErr w:type="gramEnd"/>
            <w:r w:rsidRPr="00D7355A">
              <w:rPr>
                <w:rFonts w:ascii="Arial" w:eastAsiaTheme="minorEastAsia" w:hAnsi="Arial" w:cs="Arial"/>
                <w:sz w:val="20"/>
                <w:szCs w:val="20"/>
                <w:lang w:eastAsia="en-AU"/>
              </w:rPr>
              <w:t xml:space="preserve"> from, or at, the vehicular entry point to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development that contains on-site fire hydrants external to buildings:</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those external hydrants can be seen from the vehicular entry point to the site; or</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sign identifying the following is provided at the vehicular entry point to the site: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overall layout of the development (to scale);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road names (where used);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communal facilities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reception area and on-site manager’s office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external hydrants and hydrant booster points;</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physical constraints within the internal roadway system which would restrict access by </w:t>
            </w:r>
            <w:proofErr w:type="spellStart"/>
            <w:r w:rsidRPr="00D7355A">
              <w:rPr>
                <w:rFonts w:ascii="Arial" w:eastAsiaTheme="minorEastAsia" w:hAnsi="Arial" w:cs="Arial"/>
                <w:sz w:val="20"/>
                <w:szCs w:val="20"/>
                <w:lang w:eastAsia="en-AU"/>
              </w:rPr>
              <w:t>fire fighting</w:t>
            </w:r>
            <w:proofErr w:type="spellEnd"/>
            <w:r w:rsidRPr="00D7355A">
              <w:rPr>
                <w:rFonts w:ascii="Arial" w:eastAsiaTheme="minorEastAsia" w:hAnsi="Arial" w:cs="Arial"/>
                <w:sz w:val="20"/>
                <w:szCs w:val="20"/>
                <w:lang w:eastAsia="en-AU"/>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sign prescribed above, and the graphics used are to be: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in a form;</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of a size;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illuminated to a level;</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which allows the information on the sign to be readily understood, </w:t>
                  </w:r>
                  <w:proofErr w:type="gramStart"/>
                  <w:r w:rsidRPr="00740B52">
                    <w:rPr>
                      <w:rFonts w:ascii="Arial" w:eastAsiaTheme="minorEastAsia" w:hAnsi="Arial" w:cs="Arial"/>
                      <w:sz w:val="18"/>
                      <w:szCs w:val="20"/>
                      <w:lang w:eastAsia="en-AU"/>
                    </w:rPr>
                    <w:t>at all times</w:t>
                  </w:r>
                  <w:proofErr w:type="gramEnd"/>
                  <w:r w:rsidRPr="00740B52">
                    <w:rPr>
                      <w:rFonts w:ascii="Arial" w:eastAsiaTheme="minorEastAsia" w:hAnsi="Arial" w:cs="Arial"/>
                      <w:sz w:val="18"/>
                      <w:szCs w:val="20"/>
                      <w:lang w:eastAsia="en-AU"/>
                    </w:rPr>
                    <w:t>, by a person in a fire fighting appliance up to 4.5m from the 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Each on-site fire hydrant that is external to a building is signposted in a way that </w:t>
            </w:r>
            <w:proofErr w:type="gramStart"/>
            <w:r w:rsidRPr="00D7355A">
              <w:rPr>
                <w:rFonts w:ascii="Arial" w:eastAsiaTheme="minorEastAsia" w:hAnsi="Arial" w:cs="Arial"/>
                <w:sz w:val="20"/>
                <w:szCs w:val="20"/>
                <w:lang w:eastAsia="en-AU"/>
              </w:rPr>
              <w:t xml:space="preserve">enables it to be readily identified </w:t>
            </w:r>
            <w:r w:rsidRPr="00D7355A">
              <w:rPr>
                <w:rFonts w:ascii="Arial" w:eastAsiaTheme="minorEastAsia" w:hAnsi="Arial" w:cs="Arial"/>
                <w:sz w:val="20"/>
                <w:szCs w:val="20"/>
                <w:lang w:eastAsia="en-AU"/>
              </w:rPr>
              <w:lastRenderedPageBreak/>
              <w:t>at all times</w:t>
            </w:r>
            <w:proofErr w:type="gramEnd"/>
            <w:r w:rsidRPr="00D7355A">
              <w:rPr>
                <w:rFonts w:ascii="Arial" w:eastAsiaTheme="minorEastAsia" w:hAnsi="Arial" w:cs="Arial"/>
                <w:sz w:val="20"/>
                <w:szCs w:val="20"/>
                <w:lang w:eastAsia="en-AU"/>
              </w:rPr>
              <w:t xml:space="preserve"> by the occupants of any firefighting appliance traversing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For development that contains on-site fire hydrants external to buildings, those hydrants are identified by </w:t>
            </w:r>
            <w:r w:rsidRPr="00D7355A">
              <w:rPr>
                <w:rFonts w:ascii="Arial" w:eastAsiaTheme="minorEastAsia" w:hAnsi="Arial" w:cs="Arial"/>
                <w:sz w:val="20"/>
                <w:szCs w:val="20"/>
                <w:lang w:eastAsia="en-AU"/>
              </w:rPr>
              <w:lastRenderedPageBreak/>
              <w:t xml:space="preserve">way of marker posts and raised reflective pavement markers in the manner prescribed in the technical note </w:t>
            </w:r>
            <w:r w:rsidRPr="00D7355A">
              <w:rPr>
                <w:rFonts w:ascii="Arial" w:eastAsiaTheme="minorEastAsia" w:hAnsi="Arial" w:cs="Arial"/>
                <w:i/>
                <w:iCs/>
                <w:sz w:val="20"/>
                <w:szCs w:val="20"/>
                <w:lang w:eastAsia="en-AU"/>
              </w:rPr>
              <w:t>Fire hydrant indication system</w:t>
            </w:r>
            <w:r w:rsidRPr="00D7355A">
              <w:rPr>
                <w:rFonts w:ascii="Arial" w:eastAsiaTheme="minorEastAsia" w:hAnsi="Arial" w:cs="Arial"/>
                <w:sz w:val="20"/>
                <w:szCs w:val="20"/>
                <w:lang w:eastAsia="en-AU"/>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448"/>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Use specific criteria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Industrial land uses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Ancillary office</w:t>
            </w:r>
            <w:r w:rsidRPr="00D7355A">
              <w:rPr>
                <w:rFonts w:ascii="Arial" w:eastAsiaTheme="minorEastAsia" w:hAnsi="Arial" w:cs="Arial"/>
                <w:sz w:val="20"/>
                <w:szCs w:val="20"/>
                <w:vertAlign w:val="superscript"/>
                <w:lang w:eastAsia="en-AU"/>
              </w:rPr>
              <w:t>(</w:t>
            </w:r>
            <w:hyperlink r:id="rId2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administration functions, retail sales and customer service components do not compromise the primary use of the site for industrial purposes or compromise the viability, role or function of the Caboolture West centres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combined area of ancillary non-industrial activities, including but not limited to offices</w:t>
            </w:r>
            <w:r w:rsidRPr="00D7355A">
              <w:rPr>
                <w:rFonts w:ascii="Arial" w:eastAsiaTheme="minorEastAsia" w:hAnsi="Arial" w:cs="Arial"/>
                <w:sz w:val="20"/>
                <w:szCs w:val="20"/>
                <w:vertAlign w:val="superscript"/>
                <w:lang w:eastAsia="en-AU"/>
              </w:rPr>
              <w:t>(</w:t>
            </w:r>
            <w:hyperlink r:id="rId2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administration functions, display and retail sale of commodities, articles or goods resulting from the industrial processes on-site, does not exceed 30% of the GFA or 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whichever is the lesser.</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06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directly adjoining non-Enterprise and employment precinct land:</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compatible with the character of the adjoining area;</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minimise overlooking and overshadowing;</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maintain privacy;</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 not cause significant loss of amenity to </w:t>
            </w:r>
            <w:proofErr w:type="gramStart"/>
            <w:r w:rsidRPr="00D7355A">
              <w:rPr>
                <w:rFonts w:ascii="Arial" w:eastAsiaTheme="minorEastAsia" w:hAnsi="Arial" w:cs="Arial"/>
                <w:sz w:val="20"/>
                <w:szCs w:val="20"/>
                <w:lang w:eastAsia="en-AU"/>
              </w:rPr>
              <w:t>neighbouring</w:t>
            </w:r>
            <w:proofErr w:type="gramEnd"/>
            <w:r w:rsidRPr="00D7355A">
              <w:rPr>
                <w:rFonts w:ascii="Arial" w:eastAsiaTheme="minorEastAsia" w:hAnsi="Arial" w:cs="Arial"/>
                <w:sz w:val="20"/>
                <w:szCs w:val="20"/>
                <w:lang w:eastAsia="en-AU"/>
              </w:rPr>
              <w:t xml:space="preserve"> residents by way of noise, vibration, odour, lighting, traffic generation and hours of operation.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Non-industrial components of buildings (including offices and retail areas) are designed as </w:t>
            </w:r>
            <w:proofErr w:type="gramStart"/>
            <w:r w:rsidRPr="00D7355A">
              <w:rPr>
                <w:rFonts w:ascii="Arial" w:eastAsiaTheme="minorEastAsia" w:hAnsi="Arial" w:cs="Arial"/>
                <w:sz w:val="20"/>
                <w:szCs w:val="20"/>
                <w:lang w:eastAsia="en-AU"/>
              </w:rPr>
              <w:t>high quality</w:t>
            </w:r>
            <w:proofErr w:type="gramEnd"/>
            <w:r w:rsidRPr="00D7355A">
              <w:rPr>
                <w:rFonts w:ascii="Arial" w:eastAsiaTheme="minorEastAsia" w:hAnsi="Arial" w:cs="Arial"/>
                <w:sz w:val="20"/>
                <w:szCs w:val="20"/>
                <w:lang w:eastAsia="en-AU"/>
              </w:rPr>
              <w:t xml:space="preserve"> architectural features and incorporate entry area </w:t>
            </w:r>
            <w:r w:rsidRPr="00D7355A">
              <w:rPr>
                <w:rFonts w:ascii="Arial" w:eastAsiaTheme="minorEastAsia" w:hAnsi="Arial" w:cs="Arial"/>
                <w:sz w:val="20"/>
                <w:szCs w:val="20"/>
                <w:lang w:eastAsia="en-AU"/>
              </w:rPr>
              <w:lastRenderedPageBreak/>
              <w:t xml:space="preserve">elements such as forecourts, awnings and the architectural treatment of roof lines and </w:t>
            </w:r>
            <w:proofErr w:type="spellStart"/>
            <w:r w:rsidRPr="00D7355A">
              <w:rPr>
                <w:rFonts w:ascii="Arial" w:eastAsiaTheme="minorEastAsia" w:hAnsi="Arial" w:cs="Arial"/>
                <w:sz w:val="20"/>
                <w:szCs w:val="20"/>
                <w:lang w:eastAsia="en-AU"/>
              </w:rPr>
              <w:t>fascias</w:t>
            </w:r>
            <w:proofErr w:type="spellEnd"/>
            <w:r w:rsidRPr="00D7355A">
              <w:rPr>
                <w:rFonts w:ascii="Arial" w:eastAsiaTheme="minorEastAsia" w:hAnsi="Arial" w:cs="Arial"/>
                <w:sz w:val="20"/>
                <w:szCs w:val="20"/>
                <w:lang w:eastAsia="en-AU"/>
              </w:rPr>
              <w: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Non-industrial land uses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With the exception of caretaker's accommodation</w:t>
            </w:r>
            <w:r w:rsidRPr="00D7355A">
              <w:rPr>
                <w:rFonts w:ascii="Arial" w:eastAsiaTheme="minorEastAsia" w:hAnsi="Arial" w:cs="Arial"/>
                <w:sz w:val="20"/>
                <w:szCs w:val="20"/>
                <w:vertAlign w:val="superscript"/>
                <w:lang w:eastAsia="en-AU"/>
              </w:rPr>
              <w:t>(</w:t>
            </w:r>
            <w:hyperlink r:id="rId22"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residential and other sensitive land uses do not establish within the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4455"/>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Non-industrial uses: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consolidated with existing non-industrial uses in the sub-precinct;</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compromise the viability, role or function of the Caboolture West's centres network;</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not subject to adverse amenity impacts or risk to health from industrial activities;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constrain the function or viability of future industrial activities in Enterprise and employment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submission of an Economic Impact Report or Hazard and Nuisance Mitigation Plan may be required to justify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located on a Local street, non-industrial uses provide only direct convenience retail or services to the industrial workforce.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Traffic generated by non-industrial uses does not detrimentally impact the operation and functionality of the external road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PO68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design of non-industrial buildings in the Light industry sub-precinct:</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contributes to a safe environment (e.g.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lighting and not resulting in concealed recesses or potential entrapment areas);</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incorporates architectural features within the building facade at the street level to create human scale (e.g. awnings).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entrances:</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readily identifiable from the road frontage;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 visual interest to the streetscape;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designed to limit opportunities for concealment;</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located and oriented to favour active and public transport usage by connecting to pedestrian footpaths on the street frontage and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design provisions for footpaths outlined in Planning scheme policy - Integrated design may assist in demonstrating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E69.1</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main entrance to the building is clearly visible from and addresses the primary street frontage.</w:t>
            </w:r>
          </w:p>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building does not adjoin the street frontage, a dedicated and sealed pedestrian footpath is provided between the street frontage and the building entrance.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09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of caretaker's accommodation</w:t>
            </w:r>
            <w:r w:rsidRPr="00D7355A">
              <w:rPr>
                <w:rFonts w:ascii="Arial" w:eastAsiaTheme="minorEastAsia" w:hAnsi="Arial" w:cs="Arial"/>
                <w:sz w:val="20"/>
                <w:szCs w:val="20"/>
                <w:vertAlign w:val="superscript"/>
                <w:lang w:eastAsia="en-AU"/>
              </w:rPr>
              <w:t>(</w:t>
            </w:r>
            <w:hyperlink r:id="rId23"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compromise the productivity of the use occurring on-site and in the surrounding area;</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domestic in scale;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adequate car parking provisions exclusive on the primary use of the site;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 for the residents;</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regard to the open space and recreation needs of the residents.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Caretaker's accommodation</w:t>
            </w:r>
            <w:r w:rsidRPr="00D7355A">
              <w:rPr>
                <w:rFonts w:ascii="Arial" w:eastAsiaTheme="minorEastAsia" w:hAnsi="Arial" w:cs="Arial"/>
                <w:sz w:val="20"/>
                <w:szCs w:val="20"/>
                <w:vertAlign w:val="superscript"/>
                <w:lang w:eastAsia="en-AU"/>
              </w:rPr>
              <w:t>(</w:t>
            </w:r>
            <w:hyperlink r:id="rId24"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a maximum GFA is 80m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gain access from a separate driveway to that of the industrial use;</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 minimum 16m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of private open space directly accessible from a habitable room;</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car parking in accordance with the car parking rates table.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80"/>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Major electricity infrastructure, Substation and Utility installation</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165"/>
          <w:tblCellSpacing w:w="15" w:type="dxa"/>
        </w:trPr>
        <w:tc>
          <w:tcPr>
            <w:tcW w:w="1698" w:type="pct"/>
            <w:vMerge w:val="restar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have an adverse impact on the visual amenity of a locality and is: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minimise surrounding land use conflicts by ensuring infrastructure, buildings, structures and other equipment:</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enclosed within buildings or structures;</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behind the main building line;</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a similar height, bulk and scale to the surrounding fabric;</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horizontal and vertical articulation applied to all exterior walls.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55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outside of the fenced area, between the development and street frontage, side and rear boundaries.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Infrastructure does not have an impact on pedestrian health and safety.</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control arrangements: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do not create dead-ends or dark alleyways adjacent to the infrastructure;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the number and width of crossovers and entry points;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provide safe vehicular access to the site;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utilise barbed wire or razor wire.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642"/>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generates no audible sound at the site boundaries where in a residential setting; or</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meet the objectives as set out in the Environmental Protection (Noise) Policy 2008.</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equipment which produces audible or non-audible sound is housed within a fully enclosed building incorporating sound control measures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to ensure noise emissions meet the objectives as set out in the Environmental Protection (Noise) Policy 2008.</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Telecommunications facility</w:t>
            </w:r>
            <w:r w:rsidRPr="00D7355A">
              <w:rPr>
                <w:rFonts w:ascii="Arial" w:eastAsiaTheme="minorEastAsia" w:hAnsi="Arial" w:cs="Arial"/>
                <w:sz w:val="20"/>
                <w:szCs w:val="20"/>
                <w:vertAlign w:val="superscript"/>
                <w:lang w:eastAsia="en-AU"/>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 xml:space="preserve">Editor's note - In accordance with the Federal legislation Telecommunications facilities </w:t>
                  </w:r>
                  <w:r w:rsidRPr="00E750DF">
                    <w:rPr>
                      <w:rFonts w:ascii="Arial" w:eastAsiaTheme="minorEastAsia" w:hAnsi="Arial" w:cs="Arial"/>
                      <w:sz w:val="18"/>
                      <w:szCs w:val="18"/>
                      <w:vertAlign w:val="superscript"/>
                      <w:lang w:eastAsia="en-AU"/>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E750DF">
                      <w:rPr>
                        <w:rFonts w:ascii="Arial" w:eastAsiaTheme="minorEastAsia" w:hAnsi="Arial" w:cs="Arial"/>
                        <w:color w:val="0000FF"/>
                        <w:sz w:val="18"/>
                        <w:szCs w:val="18"/>
                        <w:u w:val="single"/>
                        <w:vertAlign w:val="superscript"/>
                        <w:lang w:eastAsia="en-AU"/>
                      </w:rPr>
                      <w:t>81</w:t>
                    </w:r>
                  </w:hyperlink>
                  <w:r w:rsidRPr="00E750DF">
                    <w:rPr>
                      <w:rFonts w:ascii="Arial" w:eastAsiaTheme="minorEastAsia" w:hAnsi="Arial" w:cs="Arial"/>
                      <w:sz w:val="18"/>
                      <w:szCs w:val="18"/>
                      <w:vertAlign w:val="superscript"/>
                      <w:lang w:eastAsia="en-AU"/>
                    </w:rPr>
                    <w:t>)</w:t>
                  </w:r>
                  <w:r w:rsidRPr="00E750DF">
                    <w:rPr>
                      <w:rFonts w:ascii="Arial" w:eastAsiaTheme="minorEastAsia" w:hAnsi="Arial" w:cs="Arial"/>
                      <w:sz w:val="18"/>
                      <w:szCs w:val="18"/>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52"/>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with existing telecommunications facilities</w:t>
            </w:r>
            <w:r w:rsidRPr="00D7355A">
              <w:rPr>
                <w:rFonts w:ascii="Arial" w:eastAsiaTheme="minorEastAsia" w:hAnsi="Arial" w:cs="Arial"/>
                <w:sz w:val="20"/>
                <w:szCs w:val="20"/>
                <w:vertAlign w:val="superscript"/>
                <w:lang w:eastAsia="en-AU"/>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Utility installation</w:t>
            </w:r>
            <w:r w:rsidRPr="00D7355A">
              <w:rPr>
                <w:rFonts w:ascii="Arial" w:eastAsiaTheme="minorEastAsia" w:hAnsi="Arial" w:cs="Arial"/>
                <w:sz w:val="20"/>
                <w:szCs w:val="20"/>
                <w:vertAlign w:val="superscript"/>
                <w:lang w:eastAsia="en-AU"/>
              </w:rPr>
              <w:t>(</w:t>
            </w:r>
            <w:hyperlink r:id="rId29" w:anchor="target-d768251e572573" w:tooltip="Utility installation - Premises used to provide the public with the following services:" w:history="1">
              <w:r w:rsidRPr="00D7355A">
                <w:rPr>
                  <w:rFonts w:ascii="Arial" w:eastAsiaTheme="minorEastAsia" w:hAnsi="Arial" w:cs="Arial"/>
                  <w:color w:val="0000FF"/>
                  <w:sz w:val="20"/>
                  <w:szCs w:val="20"/>
                  <w:u w:val="single"/>
                  <w:vertAlign w:val="superscript"/>
                  <w:lang w:eastAsia="en-AU"/>
                </w:rPr>
                <w:t>86</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Major electricity infrastructure</w:t>
            </w:r>
            <w:r w:rsidRPr="00D7355A">
              <w:rPr>
                <w:rFonts w:ascii="Arial" w:eastAsiaTheme="minorEastAsia" w:hAnsi="Arial" w:cs="Arial"/>
                <w:sz w:val="20"/>
                <w:szCs w:val="20"/>
                <w:vertAlign w:val="superscript"/>
                <w:lang w:eastAsia="en-AU"/>
              </w:rPr>
              <w:t>(</w:t>
            </w:r>
            <w:hyperlink r:id="rId3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7355A">
                <w:rPr>
                  <w:rFonts w:ascii="Arial" w:eastAsiaTheme="minorEastAsia" w:hAnsi="Arial" w:cs="Arial"/>
                  <w:color w:val="0000FF"/>
                  <w:sz w:val="20"/>
                  <w:szCs w:val="20"/>
                  <w:u w:val="single"/>
                  <w:vertAlign w:val="superscript"/>
                  <w:lang w:eastAsia="en-AU"/>
                </w:rPr>
                <w:t>43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or Substation</w:t>
            </w:r>
            <w:r w:rsidRPr="00D7355A">
              <w:rPr>
                <w:rFonts w:ascii="Arial" w:eastAsiaTheme="minorEastAsia" w:hAnsi="Arial" w:cs="Arial"/>
                <w:sz w:val="20"/>
                <w:szCs w:val="20"/>
                <w:vertAlign w:val="superscript"/>
                <w:lang w:eastAsia="en-AU"/>
              </w:rPr>
              <w:t>(</w:t>
            </w:r>
            <w:hyperlink r:id="rId31" w:anchor="target-d768251e572400" w:tooltip="Substation - Premises forming part of a transmission grid or supply network under the Electricity Act 1994, and used for:" w:history="1">
              <w:r w:rsidRPr="00D7355A">
                <w:rPr>
                  <w:rFonts w:ascii="Arial" w:eastAsiaTheme="minorEastAsia" w:hAnsi="Arial" w:cs="Arial"/>
                  <w:color w:val="0000FF"/>
                  <w:sz w:val="20"/>
                  <w:szCs w:val="20"/>
                  <w:u w:val="single"/>
                  <w:vertAlign w:val="superscript"/>
                  <w:lang w:eastAsia="en-AU"/>
                </w:rPr>
                <w:t>80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if there is already a facility in the same coverage area.</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E74.1</w:t>
            </w:r>
          </w:p>
          <w:p w:rsidR="00E750DF"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telecommunication facilities</w:t>
            </w:r>
            <w:r w:rsidRPr="00D7355A">
              <w:rPr>
                <w:rFonts w:ascii="Arial" w:eastAsiaTheme="minorEastAsia" w:hAnsi="Arial" w:cs="Arial"/>
                <w:sz w:val="20"/>
                <w:szCs w:val="20"/>
                <w:vertAlign w:val="superscript"/>
                <w:lang w:eastAsia="en-AU"/>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on existing towers with new equipment shelter and associated structures positioned adjacent to the existing shelters and structures.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If not co-located with an existing facility, all co-location opportunities have been investigated and fully exhausted within a 2km radius of the site.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 new Telecommunications facility</w:t>
            </w:r>
            <w:r w:rsidRPr="00D7355A">
              <w:rPr>
                <w:rFonts w:ascii="Arial" w:eastAsiaTheme="minorEastAsia" w:hAnsi="Arial" w:cs="Arial"/>
                <w:sz w:val="20"/>
                <w:szCs w:val="20"/>
                <w:vertAlign w:val="superscript"/>
                <w:lang w:eastAsia="en-AU"/>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is designed and constructed to ensure co-masting or co-siting with other carriers both on the tower or pole and at ground level is possible in the future.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 minimum area of 45m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is available to allow for additional equipment shelters and associated structures for the purpose of co-locating on the proposed facility.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 not conflict with lawful existing land uses both on and adjoining the site.</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Telecommunications facility</w:t>
            </w:r>
            <w:r w:rsidRPr="00D7355A">
              <w:rPr>
                <w:rFonts w:ascii="Arial" w:eastAsiaTheme="minorEastAsia" w:hAnsi="Arial" w:cs="Arial"/>
                <w:sz w:val="20"/>
                <w:szCs w:val="20"/>
                <w:vertAlign w:val="superscript"/>
                <w:lang w:eastAsia="en-AU"/>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does not have an adverse impact on the visual amenity of a locality and is: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in an urban area, the development does not protrude more than 5m above the level of the existing </w:t>
            </w:r>
            <w:proofErr w:type="spellStart"/>
            <w:r w:rsidRPr="00D7355A">
              <w:rPr>
                <w:rFonts w:ascii="Arial" w:eastAsiaTheme="minorEastAsia" w:hAnsi="Arial" w:cs="Arial"/>
                <w:sz w:val="20"/>
                <w:szCs w:val="20"/>
                <w:lang w:eastAsia="en-AU"/>
              </w:rPr>
              <w:t>treeline</w:t>
            </w:r>
            <w:proofErr w:type="spellEnd"/>
            <w:r w:rsidRPr="00D7355A">
              <w:rPr>
                <w:rFonts w:ascii="Arial" w:eastAsiaTheme="minorEastAsia" w:hAnsi="Arial" w:cs="Arial"/>
                <w:sz w:val="20"/>
                <w:szCs w:val="20"/>
                <w:lang w:eastAsia="en-AU"/>
              </w:rPr>
              <w:t>, prominent ridgeline or building rooftops in the surrounding townscape.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In all other </w:t>
            </w:r>
            <w:proofErr w:type="gramStart"/>
            <w:r w:rsidRPr="00D7355A">
              <w:rPr>
                <w:rFonts w:ascii="Arial" w:eastAsiaTheme="minorEastAsia" w:hAnsi="Arial" w:cs="Arial"/>
                <w:sz w:val="20"/>
                <w:szCs w:val="20"/>
                <w:lang w:eastAsia="en-AU"/>
              </w:rPr>
              <w:t>areas</w:t>
            </w:r>
            <w:proofErr w:type="gramEnd"/>
            <w:r w:rsidRPr="00D7355A">
              <w:rPr>
                <w:rFonts w:ascii="Arial" w:eastAsiaTheme="minorEastAsia" w:hAnsi="Arial" w:cs="Arial"/>
                <w:sz w:val="20"/>
                <w:szCs w:val="20"/>
                <w:lang w:eastAsia="en-AU"/>
              </w:rPr>
              <w:t xml:space="preserve"> towers do not exceed 35m in height.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Towers, equipment </w:t>
            </w:r>
            <w:proofErr w:type="gramStart"/>
            <w:r w:rsidRPr="00D7355A">
              <w:rPr>
                <w:rFonts w:ascii="Arial" w:eastAsiaTheme="minorEastAsia" w:hAnsi="Arial" w:cs="Arial"/>
                <w:sz w:val="20"/>
                <w:szCs w:val="20"/>
                <w:lang w:eastAsia="en-AU"/>
              </w:rPr>
              <w:t>shelters</w:t>
            </w:r>
            <w:proofErr w:type="gramEnd"/>
            <w:r w:rsidRPr="00D7355A">
              <w:rPr>
                <w:rFonts w:ascii="Arial" w:eastAsiaTheme="minorEastAsia" w:hAnsi="Arial" w:cs="Arial"/>
                <w:sz w:val="20"/>
                <w:szCs w:val="20"/>
                <w:lang w:eastAsia="en-AU"/>
              </w:rPr>
              <w:t xml:space="preserve"> and associated structures are of a design, colour and material to:</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recognition in the landscape;</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glare and reflectivity.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there is no established building line the facility is located at the rear of the site.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facility is enclosed by security fencing or by other means to ensure public access is prohibited.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Landscaping is provided in accordance with Planning scheme policy - Integrated design.</w:t>
                  </w:r>
                </w:p>
              </w:tc>
            </w:tr>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Lawful access </w:t>
            </w:r>
            <w:proofErr w:type="gramStart"/>
            <w:r w:rsidRPr="00D7355A">
              <w:rPr>
                <w:rFonts w:ascii="Arial" w:eastAsiaTheme="minorEastAsia" w:hAnsi="Arial" w:cs="Arial"/>
                <w:sz w:val="20"/>
                <w:szCs w:val="20"/>
                <w:lang w:eastAsia="en-AU"/>
              </w:rPr>
              <w:t>is maintained to the site at all times</w:t>
            </w:r>
            <w:proofErr w:type="gramEnd"/>
            <w:r w:rsidRPr="00D7355A">
              <w:rPr>
                <w:rFonts w:ascii="Arial" w:eastAsiaTheme="minorEastAsia" w:hAnsi="Arial" w:cs="Arial"/>
                <w:sz w:val="20"/>
                <w:szCs w:val="20"/>
                <w:lang w:eastAsia="en-AU"/>
              </w:rPr>
              <w:t xml:space="preserve"> that does not alter the amenity of the landscape or surrounding uses.</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Access and Landscape Plan demonstrates how </w:t>
            </w:r>
            <w:proofErr w:type="gramStart"/>
            <w:r w:rsidRPr="00D7355A">
              <w:rPr>
                <w:rFonts w:ascii="Arial" w:eastAsiaTheme="minorEastAsia" w:hAnsi="Arial" w:cs="Arial"/>
                <w:sz w:val="20"/>
                <w:szCs w:val="20"/>
                <w:lang w:eastAsia="en-AU"/>
              </w:rPr>
              <w:t>24 hour</w:t>
            </w:r>
            <w:proofErr w:type="gramEnd"/>
            <w:r w:rsidRPr="00D7355A">
              <w:rPr>
                <w:rFonts w:ascii="Arial" w:eastAsiaTheme="minorEastAsia" w:hAnsi="Arial" w:cs="Arial"/>
                <w:sz w:val="20"/>
                <w:szCs w:val="20"/>
                <w:lang w:eastAsia="en-AU"/>
              </w:rPr>
              <w:t xml:space="preserve"> vehicular access will be obtained and maintained to the facility in a manner that is appropriate to the site’s context.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 generates no audible sound at the site boundaries where in a residential setting.</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equipment comprising the Telecommunications facility</w:t>
            </w:r>
            <w:r w:rsidRPr="00D7355A">
              <w:rPr>
                <w:rFonts w:ascii="Arial" w:eastAsiaTheme="minorEastAsia" w:hAnsi="Arial" w:cs="Arial"/>
                <w:sz w:val="20"/>
                <w:szCs w:val="20"/>
                <w:vertAlign w:val="superscript"/>
                <w:lang w:eastAsia="en-AU"/>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7355A" w:rsidRPr="00D7355A" w:rsidRDefault="00D7355A" w:rsidP="00D7355A">
                  <w:pPr>
                    <w:spacing w:after="0" w:line="240" w:lineRule="auto"/>
                    <w:rPr>
                      <w:rFonts w:ascii="Arial" w:eastAsiaTheme="minorEastAsia" w:hAnsi="Arial" w:cs="Arial"/>
                      <w:sz w:val="20"/>
                      <w:szCs w:val="20"/>
                      <w:lang w:eastAsia="en-AU"/>
                    </w:rPr>
                  </w:pPr>
                  <w:r w:rsidRPr="00E750DF">
                    <w:rPr>
                      <w:rFonts w:ascii="Arial" w:eastAsia="Times New Roman" w:hAnsi="Arial" w:cs="Arial"/>
                      <w:sz w:val="18"/>
                      <w:szCs w:val="18"/>
                      <w:lang w:eastAsia="en-AU"/>
                    </w:rPr>
                    <w:br/>
                  </w:r>
                  <w:r w:rsidRPr="00E750DF">
                    <w:rPr>
                      <w:rFonts w:ascii="Arial" w:eastAsiaTheme="minorEastAsia" w:hAnsi="Arial" w:cs="Arial"/>
                      <w:sz w:val="18"/>
                      <w:szCs w:val="18"/>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will:</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diminish or cause irreversible damage to the cultural heritage values present on the site, and associated with a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protect the fabric and setting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 consistent with the form, scale and style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utilise similar materials to those existing, or where this is not reasonable or practicable, neutral materials and finishes;</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incorporate complementary elements, detailing and ornamentation to those present on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retain public access where this is currently provided.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40B52">
                    <w:rPr>
                      <w:rFonts w:ascii="Arial" w:eastAsia="Times New Roman" w:hAnsi="Arial" w:cs="Arial"/>
                      <w:sz w:val="18"/>
                      <w:szCs w:val="20"/>
                      <w:lang w:eastAsia="en-AU"/>
                    </w:rPr>
                    <w:t>to, and</w:t>
                  </w:r>
                  <w:proofErr w:type="gramEnd"/>
                  <w:r w:rsidRPr="00740B52">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Demolition and removal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only considered where:</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 report prepared by a suitably qualified conservation architect or conservation engineer demonstrates that the building is structurally unsound and is not reasonably capable of economic repair;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demolition is confined to the removal of outbuildings, extensions and alterations that are not part of the original structure;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limited demolition is performed </w:t>
            </w:r>
            <w:proofErr w:type="gramStart"/>
            <w:r w:rsidRPr="00D7355A">
              <w:rPr>
                <w:rFonts w:ascii="Arial" w:eastAsia="Times New Roman" w:hAnsi="Arial" w:cs="Arial"/>
                <w:sz w:val="20"/>
                <w:szCs w:val="20"/>
                <w:lang w:eastAsia="en-AU"/>
              </w:rPr>
              <w:t>in the course of</w:t>
            </w:r>
            <w:proofErr w:type="gramEnd"/>
            <w:r w:rsidRPr="00D7355A">
              <w:rPr>
                <w:rFonts w:ascii="Arial" w:eastAsia="Times New Roman" w:hAnsi="Arial" w:cs="Arial"/>
                <w:sz w:val="20"/>
                <w:szCs w:val="20"/>
                <w:lang w:eastAsia="en-AU"/>
              </w:rPr>
              <w:t xml:space="preserve"> repairs, maintenance or restoration;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demolition is performed following a catastrophic event which substantially destroys the building or object.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applicable river and creek flood planning levels associated with defined flood event (DFE) within the inundation area can be obtained by requesting a flood check property report from Council.</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minimises the risk to persons from overland flow;</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increase the potential for damage from overland flow either on the premises or other premises, public land, watercourses, roads or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maintains the conveyance of overland flow predominantly unimpeded through the premises </w:t>
            </w:r>
            <w:r w:rsidRPr="00D7355A">
              <w:rPr>
                <w:rFonts w:ascii="Arial" w:eastAsia="Times New Roman" w:hAnsi="Arial" w:cs="Arial"/>
                <w:sz w:val="20"/>
                <w:szCs w:val="20"/>
                <w:lang w:eastAsia="en-AU"/>
              </w:rPr>
              <w:lastRenderedPageBreak/>
              <w:t>for any event up to and including the 1% AEP for the fully developed upstream catchment;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does not:</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directly, indirectly or cumulatively cause any increase in overland flow velocity or level;</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Open concrete drains greater than 1m in width are not an acceptable outcome, nor are any other design options that may increase scouring.</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public safety and the risk to the environment are not adversely affected by a detrimental impact of overland flow on a hazardous chemical located or stored on the premises.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ensures that overland flow is not conveyed from a road or public open space onto a private lot.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that an overland flow paths and drainage infrastructure is provided to convey overland flow from a road or public open space area away from a private lot.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D7355A">
              <w:rPr>
                <w:rFonts w:ascii="Arial" w:eastAsiaTheme="minorEastAsia" w:hAnsi="Arial" w:cs="Arial"/>
                <w:sz w:val="20"/>
                <w:szCs w:val="20"/>
                <w:lang w:eastAsia="en-AU"/>
              </w:rPr>
              <w:t>are able to</w:t>
            </w:r>
            <w:proofErr w:type="gramEnd"/>
            <w:r w:rsidRPr="00D7355A">
              <w:rPr>
                <w:rFonts w:ascii="Arial" w:eastAsiaTheme="minorEastAsia" w:hAnsi="Arial" w:cs="Arial"/>
                <w:sz w:val="20"/>
                <w:szCs w:val="20"/>
                <w:lang w:eastAsia="en-AU"/>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roof and allotment drainage infrastructure is provided in accordance with the following relevant level as identified in QUDM:</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Urban area – Level III;</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Rural area – N/A;</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Industrial area – Level V;</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Commercial area – Level V.</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99"/>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inter-allotment drainage infrastructure is designed to accommodate any event up to and including the 1% AEP for the fully developed upstream catchment.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protects the conveyance of overland flow such that an easement for drainage purposes is provided over:</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stormwater pipe if the nominal pipe diameter exceeds 300mm;</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 overland flow path where it crosses more than one premises;</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bookmarkStart w:id="0" w:name="_GoBack"/>
                  <w:bookmarkEnd w:id="0"/>
                </w:p>
              </w:tc>
            </w:tr>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lastRenderedPageBreak/>
                    <w:t>Note - Stormwater Drainage easement dimensions are provided in accordance with Section 3.8.5 of QUDM.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Additional criteria for development for a Park</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for a Park</w:t>
            </w:r>
            <w:r w:rsidRPr="00D7355A">
              <w:rPr>
                <w:rFonts w:ascii="Arial" w:eastAsiaTheme="minorEastAsia" w:hAnsi="Arial" w:cs="Arial"/>
                <w:sz w:val="20"/>
                <w:szCs w:val="20"/>
                <w:vertAlign w:val="superscript"/>
                <w:lang w:eastAsia="en-AU"/>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that the design and layout responds to the nature of the overland flow affecting the premises such that:</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public benefit and enjoyment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maximised;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impacts on the asset life and integrity of park structures is minimised;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maintenance and replacement costs are minimised.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for a Park</w:t>
            </w:r>
            <w:r w:rsidRPr="00D7355A">
              <w:rPr>
                <w:rFonts w:ascii="Arial" w:eastAsiaTheme="minorEastAsia" w:hAnsi="Arial" w:cs="Arial"/>
                <w:sz w:val="20"/>
                <w:szCs w:val="20"/>
                <w:vertAlign w:val="superscript"/>
                <w:lang w:eastAsia="en-AU"/>
              </w:rPr>
              <w:t>(</w:t>
            </w:r>
            <w:hyperlink r:id="rId3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works are provided in accordance with the requirements set out in Appendix B of the Planning scheme policy - Integrated design.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Infrastructure buffer areas (refer Overlay map – Infrastructure buffers to determine if the following assessment criteria apply)</w:t>
            </w: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within a High voltage electricity line buffer:</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to avoid any potential adverse impacts on personal health and wellbeing from electromagnetic fields;</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in a manner that maintains a high level of security of supply;</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so not to impede upon the functioning and maintenance of high voltage electrical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Except where located on an approved Neighbourhood development plan, development does not involve the construction of any buildings or structures within a high voltage electricity line buffer.</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bl>
    <w:p w:rsidR="0085280F" w:rsidRPr="00D7355A" w:rsidRDefault="0085280F">
      <w:pPr>
        <w:rPr>
          <w:rFonts w:ascii="Arial" w:hAnsi="Arial" w:cs="Arial"/>
          <w:sz w:val="20"/>
          <w:szCs w:val="20"/>
        </w:rPr>
      </w:pPr>
    </w:p>
    <w:sectPr w:rsidR="0085280F" w:rsidRPr="00D7355A" w:rsidSect="002221EB">
      <w:headerReference w:type="even" r:id="rId39"/>
      <w:headerReference w:type="default" r:id="rId40"/>
      <w:footerReference w:type="even" r:id="rId41"/>
      <w:footerReference w:type="default" r:id="rId42"/>
      <w:headerReference w:type="first" r:id="rId43"/>
      <w:footerReference w:type="firs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11D" w:rsidRDefault="00C6711D" w:rsidP="00D7355A">
      <w:pPr>
        <w:spacing w:after="0" w:line="240" w:lineRule="auto"/>
      </w:pPr>
      <w:r>
        <w:separator/>
      </w:r>
    </w:p>
  </w:endnote>
  <w:endnote w:type="continuationSeparator" w:id="0">
    <w:p w:rsidR="00C6711D" w:rsidRDefault="00C6711D" w:rsidP="00D73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C27" w:rsidRDefault="009D2C27">
    <w:pPr>
      <w:pStyle w:val="Footer"/>
    </w:pPr>
    <w:r w:rsidRPr="00744A3C">
      <w:rPr>
        <w:rFonts w:ascii="Arial" w:hAnsi="Arial" w:cs="Arial"/>
        <w:i/>
        <w:sz w:val="20"/>
        <w:szCs w:val="20"/>
      </w:rPr>
      <w:t xml:space="preserve">MBRC Planning Scheme </w:t>
    </w:r>
    <w:r w:rsidR="00740B52">
      <w:rPr>
        <w:rFonts w:ascii="Arial" w:hAnsi="Arial" w:cs="Arial"/>
        <w:i/>
        <w:sz w:val="20"/>
        <w:szCs w:val="20"/>
      </w:rPr>
      <w:t>V</w:t>
    </w:r>
    <w:r w:rsidR="00265B16">
      <w:rPr>
        <w:rFonts w:ascii="Arial" w:hAnsi="Arial" w:cs="Arial"/>
        <w:i/>
        <w:sz w:val="20"/>
        <w:szCs w:val="20"/>
      </w:rPr>
      <w:t>5</w:t>
    </w:r>
    <w:r w:rsidR="00740B52">
      <w:rPr>
        <w:rFonts w:ascii="Arial" w:hAnsi="Arial" w:cs="Arial"/>
        <w:i/>
        <w:sz w:val="20"/>
        <w:szCs w:val="20"/>
      </w:rPr>
      <w:t xml:space="preserve"> </w:t>
    </w:r>
    <w:r w:rsidRPr="00744A3C">
      <w:rPr>
        <w:rFonts w:ascii="Arial" w:hAnsi="Arial" w:cs="Arial"/>
        <w:i/>
        <w:sz w:val="20"/>
        <w:szCs w:val="20"/>
      </w:rPr>
      <w:t xml:space="preserve">- Caboolture </w:t>
    </w:r>
    <w:r>
      <w:rPr>
        <w:rFonts w:ascii="Arial" w:hAnsi="Arial" w:cs="Arial"/>
        <w:i/>
        <w:sz w:val="20"/>
        <w:szCs w:val="20"/>
      </w:rPr>
      <w:t>West local plan - Town centre precinct - Light industry sub-</w:t>
    </w:r>
    <w:r w:rsidRPr="00744A3C">
      <w:rPr>
        <w:rFonts w:ascii="Arial" w:hAnsi="Arial" w:cs="Arial"/>
        <w:i/>
        <w:sz w:val="20"/>
        <w:szCs w:val="20"/>
      </w:rPr>
      <w:t xml:space="preserve">precinct - Assessable </w:t>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sidRPr="00C90912">
      <w:rPr>
        <w:rFonts w:ascii="Arial" w:hAnsi="Arial" w:cs="Arial"/>
        <w:i/>
        <w:sz w:val="20"/>
        <w:szCs w:val="20"/>
      </w:rPr>
      <w:fldChar w:fldCharType="begin"/>
    </w:r>
    <w:r w:rsidR="00C90912" w:rsidRPr="00C90912">
      <w:rPr>
        <w:rFonts w:ascii="Arial" w:hAnsi="Arial" w:cs="Arial"/>
        <w:i/>
        <w:sz w:val="20"/>
        <w:szCs w:val="20"/>
      </w:rPr>
      <w:instrText xml:space="preserve"> PAGE   \* MERGEFORMAT </w:instrText>
    </w:r>
    <w:r w:rsidR="00C90912" w:rsidRPr="00C90912">
      <w:rPr>
        <w:rFonts w:ascii="Arial" w:hAnsi="Arial" w:cs="Arial"/>
        <w:i/>
        <w:sz w:val="20"/>
        <w:szCs w:val="20"/>
      </w:rPr>
      <w:fldChar w:fldCharType="separate"/>
    </w:r>
    <w:r w:rsidR="00C90912" w:rsidRPr="00C90912">
      <w:rPr>
        <w:rFonts w:ascii="Arial" w:hAnsi="Arial" w:cs="Arial"/>
        <w:i/>
        <w:noProof/>
        <w:sz w:val="20"/>
        <w:szCs w:val="20"/>
      </w:rPr>
      <w:t>1</w:t>
    </w:r>
    <w:r w:rsidR="00C90912" w:rsidRPr="00C90912">
      <w:rPr>
        <w:rFonts w:ascii="Arial" w:hAnsi="Arial" w:cs="Arial"/>
        <w: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11D" w:rsidRDefault="00C6711D" w:rsidP="00D7355A">
      <w:pPr>
        <w:spacing w:after="0" w:line="240" w:lineRule="auto"/>
      </w:pPr>
      <w:r>
        <w:separator/>
      </w:r>
    </w:p>
  </w:footnote>
  <w:footnote w:type="continuationSeparator" w:id="0">
    <w:p w:rsidR="00C6711D" w:rsidRDefault="00C6711D" w:rsidP="00D73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B52" w:rsidRDefault="0074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2E"/>
    <w:multiLevelType w:val="multilevel"/>
    <w:tmpl w:val="3A3A4A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DA4C5E"/>
    <w:multiLevelType w:val="multilevel"/>
    <w:tmpl w:val="F208A9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0E2529"/>
    <w:multiLevelType w:val="multilevel"/>
    <w:tmpl w:val="96408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B96347"/>
    <w:multiLevelType w:val="multilevel"/>
    <w:tmpl w:val="B16C2B4E"/>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07DA7"/>
    <w:multiLevelType w:val="multilevel"/>
    <w:tmpl w:val="7EB0A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AF155B"/>
    <w:multiLevelType w:val="multilevel"/>
    <w:tmpl w:val="DB665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901BD9"/>
    <w:multiLevelType w:val="multilevel"/>
    <w:tmpl w:val="35AEE5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4E721A"/>
    <w:multiLevelType w:val="multilevel"/>
    <w:tmpl w:val="415A9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3073542"/>
    <w:multiLevelType w:val="multilevel"/>
    <w:tmpl w:val="D1985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4F6929"/>
    <w:multiLevelType w:val="multilevel"/>
    <w:tmpl w:val="4D508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0D70AE"/>
    <w:multiLevelType w:val="multilevel"/>
    <w:tmpl w:val="3E06B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E544D4"/>
    <w:multiLevelType w:val="multilevel"/>
    <w:tmpl w:val="6680C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E668C9"/>
    <w:multiLevelType w:val="multilevel"/>
    <w:tmpl w:val="85BE3C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A02618"/>
    <w:multiLevelType w:val="multilevel"/>
    <w:tmpl w:val="45E4B4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D945D2F"/>
    <w:multiLevelType w:val="multilevel"/>
    <w:tmpl w:val="398C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4B5965"/>
    <w:multiLevelType w:val="multilevel"/>
    <w:tmpl w:val="8340C5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8F0D6E"/>
    <w:multiLevelType w:val="multilevel"/>
    <w:tmpl w:val="F0A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951C3"/>
    <w:multiLevelType w:val="multilevel"/>
    <w:tmpl w:val="FCC0D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2E02725"/>
    <w:multiLevelType w:val="multilevel"/>
    <w:tmpl w:val="04EC0F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5C12852"/>
    <w:multiLevelType w:val="multilevel"/>
    <w:tmpl w:val="0096C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5F3057E"/>
    <w:multiLevelType w:val="multilevel"/>
    <w:tmpl w:val="BED47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74069DB"/>
    <w:multiLevelType w:val="multilevel"/>
    <w:tmpl w:val="668A48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8E4603B"/>
    <w:multiLevelType w:val="multilevel"/>
    <w:tmpl w:val="05724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ADB5F0F"/>
    <w:multiLevelType w:val="multilevel"/>
    <w:tmpl w:val="F8B61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E84D1E"/>
    <w:multiLevelType w:val="multilevel"/>
    <w:tmpl w:val="72F82F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CA7426"/>
    <w:multiLevelType w:val="multilevel"/>
    <w:tmpl w:val="4C76D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D2A5DCB"/>
    <w:multiLevelType w:val="multilevel"/>
    <w:tmpl w:val="F2B0DC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431651"/>
    <w:multiLevelType w:val="multilevel"/>
    <w:tmpl w:val="BD0C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DBF413D"/>
    <w:multiLevelType w:val="multilevel"/>
    <w:tmpl w:val="2AAC5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368639E"/>
    <w:multiLevelType w:val="multilevel"/>
    <w:tmpl w:val="F44217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4F0065"/>
    <w:multiLevelType w:val="multilevel"/>
    <w:tmpl w:val="B5B2E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B1436E8"/>
    <w:multiLevelType w:val="multilevel"/>
    <w:tmpl w:val="665C61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225158"/>
    <w:multiLevelType w:val="multilevel"/>
    <w:tmpl w:val="BAC6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C596508"/>
    <w:multiLevelType w:val="multilevel"/>
    <w:tmpl w:val="4E3EF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FDB747B"/>
    <w:multiLevelType w:val="multilevel"/>
    <w:tmpl w:val="D696F8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3D50B3B"/>
    <w:multiLevelType w:val="multilevel"/>
    <w:tmpl w:val="F3E2B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6E33C1"/>
    <w:multiLevelType w:val="multilevel"/>
    <w:tmpl w:val="3C865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D92488"/>
    <w:multiLevelType w:val="multilevel"/>
    <w:tmpl w:val="4C6E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8412128"/>
    <w:multiLevelType w:val="multilevel"/>
    <w:tmpl w:val="6220BA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593E70"/>
    <w:multiLevelType w:val="multilevel"/>
    <w:tmpl w:val="1652B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9726B64"/>
    <w:multiLevelType w:val="multilevel"/>
    <w:tmpl w:val="2EF4A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A9D3885"/>
    <w:multiLevelType w:val="multilevel"/>
    <w:tmpl w:val="F4E6AD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C2E416D"/>
    <w:multiLevelType w:val="multilevel"/>
    <w:tmpl w:val="49F6C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C5223A7"/>
    <w:multiLevelType w:val="multilevel"/>
    <w:tmpl w:val="E6585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E3C098F"/>
    <w:multiLevelType w:val="multilevel"/>
    <w:tmpl w:val="CAC2F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07849B4"/>
    <w:multiLevelType w:val="multilevel"/>
    <w:tmpl w:val="8AEC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AE5E1E"/>
    <w:multiLevelType w:val="multilevel"/>
    <w:tmpl w:val="EFE6F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B00B98"/>
    <w:multiLevelType w:val="multilevel"/>
    <w:tmpl w:val="0CDC93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6A7770"/>
    <w:multiLevelType w:val="multilevel"/>
    <w:tmpl w:val="A794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B53441"/>
    <w:multiLevelType w:val="multilevel"/>
    <w:tmpl w:val="DE169F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2D03CCC"/>
    <w:multiLevelType w:val="multilevel"/>
    <w:tmpl w:val="3EF6E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37C7928"/>
    <w:multiLevelType w:val="multilevel"/>
    <w:tmpl w:val="ADAC2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1229FD"/>
    <w:multiLevelType w:val="multilevel"/>
    <w:tmpl w:val="19A2D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B5E5DFE"/>
    <w:multiLevelType w:val="multilevel"/>
    <w:tmpl w:val="345289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C945F26"/>
    <w:multiLevelType w:val="multilevel"/>
    <w:tmpl w:val="1BCCC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EB92A0F"/>
    <w:multiLevelType w:val="multilevel"/>
    <w:tmpl w:val="8B304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EE11649"/>
    <w:multiLevelType w:val="multilevel"/>
    <w:tmpl w:val="5E766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5557D1"/>
    <w:multiLevelType w:val="multilevel"/>
    <w:tmpl w:val="7C1A5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1345F3E"/>
    <w:multiLevelType w:val="multilevel"/>
    <w:tmpl w:val="50FE9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26E7185"/>
    <w:multiLevelType w:val="multilevel"/>
    <w:tmpl w:val="A47A7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342239A"/>
    <w:multiLevelType w:val="multilevel"/>
    <w:tmpl w:val="F2FC6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4A4309B"/>
    <w:multiLevelType w:val="multilevel"/>
    <w:tmpl w:val="DB90E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CF66A84"/>
    <w:multiLevelType w:val="multilevel"/>
    <w:tmpl w:val="4D587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DA4716E"/>
    <w:multiLevelType w:val="multilevel"/>
    <w:tmpl w:val="A0BA9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20B5395"/>
    <w:multiLevelType w:val="multilevel"/>
    <w:tmpl w:val="69C04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3543FFD"/>
    <w:multiLevelType w:val="multilevel"/>
    <w:tmpl w:val="1DAA4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5370A52"/>
    <w:multiLevelType w:val="multilevel"/>
    <w:tmpl w:val="245091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8692E79"/>
    <w:multiLevelType w:val="multilevel"/>
    <w:tmpl w:val="3F785DC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3D29CB"/>
    <w:multiLevelType w:val="multilevel"/>
    <w:tmpl w:val="12640D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D7B2119"/>
    <w:multiLevelType w:val="multilevel"/>
    <w:tmpl w:val="C53C1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4"/>
  </w:num>
  <w:num w:numId="2">
    <w:abstractNumId w:val="6"/>
  </w:num>
  <w:num w:numId="3">
    <w:abstractNumId w:val="56"/>
  </w:num>
  <w:num w:numId="4">
    <w:abstractNumId w:val="12"/>
  </w:num>
  <w:num w:numId="5">
    <w:abstractNumId w:val="13"/>
  </w:num>
  <w:num w:numId="6">
    <w:abstractNumId w:val="20"/>
  </w:num>
  <w:num w:numId="7">
    <w:abstractNumId w:val="60"/>
  </w:num>
  <w:num w:numId="8">
    <w:abstractNumId w:val="54"/>
  </w:num>
  <w:num w:numId="9">
    <w:abstractNumId w:val="28"/>
  </w:num>
  <w:num w:numId="10">
    <w:abstractNumId w:val="14"/>
  </w:num>
  <w:num w:numId="11">
    <w:abstractNumId w:val="65"/>
  </w:num>
  <w:num w:numId="12">
    <w:abstractNumId w:val="26"/>
  </w:num>
  <w:num w:numId="13">
    <w:abstractNumId w:val="0"/>
  </w:num>
  <w:num w:numId="14">
    <w:abstractNumId w:val="40"/>
  </w:num>
  <w:num w:numId="15">
    <w:abstractNumId w:val="68"/>
  </w:num>
  <w:num w:numId="16">
    <w:abstractNumId w:val="2"/>
  </w:num>
  <w:num w:numId="17">
    <w:abstractNumId w:val="41"/>
  </w:num>
  <w:num w:numId="18">
    <w:abstractNumId w:val="61"/>
  </w:num>
  <w:num w:numId="19">
    <w:abstractNumId w:val="7"/>
  </w:num>
  <w:num w:numId="20">
    <w:abstractNumId w:val="27"/>
  </w:num>
  <w:num w:numId="21">
    <w:abstractNumId w:val="29"/>
  </w:num>
  <w:num w:numId="22">
    <w:abstractNumId w:val="48"/>
  </w:num>
  <w:num w:numId="23">
    <w:abstractNumId w:val="17"/>
  </w:num>
  <w:num w:numId="24">
    <w:abstractNumId w:val="35"/>
  </w:num>
  <w:num w:numId="25">
    <w:abstractNumId w:val="46"/>
  </w:num>
  <w:num w:numId="26">
    <w:abstractNumId w:val="67"/>
  </w:num>
  <w:num w:numId="27">
    <w:abstractNumId w:val="5"/>
  </w:num>
  <w:num w:numId="28">
    <w:abstractNumId w:val="31"/>
  </w:num>
  <w:num w:numId="29">
    <w:abstractNumId w:val="63"/>
  </w:num>
  <w:num w:numId="30">
    <w:abstractNumId w:val="53"/>
  </w:num>
  <w:num w:numId="31">
    <w:abstractNumId w:val="70"/>
  </w:num>
  <w:num w:numId="32">
    <w:abstractNumId w:val="42"/>
  </w:num>
  <w:num w:numId="33">
    <w:abstractNumId w:val="51"/>
  </w:num>
  <w:num w:numId="34">
    <w:abstractNumId w:val="8"/>
  </w:num>
  <w:num w:numId="35">
    <w:abstractNumId w:val="37"/>
  </w:num>
  <w:num w:numId="36">
    <w:abstractNumId w:val="19"/>
  </w:num>
  <w:num w:numId="37">
    <w:abstractNumId w:val="4"/>
  </w:num>
  <w:num w:numId="38">
    <w:abstractNumId w:val="10"/>
  </w:num>
  <w:num w:numId="39">
    <w:abstractNumId w:val="21"/>
  </w:num>
  <w:num w:numId="40">
    <w:abstractNumId w:val="39"/>
  </w:num>
  <w:num w:numId="41">
    <w:abstractNumId w:val="45"/>
  </w:num>
  <w:num w:numId="42">
    <w:abstractNumId w:val="38"/>
  </w:num>
  <w:num w:numId="43">
    <w:abstractNumId w:val="32"/>
  </w:num>
  <w:num w:numId="44">
    <w:abstractNumId w:val="3"/>
  </w:num>
  <w:num w:numId="45">
    <w:abstractNumId w:val="36"/>
  </w:num>
  <w:num w:numId="46">
    <w:abstractNumId w:val="1"/>
  </w:num>
  <w:num w:numId="47">
    <w:abstractNumId w:val="66"/>
  </w:num>
  <w:num w:numId="48">
    <w:abstractNumId w:val="22"/>
  </w:num>
  <w:num w:numId="49">
    <w:abstractNumId w:val="47"/>
  </w:num>
  <w:num w:numId="50">
    <w:abstractNumId w:val="55"/>
  </w:num>
  <w:num w:numId="51">
    <w:abstractNumId w:val="50"/>
  </w:num>
  <w:num w:numId="52">
    <w:abstractNumId w:val="62"/>
  </w:num>
  <w:num w:numId="53">
    <w:abstractNumId w:val="23"/>
  </w:num>
  <w:num w:numId="54">
    <w:abstractNumId w:val="58"/>
  </w:num>
  <w:num w:numId="55">
    <w:abstractNumId w:val="16"/>
  </w:num>
  <w:num w:numId="56">
    <w:abstractNumId w:val="15"/>
  </w:num>
  <w:num w:numId="57">
    <w:abstractNumId w:val="59"/>
  </w:num>
  <w:num w:numId="58">
    <w:abstractNumId w:val="18"/>
  </w:num>
  <w:num w:numId="59">
    <w:abstractNumId w:val="9"/>
  </w:num>
  <w:num w:numId="60">
    <w:abstractNumId w:val="57"/>
  </w:num>
  <w:num w:numId="61">
    <w:abstractNumId w:val="30"/>
  </w:num>
  <w:num w:numId="62">
    <w:abstractNumId w:val="44"/>
  </w:num>
  <w:num w:numId="63">
    <w:abstractNumId w:val="33"/>
  </w:num>
  <w:num w:numId="64">
    <w:abstractNumId w:val="25"/>
  </w:num>
  <w:num w:numId="65">
    <w:abstractNumId w:val="52"/>
  </w:num>
  <w:num w:numId="66">
    <w:abstractNumId w:val="43"/>
  </w:num>
  <w:num w:numId="67">
    <w:abstractNumId w:val="69"/>
  </w:num>
  <w:num w:numId="68">
    <w:abstractNumId w:val="49"/>
  </w:num>
  <w:num w:numId="69">
    <w:abstractNumId w:val="34"/>
  </w:num>
  <w:num w:numId="70">
    <w:abstractNumId w:val="24"/>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EB"/>
    <w:rsid w:val="00051EDF"/>
    <w:rsid w:val="000F6568"/>
    <w:rsid w:val="002221EB"/>
    <w:rsid w:val="00265B16"/>
    <w:rsid w:val="00532B53"/>
    <w:rsid w:val="00603711"/>
    <w:rsid w:val="00740B52"/>
    <w:rsid w:val="0085280F"/>
    <w:rsid w:val="009D2C27"/>
    <w:rsid w:val="00B409F1"/>
    <w:rsid w:val="00C6711D"/>
    <w:rsid w:val="00C90912"/>
    <w:rsid w:val="00D7355A"/>
    <w:rsid w:val="00E75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E80E53-AB64-4C23-9074-1D0DE7FF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21E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2221EB"/>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2221EB"/>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2221EB"/>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2221EB"/>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2221EB"/>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1EB"/>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21EB"/>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2221EB"/>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2221EB"/>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2221EB"/>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2221EB"/>
    <w:rPr>
      <w:rFonts w:ascii="Times New Roman" w:eastAsiaTheme="minorEastAsia" w:hAnsi="Times New Roman" w:cs="Times New Roman"/>
      <w:b/>
      <w:bCs/>
      <w:sz w:val="15"/>
      <w:szCs w:val="15"/>
      <w:lang w:eastAsia="en-AU"/>
    </w:rPr>
  </w:style>
  <w:style w:type="numbering" w:customStyle="1" w:styleId="NoList1">
    <w:name w:val="No List1"/>
    <w:next w:val="NoList"/>
    <w:uiPriority w:val="99"/>
    <w:semiHidden/>
    <w:unhideWhenUsed/>
    <w:rsid w:val="002221EB"/>
  </w:style>
  <w:style w:type="paragraph" w:customStyle="1" w:styleId="msonormal0">
    <w:name w:val="msonormal"/>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2221EB"/>
    <w:rPr>
      <w:color w:val="0000FF"/>
      <w:u w:val="single"/>
    </w:rPr>
  </w:style>
  <w:style w:type="character" w:styleId="FollowedHyperlink">
    <w:name w:val="FollowedHyperlink"/>
    <w:basedOn w:val="DefaultParagraphFont"/>
    <w:uiPriority w:val="99"/>
    <w:semiHidden/>
    <w:unhideWhenUsed/>
    <w:rsid w:val="002221EB"/>
    <w:rPr>
      <w:color w:val="800080"/>
      <w:u w:val="single"/>
    </w:rPr>
  </w:style>
  <w:style w:type="paragraph" w:customStyle="1" w:styleId="hidden">
    <w:name w:val="hidden"/>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2221EB"/>
    <w:rPr>
      <w:b/>
      <w:bCs/>
    </w:rPr>
  </w:style>
  <w:style w:type="character" w:customStyle="1" w:styleId="number">
    <w:name w:val="number"/>
    <w:basedOn w:val="DefaultParagraphFont"/>
    <w:rsid w:val="002221EB"/>
  </w:style>
  <w:style w:type="character" w:customStyle="1" w:styleId="newwindow">
    <w:name w:val="newwindow"/>
    <w:basedOn w:val="DefaultParagraphFont"/>
    <w:rsid w:val="002221EB"/>
  </w:style>
  <w:style w:type="character" w:styleId="Emphasis">
    <w:name w:val="Emphasis"/>
    <w:basedOn w:val="DefaultParagraphFont"/>
    <w:uiPriority w:val="20"/>
    <w:qFormat/>
    <w:rsid w:val="002221EB"/>
    <w:rPr>
      <w:i/>
      <w:iCs/>
    </w:rPr>
  </w:style>
  <w:style w:type="character" w:customStyle="1" w:styleId="highlighttext">
    <w:name w:val="highlighttext"/>
    <w:basedOn w:val="DefaultParagraphFont"/>
    <w:rsid w:val="002221EB"/>
  </w:style>
  <w:style w:type="character" w:customStyle="1" w:styleId="highlightbackground">
    <w:name w:val="highlightbackground"/>
    <w:basedOn w:val="DefaultParagraphFont"/>
    <w:rsid w:val="002221EB"/>
  </w:style>
  <w:style w:type="paragraph" w:styleId="BalloonText">
    <w:name w:val="Balloon Text"/>
    <w:basedOn w:val="Normal"/>
    <w:link w:val="BalloonTextChar"/>
    <w:uiPriority w:val="99"/>
    <w:semiHidden/>
    <w:unhideWhenUsed/>
    <w:rsid w:val="002221EB"/>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2221EB"/>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73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55A"/>
  </w:style>
  <w:style w:type="paragraph" w:styleId="Footer">
    <w:name w:val="footer"/>
    <w:basedOn w:val="Normal"/>
    <w:link w:val="FooterChar"/>
    <w:uiPriority w:val="99"/>
    <w:unhideWhenUsed/>
    <w:rsid w:val="00D73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51</Pages>
  <Words>13130</Words>
  <Characters>74842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6</cp:revision>
  <dcterms:created xsi:type="dcterms:W3CDTF">2019-12-11T01:42:00Z</dcterms:created>
  <dcterms:modified xsi:type="dcterms:W3CDTF">2021-10-18T05:54:00Z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A19465679</vt:lpwstr>
  </property>
  <property fmtid="{D5CDD505-2E9C-101B-9397-08002B2CF9AE}" pid="4" name="Objective-Title">
    <vt:lpwstr>7.2.3.2.8.1 Light industry sub-precinct - Assessable - UPDATED</vt:lpwstr>
  </property>
  <property fmtid="{D5CDD505-2E9C-101B-9397-08002B2CF9AE}" pid="5" name="Objective-Comment">
    <vt:lpwstr/>
  </property>
  <property fmtid="{D5CDD505-2E9C-101B-9397-08002B2CF9AE}" pid="6" name="Objective-CreationStamp">
    <vt:filetime>2019-12-12T02:44:47Z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2020-01-06T05:51:31Z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