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427"/>
        <w:gridCol w:w="5428"/>
        <w:gridCol w:w="2482"/>
        <w:gridCol w:w="3061"/>
      </w:tblGrid>
      <w:tr w:rsidR="00816DE1" w:rsidRPr="00816DE1" w:rsidTr="00816DE1">
        <w:trPr>
          <w:tblCellSpacing w:w="15" w:type="dxa"/>
        </w:trPr>
        <w:tc>
          <w:tcPr>
            <w:tcW w:w="4981" w:type="pct"/>
            <w:gridSpan w:val="4"/>
            <w:tcBorders>
              <w:top w:val="nil"/>
              <w:left w:val="nil"/>
              <w:bottom w:val="nil"/>
              <w:right w:val="nil"/>
            </w:tcBorders>
            <w:shd w:val="clear" w:color="auto" w:fill="CCCCCC"/>
            <w:vAlign w:val="center"/>
            <w:hideMark/>
          </w:tcPr>
          <w:p w:rsidR="00816DE1" w:rsidRPr="00816DE1" w:rsidRDefault="00816DE1" w:rsidP="00E257BD">
            <w:pPr>
              <w:jc w:val="center"/>
              <w:rPr>
                <w:rStyle w:val="Strong"/>
                <w:rFonts w:ascii="Arial" w:eastAsia="Times New Roman" w:hAnsi="Arial" w:cs="Arial"/>
                <w:sz w:val="20"/>
                <w:szCs w:val="20"/>
              </w:rPr>
            </w:pPr>
            <w:r w:rsidRPr="00816DE1">
              <w:rPr>
                <w:rStyle w:val="Strong"/>
                <w:rFonts w:ascii="Arial" w:eastAsia="Times New Roman" w:hAnsi="Arial" w:cs="Arial"/>
                <w:sz w:val="20"/>
                <w:szCs w:val="20"/>
              </w:rPr>
              <w:t>Table 9.3.1.2 Criteria for assessable development</w:t>
            </w:r>
          </w:p>
        </w:tc>
      </w:tr>
      <w:tr w:rsidR="00E257BD" w:rsidRPr="00816DE1" w:rsidTr="00E257BD">
        <w:trPr>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Performance Outcomes</w:t>
            </w:r>
          </w:p>
        </w:tc>
        <w:tc>
          <w:tcPr>
            <w:tcW w:w="1753" w:type="pct"/>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Examples that achieve aspects of the Performance Outcomes</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816DE1">
            <w:pPr>
              <w:pStyle w:val="NormalWeb"/>
              <w:spacing w:before="0" w:beforeAutospacing="0" w:after="0" w:afterAutospacing="0"/>
              <w:rPr>
                <w:rFonts w:ascii="Arial" w:hAnsi="Arial" w:cs="Arial"/>
                <w:b/>
                <w:bCs/>
                <w:sz w:val="20"/>
                <w:szCs w:val="20"/>
              </w:rPr>
            </w:pPr>
            <w:r w:rsidRPr="00816DE1">
              <w:rPr>
                <w:rFonts w:ascii="Arial" w:hAnsi="Arial" w:cs="Arial"/>
                <w:b/>
                <w:bCs/>
                <w:sz w:val="20"/>
                <w:szCs w:val="20"/>
              </w:rPr>
              <w:t>E Compliance</w:t>
            </w:r>
          </w:p>
          <w:p w:rsidR="00816DE1" w:rsidRPr="00816DE1" w:rsidRDefault="00816DE1" w:rsidP="0069586D">
            <w:pPr>
              <w:pStyle w:val="NormalWeb"/>
              <w:numPr>
                <w:ilvl w:val="0"/>
                <w:numId w:val="94"/>
              </w:numPr>
              <w:spacing w:before="0" w:beforeAutospacing="0" w:after="0" w:afterAutospacing="0"/>
              <w:rPr>
                <w:rFonts w:ascii="Arial" w:hAnsi="Arial" w:cs="Arial"/>
                <w:b/>
                <w:bCs/>
                <w:sz w:val="20"/>
                <w:szCs w:val="20"/>
              </w:rPr>
            </w:pPr>
            <w:r w:rsidRPr="00816DE1">
              <w:rPr>
                <w:rFonts w:ascii="Arial" w:hAnsi="Arial" w:cs="Arial"/>
                <w:b/>
                <w:bCs/>
                <w:sz w:val="20"/>
                <w:szCs w:val="20"/>
              </w:rPr>
              <w:t>Yes</w:t>
            </w:r>
          </w:p>
          <w:p w:rsidR="00816DE1" w:rsidRPr="00816DE1" w:rsidRDefault="00816DE1" w:rsidP="0069586D">
            <w:pPr>
              <w:pStyle w:val="NormalWeb"/>
              <w:numPr>
                <w:ilvl w:val="0"/>
                <w:numId w:val="94"/>
              </w:numPr>
              <w:spacing w:before="0" w:beforeAutospacing="0" w:after="0" w:afterAutospacing="0"/>
              <w:rPr>
                <w:rFonts w:ascii="Arial" w:hAnsi="Arial" w:cs="Arial"/>
                <w:b/>
                <w:bCs/>
                <w:sz w:val="20"/>
                <w:szCs w:val="20"/>
              </w:rPr>
            </w:pPr>
            <w:r w:rsidRPr="00816DE1">
              <w:rPr>
                <w:rFonts w:ascii="Arial" w:hAnsi="Arial" w:cs="Arial"/>
                <w:b/>
                <w:bCs/>
                <w:sz w:val="20"/>
                <w:szCs w:val="20"/>
              </w:rPr>
              <w:t>No See PO or</w:t>
            </w:r>
          </w:p>
          <w:p w:rsidR="00816DE1" w:rsidRPr="00816DE1" w:rsidRDefault="00816DE1" w:rsidP="0069586D">
            <w:pPr>
              <w:pStyle w:val="NormalWeb"/>
              <w:numPr>
                <w:ilvl w:val="0"/>
                <w:numId w:val="94"/>
              </w:numPr>
              <w:spacing w:before="0" w:beforeAutospacing="0" w:after="0" w:afterAutospacing="0"/>
              <w:rPr>
                <w:rStyle w:val="Strong"/>
                <w:rFonts w:ascii="Arial" w:hAnsi="Arial" w:cs="Arial"/>
                <w:sz w:val="20"/>
                <w:szCs w:val="20"/>
              </w:rPr>
            </w:pPr>
            <w:r w:rsidRPr="00816DE1">
              <w:rPr>
                <w:rFonts w:ascii="Arial" w:hAnsi="Arial" w:cs="Arial"/>
                <w:b/>
                <w:bCs/>
                <w:sz w:val="20"/>
                <w:szCs w:val="20"/>
              </w:rPr>
              <w:t>NA</w:t>
            </w: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r w:rsidRPr="00816DE1">
              <w:rPr>
                <w:rFonts w:ascii="Arial" w:hAnsi="Arial" w:cs="Arial"/>
                <w:b/>
                <w:bCs/>
                <w:sz w:val="20"/>
                <w:szCs w:val="20"/>
              </w:rPr>
              <w:t>Justification for compliance</w:t>
            </w:r>
          </w:p>
        </w:tc>
      </w:tr>
      <w:tr w:rsidR="00E257BD" w:rsidRPr="00816DE1" w:rsidTr="00E257BD">
        <w:trPr>
          <w:tblCellSpacing w:w="15" w:type="dxa"/>
        </w:trPr>
        <w:tc>
          <w:tcPr>
            <w:tcW w:w="4981" w:type="pct"/>
            <w:gridSpan w:val="4"/>
            <w:tcBorders>
              <w:top w:val="single" w:sz="4" w:space="0" w:color="000000"/>
              <w:left w:val="single" w:sz="4" w:space="0" w:color="000000"/>
              <w:bottom w:val="single" w:sz="4" w:space="0" w:color="000000"/>
              <w:right w:val="single" w:sz="4" w:space="0" w:color="000000"/>
            </w:tcBorders>
            <w:shd w:val="clear" w:color="auto" w:fill="CCCCCC"/>
            <w:hideMark/>
          </w:tcPr>
          <w:p w:rsidR="00E257BD" w:rsidRPr="00816DE1" w:rsidRDefault="00E257BD" w:rsidP="00E257BD">
            <w:pPr>
              <w:pStyle w:val="NormalWeb"/>
              <w:jc w:val="center"/>
              <w:rPr>
                <w:rStyle w:val="Strong"/>
                <w:rFonts w:ascii="Arial" w:hAnsi="Arial" w:cs="Arial"/>
                <w:sz w:val="20"/>
                <w:szCs w:val="20"/>
              </w:rPr>
            </w:pPr>
            <w:r w:rsidRPr="00816DE1">
              <w:rPr>
                <w:rStyle w:val="Strong"/>
                <w:rFonts w:ascii="Arial" w:hAnsi="Arial" w:cs="Arial"/>
                <w:sz w:val="20"/>
                <w:szCs w:val="20"/>
              </w:rPr>
              <w:t>General criteria</w:t>
            </w: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Building height</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3135"/>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Buildings have a height that:</w:t>
            </w:r>
          </w:p>
          <w:p w:rsidR="00816DE1" w:rsidRPr="00816DE1" w:rsidRDefault="00816DE1" w:rsidP="0069586D">
            <w:pPr>
              <w:pStyle w:val="NormalWeb"/>
              <w:numPr>
                <w:ilvl w:val="0"/>
                <w:numId w:val="1"/>
              </w:numPr>
              <w:rPr>
                <w:rFonts w:ascii="Arial" w:hAnsi="Arial" w:cs="Arial"/>
                <w:sz w:val="20"/>
                <w:szCs w:val="20"/>
              </w:rPr>
            </w:pPr>
            <w:r w:rsidRPr="00816DE1">
              <w:rPr>
                <w:rFonts w:ascii="Arial" w:hAnsi="Arial" w:cs="Arial"/>
                <w:sz w:val="20"/>
                <w:szCs w:val="20"/>
              </w:rPr>
              <w:t>is consistent with the intended character of the streetscape, precinct and zone;</w:t>
            </w:r>
          </w:p>
          <w:p w:rsidR="00816DE1" w:rsidRPr="00816DE1" w:rsidRDefault="00816DE1" w:rsidP="0069586D">
            <w:pPr>
              <w:pStyle w:val="NormalWeb"/>
              <w:numPr>
                <w:ilvl w:val="0"/>
                <w:numId w:val="1"/>
              </w:numPr>
              <w:rPr>
                <w:rFonts w:ascii="Arial" w:hAnsi="Arial" w:cs="Arial"/>
                <w:sz w:val="20"/>
                <w:szCs w:val="20"/>
              </w:rPr>
            </w:pPr>
            <w:r w:rsidRPr="00816DE1">
              <w:rPr>
                <w:rFonts w:ascii="Arial" w:hAnsi="Arial" w:cs="Arial"/>
                <w:sz w:val="20"/>
                <w:szCs w:val="20"/>
              </w:rPr>
              <w:t>responds to the topographical features of the lot, including slope and orientation;</w:t>
            </w:r>
          </w:p>
          <w:p w:rsidR="00816DE1" w:rsidRPr="00816DE1" w:rsidRDefault="00816DE1" w:rsidP="0069586D">
            <w:pPr>
              <w:pStyle w:val="NormalWeb"/>
              <w:numPr>
                <w:ilvl w:val="0"/>
                <w:numId w:val="1"/>
              </w:numPr>
              <w:rPr>
                <w:rFonts w:ascii="Arial" w:hAnsi="Arial" w:cs="Arial"/>
                <w:sz w:val="20"/>
                <w:szCs w:val="20"/>
              </w:rPr>
            </w:pPr>
            <w:r w:rsidRPr="00816DE1">
              <w:rPr>
                <w:rFonts w:ascii="Arial" w:hAnsi="Arial" w:cs="Arial"/>
                <w:sz w:val="20"/>
                <w:szCs w:val="20"/>
              </w:rPr>
              <w:t>is not visually dominant or overbearing with respect to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statement that is an alternative provision to the QDC, part MP1.1, P4 and MP1.2, P4.</w:t>
                  </w:r>
                </w:p>
              </w:tc>
            </w:tr>
            <w:tr w:rsidR="00E257BD" w:rsidRPr="00816DE1" w:rsidTr="00816DE1">
              <w:trPr>
                <w:trHeight w:val="480"/>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Building height does not exceed that mapped on Overlay map – Building heights.</w:t>
            </w:r>
          </w:p>
          <w:tbl>
            <w:tblPr>
              <w:tblW w:w="548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89"/>
            </w:tblGrid>
            <w:tr w:rsidR="00816DE1" w:rsidRPr="00816DE1" w:rsidTr="00816DE1">
              <w:trPr>
                <w:trHeight w:val="2451"/>
                <w:tblCellSpacing w:w="15" w:type="dxa"/>
              </w:trPr>
              <w:tc>
                <w:tcPr>
                  <w:tcW w:w="5429"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Minimum's mapped on Overlay map - Building heights, do not apply to Dwelling houses.</w:t>
                  </w:r>
                </w:p>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The above does not apply to domestic outbuildings. Refer to assessment criteria for Domestic outbuildings for requirements.</w:t>
                  </w:r>
                </w:p>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quantifiable standard that is an alternative provision to the QDC, part MP1.1, A4 and part MP1.2, A4. Non-compliance with this provision for a Dwelling house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2265"/>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Tall structures (e.g. antenna, aerial, chimney, flagpole, receiving dishes or the like) have a height and diameter that:</w:t>
            </w:r>
          </w:p>
          <w:p w:rsidR="00816DE1" w:rsidRPr="00816DE1" w:rsidRDefault="00816DE1" w:rsidP="0069586D">
            <w:pPr>
              <w:numPr>
                <w:ilvl w:val="0"/>
                <w:numId w:val="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is not visually dominant or overbearing with respect to the streetscape and the wider receiving environment;</w:t>
            </w:r>
          </w:p>
          <w:p w:rsidR="00816DE1" w:rsidRPr="00816DE1" w:rsidRDefault="00816DE1" w:rsidP="0069586D">
            <w:pPr>
              <w:numPr>
                <w:ilvl w:val="0"/>
                <w:numId w:val="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adversely affect amenity of the area or of adjoining properties.</w:t>
            </w: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height of tall structures (e.g. antenna, aerial, chimney, flagpole or the like) projects no more than 8.5m above ground level and transmission and receiving dishes are no larger than 1.2m diameter.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816DE1" w:rsidRDefault="00816DE1" w:rsidP="00E257BD">
                  <w:pPr>
                    <w:rPr>
                      <w:rFonts w:ascii="Arial" w:eastAsia="Times New Roman" w:hAnsi="Arial" w:cs="Arial"/>
                      <w:sz w:val="20"/>
                      <w:szCs w:val="20"/>
                    </w:rPr>
                  </w:pPr>
                  <w:r w:rsidRPr="00C64A89">
                    <w:rPr>
                      <w:rFonts w:ascii="Arial" w:eastAsia="Times New Roman" w:hAnsi="Arial" w:cs="Arial"/>
                      <w:sz w:val="18"/>
                      <w:szCs w:val="20"/>
                    </w:rPr>
                    <w:t>Note - This is a quantifiable standard that relates to matters identified in Schedule 9, Part 3, Division 2, Table of Regulation. Non-compliance with this provision for a Dwelling house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Setbacks</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Default="00816DE1" w:rsidP="00E257BD">
            <w:pPr>
              <w:pStyle w:val="NormalWeb"/>
              <w:rPr>
                <w:rStyle w:val="Strong"/>
                <w:rFonts w:ascii="Arial" w:hAnsi="Arial" w:cs="Arial"/>
                <w:sz w:val="20"/>
                <w:szCs w:val="20"/>
              </w:rPr>
            </w:pPr>
          </w:p>
          <w:p w:rsidR="00C64A89" w:rsidRPr="00C64A89" w:rsidRDefault="00C64A89" w:rsidP="00C64A89"/>
        </w:tc>
      </w:tr>
      <w:tr w:rsidR="00E257BD" w:rsidRPr="00816DE1" w:rsidTr="00E257BD">
        <w:trPr>
          <w:tblCellSpacing w:w="15" w:type="dxa"/>
        </w:trPr>
        <w:tc>
          <w:tcPr>
            <w:tcW w:w="1432"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Dwelling houses</w:t>
            </w:r>
            <w:r w:rsidRPr="00816DE1">
              <w:rPr>
                <w:rFonts w:ascii="Arial" w:hAnsi="Arial" w:cs="Arial"/>
                <w:sz w:val="20"/>
                <w:szCs w:val="20"/>
                <w:vertAlign w:val="superscript"/>
              </w:rPr>
              <w:t>(</w:t>
            </w:r>
            <w:hyperlink r:id="rId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r w:rsidRPr="00816DE1">
              <w:rPr>
                <w:rFonts w:ascii="Arial" w:hAnsi="Arial" w:cs="Arial"/>
                <w:sz w:val="20"/>
                <w:szCs w:val="20"/>
              </w:rPr>
              <w:t xml:space="preserve"> and structures are setback to:</w:t>
            </w:r>
          </w:p>
          <w:p w:rsidR="00816DE1" w:rsidRPr="00816DE1" w:rsidRDefault="00816DE1" w:rsidP="0069586D">
            <w:pPr>
              <w:pStyle w:val="NormalWeb"/>
              <w:numPr>
                <w:ilvl w:val="0"/>
                <w:numId w:val="3"/>
              </w:numPr>
              <w:rPr>
                <w:rFonts w:ascii="Arial" w:hAnsi="Arial" w:cs="Arial"/>
                <w:sz w:val="20"/>
                <w:szCs w:val="20"/>
              </w:rPr>
            </w:pPr>
            <w:r w:rsidRPr="00816DE1">
              <w:rPr>
                <w:rFonts w:ascii="Arial" w:hAnsi="Arial" w:cs="Arial"/>
                <w:sz w:val="20"/>
                <w:szCs w:val="20"/>
              </w:rPr>
              <w:t>be consistent with the intended character of the streetscape, precinct and zone;</w:t>
            </w:r>
          </w:p>
          <w:tbl>
            <w:tblPr>
              <w:tblW w:w="3599" w:type="dxa"/>
              <w:tblCellSpacing w:w="15" w:type="dxa"/>
              <w:tblInd w:w="720" w:type="dxa"/>
              <w:tblLayout w:type="fixed"/>
              <w:tblCellMar>
                <w:top w:w="30" w:type="dxa"/>
                <w:left w:w="30" w:type="dxa"/>
                <w:bottom w:w="30" w:type="dxa"/>
                <w:right w:w="30" w:type="dxa"/>
              </w:tblCellMar>
              <w:tblLook w:val="04A0" w:firstRow="1" w:lastRow="0" w:firstColumn="1" w:lastColumn="0" w:noHBand="0" w:noVBand="1"/>
              <w:tblDescription w:val=""/>
            </w:tblPr>
            <w:tblGrid>
              <w:gridCol w:w="3599"/>
            </w:tblGrid>
            <w:tr w:rsidR="00E257BD" w:rsidRPr="00816DE1" w:rsidTr="00E257BD">
              <w:trPr>
                <w:trHeight w:val="863"/>
                <w:tblCellSpacing w:w="15" w:type="dxa"/>
              </w:trPr>
              <w:tc>
                <w:tcPr>
                  <w:tcW w:w="3539"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the overall outcomes for the relevant zone, precinct or sub-precinct to determine the relevant precinct character intended.</w:t>
                  </w:r>
                </w:p>
              </w:tc>
            </w:tr>
          </w:tbl>
          <w:p w:rsidR="00816DE1" w:rsidRPr="00816DE1" w:rsidRDefault="00816DE1" w:rsidP="0069586D">
            <w:pPr>
              <w:pStyle w:val="NormalWeb"/>
              <w:numPr>
                <w:ilvl w:val="0"/>
                <w:numId w:val="3"/>
              </w:numPr>
              <w:rPr>
                <w:rFonts w:ascii="Arial" w:hAnsi="Arial" w:cs="Arial"/>
                <w:sz w:val="20"/>
                <w:szCs w:val="20"/>
              </w:rPr>
            </w:pPr>
            <w:r w:rsidRPr="00816DE1">
              <w:rPr>
                <w:rFonts w:ascii="Arial" w:hAnsi="Arial" w:cs="Arial"/>
                <w:sz w:val="20"/>
                <w:szCs w:val="20"/>
              </w:rPr>
              <w:t>ensure parked vehicles do not restrict pedestrian and traffic movement and safety;</w:t>
            </w:r>
          </w:p>
          <w:p w:rsidR="00816DE1" w:rsidRPr="00816DE1" w:rsidRDefault="00816DE1" w:rsidP="0069586D">
            <w:pPr>
              <w:pStyle w:val="NormalWeb"/>
              <w:numPr>
                <w:ilvl w:val="0"/>
                <w:numId w:val="3"/>
              </w:numPr>
              <w:rPr>
                <w:rFonts w:ascii="Arial" w:hAnsi="Arial" w:cs="Arial"/>
                <w:sz w:val="20"/>
                <w:szCs w:val="20"/>
              </w:rPr>
            </w:pPr>
            <w:r w:rsidRPr="00816DE1">
              <w:rPr>
                <w:rFonts w:ascii="Arial" w:hAnsi="Arial" w:cs="Arial"/>
                <w:sz w:val="20"/>
                <w:szCs w:val="20"/>
              </w:rPr>
              <w:t xml:space="preserve">provide adequate separation to </w:t>
            </w:r>
            <w:proofErr w:type="gramStart"/>
            <w:r w:rsidRPr="00816DE1">
              <w:rPr>
                <w:rFonts w:ascii="Arial" w:hAnsi="Arial" w:cs="Arial"/>
                <w:sz w:val="20"/>
                <w:szCs w:val="20"/>
              </w:rPr>
              <w:t>particular infrastructure</w:t>
            </w:r>
            <w:proofErr w:type="gramEnd"/>
            <w:r w:rsidRPr="00816DE1">
              <w:rPr>
                <w:rFonts w:ascii="Arial" w:hAnsi="Arial" w:cs="Arial"/>
                <w:sz w:val="20"/>
                <w:szCs w:val="20"/>
              </w:rPr>
              <w:t xml:space="preserve"> and waterbodies to minimise adverse impacts on people, property, water quality and infrastructure;</w:t>
            </w:r>
          </w:p>
          <w:p w:rsidR="00816DE1" w:rsidRPr="00816DE1" w:rsidRDefault="00816DE1" w:rsidP="0069586D">
            <w:pPr>
              <w:pStyle w:val="NormalWeb"/>
              <w:numPr>
                <w:ilvl w:val="0"/>
                <w:numId w:val="3"/>
              </w:numPr>
              <w:rPr>
                <w:rFonts w:ascii="Arial" w:hAnsi="Arial" w:cs="Arial"/>
                <w:sz w:val="20"/>
                <w:szCs w:val="20"/>
              </w:rPr>
            </w:pPr>
            <w:r w:rsidRPr="00816DE1">
              <w:rPr>
                <w:rFonts w:ascii="Arial" w:hAnsi="Arial" w:cs="Arial"/>
                <w:sz w:val="20"/>
                <w:szCs w:val="20"/>
              </w:rPr>
              <w:t>maintain the privacy of residents and adjoining properties;</w:t>
            </w:r>
          </w:p>
          <w:p w:rsidR="00816DE1" w:rsidRPr="00816DE1" w:rsidRDefault="00816DE1" w:rsidP="0069586D">
            <w:pPr>
              <w:pStyle w:val="NormalWeb"/>
              <w:numPr>
                <w:ilvl w:val="0"/>
                <w:numId w:val="3"/>
              </w:numPr>
              <w:rPr>
                <w:rFonts w:ascii="Arial" w:hAnsi="Arial" w:cs="Arial"/>
                <w:sz w:val="20"/>
                <w:szCs w:val="20"/>
              </w:rPr>
            </w:pPr>
            <w:r w:rsidRPr="00816DE1">
              <w:rPr>
                <w:rFonts w:ascii="Arial" w:hAnsi="Arial" w:cs="Arial"/>
                <w:sz w:val="20"/>
                <w:szCs w:val="20"/>
              </w:rPr>
              <w:t>limit the length and height of boundary walls to maximise privacy and amenity of residents on adjoining properties;</w:t>
            </w:r>
          </w:p>
          <w:p w:rsidR="00816DE1" w:rsidRPr="00816DE1" w:rsidRDefault="00816DE1" w:rsidP="0069586D">
            <w:pPr>
              <w:pStyle w:val="NormalWeb"/>
              <w:numPr>
                <w:ilvl w:val="0"/>
                <w:numId w:val="3"/>
              </w:numPr>
              <w:rPr>
                <w:rFonts w:ascii="Arial" w:hAnsi="Arial" w:cs="Arial"/>
                <w:sz w:val="20"/>
                <w:szCs w:val="20"/>
              </w:rPr>
            </w:pPr>
            <w:r w:rsidRPr="00816DE1">
              <w:rPr>
                <w:rFonts w:ascii="Arial" w:hAnsi="Arial" w:cs="Arial"/>
                <w:sz w:val="20"/>
                <w:szCs w:val="20"/>
              </w:rPr>
              <w:t>ensure built to boundary walls do not create unusable or inaccessible spaces and do not negatively impact the streetscape character or the expected amenity of residents on adjoining properties;</w:t>
            </w:r>
          </w:p>
          <w:p w:rsidR="00816DE1" w:rsidRPr="00816DE1" w:rsidRDefault="00816DE1" w:rsidP="0069586D">
            <w:pPr>
              <w:pStyle w:val="NormalWeb"/>
              <w:numPr>
                <w:ilvl w:val="0"/>
                <w:numId w:val="3"/>
              </w:numPr>
              <w:rPr>
                <w:rFonts w:ascii="Arial" w:hAnsi="Arial" w:cs="Arial"/>
                <w:sz w:val="20"/>
                <w:szCs w:val="20"/>
              </w:rPr>
            </w:pPr>
            <w:r w:rsidRPr="00816DE1">
              <w:rPr>
                <w:rFonts w:ascii="Arial" w:hAnsi="Arial" w:cs="Arial"/>
                <w:sz w:val="20"/>
                <w:szCs w:val="20"/>
              </w:rPr>
              <w:t>maintain private open space areas that are of a size and shape that are useable and functional; and</w:t>
            </w:r>
          </w:p>
          <w:p w:rsidR="00816DE1" w:rsidRPr="00816DE1" w:rsidRDefault="00816DE1" w:rsidP="0069586D">
            <w:pPr>
              <w:pStyle w:val="NormalWeb"/>
              <w:numPr>
                <w:ilvl w:val="0"/>
                <w:numId w:val="3"/>
              </w:numPr>
              <w:rPr>
                <w:rFonts w:ascii="Arial" w:hAnsi="Arial" w:cs="Arial"/>
                <w:sz w:val="20"/>
                <w:szCs w:val="20"/>
              </w:rPr>
            </w:pPr>
            <w:r w:rsidRPr="00816DE1">
              <w:rPr>
                <w:rFonts w:ascii="Arial" w:hAnsi="Arial" w:cs="Arial"/>
                <w:sz w:val="20"/>
                <w:szCs w:val="20"/>
              </w:rPr>
              <w:t xml:space="preserve">ensure covered car parking spaces and domestic outbuildings that are visible from the street or public place are of a scale, location and built form that is </w:t>
            </w:r>
            <w:r w:rsidRPr="00816DE1">
              <w:rPr>
                <w:rFonts w:ascii="Arial" w:hAnsi="Arial" w:cs="Arial"/>
                <w:sz w:val="20"/>
                <w:szCs w:val="20"/>
              </w:rPr>
              <w:lastRenderedPageBreak/>
              <w:t>consistent with the existing streetscape and character of the precinct and avoids dominating or otherwise negatively impacting the streetscape or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C64A89" w:rsidTr="00816DE1">
              <w:trPr>
                <w:tblCellSpacing w:w="15" w:type="dxa"/>
              </w:trPr>
              <w:tc>
                <w:tcPr>
                  <w:tcW w:w="5000" w:type="pct"/>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Editor's note - For example, materials, colours, finishes and roof form are consistent with the existing dwelling.</w:t>
                  </w:r>
                </w:p>
              </w:tc>
            </w:tr>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statement that is an alternative provision to the QDC, part MP1.1, P1 and P2 and MP1.2, P1 and P2.</w:t>
                  </w:r>
                </w:p>
              </w:tc>
            </w:tr>
          </w:tbl>
          <w:p w:rsidR="00816DE1" w:rsidRPr="00C64A89" w:rsidRDefault="00816DE1" w:rsidP="00E257BD">
            <w:pPr>
              <w:rPr>
                <w:rFonts w:ascii="Arial" w:eastAsia="Times New Roman" w:hAnsi="Arial" w:cs="Arial"/>
                <w:vanish/>
                <w:sz w:val="18"/>
                <w:szCs w:val="20"/>
              </w:rPr>
            </w:pPr>
          </w:p>
          <w:tbl>
            <w:tblPr>
              <w:tblW w:w="432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29"/>
            </w:tblGrid>
            <w:tr w:rsidR="00816DE1" w:rsidRPr="00C64A89" w:rsidTr="00E257BD">
              <w:trPr>
                <w:trHeight w:val="405"/>
                <w:tblCellSpacing w:w="15" w:type="dxa"/>
              </w:trPr>
              <w:tc>
                <w:tcPr>
                  <w:tcW w:w="4269"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r w:rsidR="00816DE1" w:rsidRPr="00C64A89" w:rsidTr="00E257BD">
              <w:trPr>
                <w:trHeight w:val="787"/>
                <w:tblCellSpacing w:w="15" w:type="dxa"/>
              </w:trPr>
              <w:tc>
                <w:tcPr>
                  <w:tcW w:w="4269"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 xml:space="preserve">Editor's note - The location and design of the Dwelling house, specifically garages and covered car parking spaces are to ensure the design and location of any resultant driveways and crossovers </w:t>
                  </w:r>
                  <w:proofErr w:type="gramStart"/>
                  <w:r w:rsidRPr="00C64A89">
                    <w:rPr>
                      <w:rFonts w:ascii="Arial" w:hAnsi="Arial" w:cs="Arial"/>
                      <w:sz w:val="18"/>
                      <w:szCs w:val="20"/>
                    </w:rPr>
                    <w:t>are able to</w:t>
                  </w:r>
                  <w:proofErr w:type="gramEnd"/>
                  <w:r w:rsidRPr="00C64A89">
                    <w:rPr>
                      <w:rFonts w:ascii="Arial" w:hAnsi="Arial" w:cs="Arial"/>
                      <w:sz w:val="18"/>
                      <w:szCs w:val="20"/>
                    </w:rPr>
                    <w:t xml:space="preserve"> comply with relevant criteria of Planning scheme policy - Integrated design (Appendix A) for Driveways, Vehicle and Pedestrian Crossover.</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E3.1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Setbacks comply with:</w:t>
            </w:r>
          </w:p>
          <w:p w:rsidR="00816DE1" w:rsidRPr="00816DE1" w:rsidRDefault="00816DE1" w:rsidP="0069586D">
            <w:pPr>
              <w:pStyle w:val="NormalWeb"/>
              <w:numPr>
                <w:ilvl w:val="0"/>
                <w:numId w:val="4"/>
              </w:numPr>
              <w:rPr>
                <w:rFonts w:ascii="Arial" w:hAnsi="Arial" w:cs="Arial"/>
                <w:sz w:val="20"/>
                <w:szCs w:val="20"/>
              </w:rPr>
            </w:pPr>
            <w:r w:rsidRPr="00816DE1">
              <w:rPr>
                <w:rFonts w:ascii="Arial" w:hAnsi="Arial" w:cs="Arial"/>
                <w:sz w:val="20"/>
                <w:szCs w:val="20"/>
              </w:rPr>
              <w:t>Emerging community zone:</w:t>
            </w:r>
          </w:p>
          <w:p w:rsidR="00816DE1" w:rsidRPr="00C64A89" w:rsidRDefault="00816DE1" w:rsidP="0069586D">
            <w:pPr>
              <w:pStyle w:val="NormalWeb"/>
              <w:numPr>
                <w:ilvl w:val="1"/>
                <w:numId w:val="4"/>
              </w:numPr>
              <w:rPr>
                <w:rFonts w:ascii="Arial" w:hAnsi="Arial" w:cs="Arial"/>
                <w:sz w:val="20"/>
                <w:szCs w:val="20"/>
              </w:rPr>
            </w:pPr>
            <w:r w:rsidRPr="00816DE1">
              <w:rPr>
                <w:rFonts w:ascii="Arial" w:hAnsi="Arial" w:cs="Arial"/>
                <w:sz w:val="20"/>
                <w:szCs w:val="20"/>
              </w:rPr>
              <w:t xml:space="preserve">Transition precinct (developed lot) Morayfield South urban area identified in </w:t>
            </w:r>
            <w:hyperlink r:id="rId8" w:anchor="ID-2859427-532" w:history="1">
              <w:r w:rsidRPr="00C64A89">
                <w:rPr>
                  <w:rStyle w:val="Hyperlink"/>
                  <w:rFonts w:ascii="Arial" w:hAnsi="Arial" w:cs="Arial"/>
                  <w:color w:val="auto"/>
                  <w:sz w:val="20"/>
                  <w:szCs w:val="20"/>
                  <w:u w:val="none"/>
                </w:rPr>
                <w:t>‘Figure 9.3.1.1 Morayfield South - Urban area ’</w:t>
              </w:r>
            </w:hyperlink>
            <w:r w:rsidRPr="00C64A89">
              <w:rPr>
                <w:rFonts w:ascii="Arial" w:hAnsi="Arial" w:cs="Arial"/>
                <w:sz w:val="20"/>
                <w:szCs w:val="20"/>
              </w:rPr>
              <w:t xml:space="preserve"> - </w:t>
            </w:r>
            <w:hyperlink r:id="rId9" w:anchor="ID-2859427-TABLE-9.3.1.6" w:history="1">
              <w:r w:rsidRPr="00C64A89">
                <w:rPr>
                  <w:rStyle w:val="Hyperlink"/>
                  <w:rFonts w:ascii="Arial" w:hAnsi="Arial" w:cs="Arial"/>
                  <w:color w:val="auto"/>
                  <w:sz w:val="20"/>
                  <w:szCs w:val="20"/>
                  <w:u w:val="none"/>
                </w:rPr>
                <w:t>Table 9.3.1.6 ‘Setbacks’</w:t>
              </w:r>
            </w:hyperlink>
          </w:p>
          <w:p w:rsidR="00816DE1" w:rsidRPr="00C64A89" w:rsidRDefault="00816DE1" w:rsidP="0069586D">
            <w:pPr>
              <w:pStyle w:val="NormalWeb"/>
              <w:numPr>
                <w:ilvl w:val="1"/>
                <w:numId w:val="4"/>
              </w:numPr>
              <w:rPr>
                <w:rFonts w:ascii="Arial" w:hAnsi="Arial" w:cs="Arial"/>
                <w:sz w:val="20"/>
                <w:szCs w:val="20"/>
              </w:rPr>
            </w:pPr>
            <w:r w:rsidRPr="00C64A89">
              <w:rPr>
                <w:rFonts w:ascii="Arial" w:hAnsi="Arial" w:cs="Arial"/>
                <w:sz w:val="20"/>
                <w:szCs w:val="20"/>
              </w:rPr>
              <w:t xml:space="preserve">Transition precinct (developed lot) all other areas - </w:t>
            </w:r>
            <w:hyperlink r:id="rId10" w:anchor="ID-2859427-TABLE-9.3.1.5" w:history="1">
              <w:r w:rsidRPr="00C64A89">
                <w:rPr>
                  <w:rStyle w:val="Hyperlink"/>
                  <w:rFonts w:ascii="Arial" w:hAnsi="Arial" w:cs="Arial"/>
                  <w:color w:val="auto"/>
                  <w:sz w:val="20"/>
                  <w:szCs w:val="20"/>
                  <w:u w:val="none"/>
                </w:rPr>
                <w:t>Table 9.3.1.5 ‘Setbacks’</w:t>
              </w:r>
            </w:hyperlink>
          </w:p>
          <w:p w:rsidR="00816DE1" w:rsidRPr="00C64A89" w:rsidRDefault="00816DE1" w:rsidP="0069586D">
            <w:pPr>
              <w:pStyle w:val="NormalWeb"/>
              <w:numPr>
                <w:ilvl w:val="0"/>
                <w:numId w:val="5"/>
              </w:numPr>
              <w:rPr>
                <w:rFonts w:ascii="Arial" w:hAnsi="Arial" w:cs="Arial"/>
                <w:sz w:val="20"/>
                <w:szCs w:val="20"/>
              </w:rPr>
            </w:pPr>
            <w:r w:rsidRPr="00C64A89">
              <w:rPr>
                <w:rFonts w:ascii="Arial" w:hAnsi="Arial" w:cs="Arial"/>
                <w:sz w:val="20"/>
                <w:szCs w:val="20"/>
              </w:rPr>
              <w:t>General residential zone:</w:t>
            </w:r>
          </w:p>
          <w:p w:rsidR="00816DE1" w:rsidRPr="00C64A89" w:rsidRDefault="00816DE1" w:rsidP="0069586D">
            <w:pPr>
              <w:pStyle w:val="NormalWeb"/>
              <w:numPr>
                <w:ilvl w:val="1"/>
                <w:numId w:val="5"/>
              </w:numPr>
              <w:rPr>
                <w:rFonts w:ascii="Arial" w:hAnsi="Arial" w:cs="Arial"/>
                <w:sz w:val="20"/>
                <w:szCs w:val="20"/>
              </w:rPr>
            </w:pPr>
            <w:r w:rsidRPr="00C64A89">
              <w:rPr>
                <w:rFonts w:ascii="Arial" w:hAnsi="Arial" w:cs="Arial"/>
                <w:sz w:val="20"/>
                <w:szCs w:val="20"/>
              </w:rPr>
              <w:t xml:space="preserve">Coastal communities precinct - </w:t>
            </w:r>
            <w:hyperlink r:id="rId11" w:anchor="ID-2859427-TABLE-9.3.1.3" w:history="1">
              <w:r w:rsidRPr="00C64A89">
                <w:rPr>
                  <w:rStyle w:val="Hyperlink"/>
                  <w:rFonts w:ascii="Arial" w:hAnsi="Arial" w:cs="Arial"/>
                  <w:color w:val="auto"/>
                  <w:sz w:val="20"/>
                  <w:szCs w:val="20"/>
                  <w:u w:val="none"/>
                </w:rPr>
                <w:t>Table 9.3.1.3 ‘Setbacks’</w:t>
              </w:r>
            </w:hyperlink>
          </w:p>
          <w:p w:rsidR="00816DE1" w:rsidRPr="00C64A89" w:rsidRDefault="00816DE1" w:rsidP="0069586D">
            <w:pPr>
              <w:pStyle w:val="NormalWeb"/>
              <w:numPr>
                <w:ilvl w:val="1"/>
                <w:numId w:val="5"/>
              </w:numPr>
              <w:rPr>
                <w:rFonts w:ascii="Arial" w:hAnsi="Arial" w:cs="Arial"/>
                <w:sz w:val="20"/>
                <w:szCs w:val="20"/>
              </w:rPr>
            </w:pPr>
            <w:r w:rsidRPr="00C64A89">
              <w:rPr>
                <w:rFonts w:ascii="Arial" w:hAnsi="Arial" w:cs="Arial"/>
                <w:sz w:val="20"/>
                <w:szCs w:val="20"/>
              </w:rPr>
              <w:t xml:space="preserve">Suburban neighbourhood precinct - </w:t>
            </w:r>
            <w:hyperlink r:id="rId12" w:anchor="ID-2859427-TABLE-9.3.1.4" w:history="1">
              <w:r w:rsidRPr="00C64A89">
                <w:rPr>
                  <w:rStyle w:val="Hyperlink"/>
                  <w:rFonts w:ascii="Arial" w:hAnsi="Arial" w:cs="Arial"/>
                  <w:color w:val="auto"/>
                  <w:sz w:val="20"/>
                  <w:szCs w:val="20"/>
                  <w:u w:val="none"/>
                </w:rPr>
                <w:t>Table 9.3.1.4 ‘Setbacks’</w:t>
              </w:r>
            </w:hyperlink>
          </w:p>
          <w:p w:rsidR="00816DE1" w:rsidRPr="00C64A89" w:rsidRDefault="00816DE1" w:rsidP="0069586D">
            <w:pPr>
              <w:pStyle w:val="NormalWeb"/>
              <w:numPr>
                <w:ilvl w:val="1"/>
                <w:numId w:val="5"/>
              </w:numPr>
              <w:rPr>
                <w:rFonts w:ascii="Arial" w:hAnsi="Arial" w:cs="Arial"/>
                <w:sz w:val="20"/>
                <w:szCs w:val="20"/>
              </w:rPr>
            </w:pPr>
            <w:r w:rsidRPr="00C64A89">
              <w:rPr>
                <w:rFonts w:ascii="Arial" w:hAnsi="Arial" w:cs="Arial"/>
                <w:sz w:val="20"/>
                <w:szCs w:val="20"/>
              </w:rPr>
              <w:t xml:space="preserve">Next generation neighbourhood precinct - </w:t>
            </w:r>
            <w:hyperlink r:id="rId13" w:anchor="ID-2859427-TABLE-9.3.1.5" w:history="1">
              <w:r w:rsidRPr="00C64A89">
                <w:rPr>
                  <w:rStyle w:val="Hyperlink"/>
                  <w:rFonts w:ascii="Arial" w:hAnsi="Arial" w:cs="Arial"/>
                  <w:color w:val="auto"/>
                  <w:sz w:val="20"/>
                  <w:szCs w:val="20"/>
                  <w:u w:val="none"/>
                </w:rPr>
                <w:t>Table 9.3.1.5 ‘Setbacks’</w:t>
              </w:r>
            </w:hyperlink>
          </w:p>
          <w:p w:rsidR="00816DE1" w:rsidRPr="00C64A89" w:rsidRDefault="00816DE1" w:rsidP="0069586D">
            <w:pPr>
              <w:pStyle w:val="NormalWeb"/>
              <w:numPr>
                <w:ilvl w:val="1"/>
                <w:numId w:val="5"/>
              </w:numPr>
              <w:rPr>
                <w:rFonts w:ascii="Arial" w:hAnsi="Arial" w:cs="Arial"/>
                <w:sz w:val="20"/>
                <w:szCs w:val="20"/>
              </w:rPr>
            </w:pPr>
            <w:r w:rsidRPr="00C64A89">
              <w:rPr>
                <w:rFonts w:ascii="Arial" w:hAnsi="Arial" w:cs="Arial"/>
                <w:sz w:val="20"/>
                <w:szCs w:val="20"/>
              </w:rPr>
              <w:t xml:space="preserve">Urban neighbourhood precinct - </w:t>
            </w:r>
            <w:hyperlink r:id="rId14" w:anchor="ID-2859427-TABLE-9.3.1.6" w:history="1">
              <w:r w:rsidRPr="00C64A89">
                <w:rPr>
                  <w:rStyle w:val="Hyperlink"/>
                  <w:rFonts w:ascii="Arial" w:hAnsi="Arial" w:cs="Arial"/>
                  <w:color w:val="auto"/>
                  <w:sz w:val="20"/>
                  <w:szCs w:val="20"/>
                  <w:u w:val="none"/>
                </w:rPr>
                <w:t>Table 9.3.1.6 ‘Setbacks’</w:t>
              </w:r>
            </w:hyperlink>
          </w:p>
          <w:p w:rsidR="00816DE1" w:rsidRPr="00C64A89" w:rsidRDefault="00816DE1" w:rsidP="0069586D">
            <w:pPr>
              <w:pStyle w:val="NormalWeb"/>
              <w:numPr>
                <w:ilvl w:val="0"/>
                <w:numId w:val="5"/>
              </w:numPr>
              <w:rPr>
                <w:rFonts w:ascii="Arial" w:hAnsi="Arial" w:cs="Arial"/>
                <w:sz w:val="20"/>
                <w:szCs w:val="20"/>
              </w:rPr>
            </w:pPr>
            <w:r w:rsidRPr="00C64A89">
              <w:rPr>
                <w:rFonts w:ascii="Arial" w:hAnsi="Arial" w:cs="Arial"/>
                <w:sz w:val="20"/>
                <w:szCs w:val="20"/>
              </w:rPr>
              <w:t>Caboolture West local plan:</w:t>
            </w:r>
          </w:p>
          <w:p w:rsidR="00816DE1" w:rsidRPr="00C64A89" w:rsidRDefault="00816DE1" w:rsidP="0069586D">
            <w:pPr>
              <w:pStyle w:val="NormalWeb"/>
              <w:numPr>
                <w:ilvl w:val="1"/>
                <w:numId w:val="5"/>
              </w:numPr>
              <w:rPr>
                <w:rFonts w:ascii="Arial" w:hAnsi="Arial" w:cs="Arial"/>
                <w:sz w:val="20"/>
                <w:szCs w:val="20"/>
              </w:rPr>
            </w:pPr>
            <w:r w:rsidRPr="00C64A89">
              <w:rPr>
                <w:rFonts w:ascii="Arial" w:hAnsi="Arial" w:cs="Arial"/>
                <w:sz w:val="20"/>
                <w:szCs w:val="20"/>
              </w:rPr>
              <w:t xml:space="preserve">Urban living precinct - Next generation sub-precinct - </w:t>
            </w:r>
            <w:hyperlink r:id="rId15" w:anchor="ID-2859427-TABLE-9.3.1.5" w:history="1">
              <w:r w:rsidRPr="00C64A89">
                <w:rPr>
                  <w:rStyle w:val="Hyperlink"/>
                  <w:rFonts w:ascii="Arial" w:hAnsi="Arial" w:cs="Arial"/>
                  <w:color w:val="auto"/>
                  <w:sz w:val="20"/>
                  <w:szCs w:val="20"/>
                  <w:u w:val="none"/>
                </w:rPr>
                <w:t>Table 9.3.1.5 ‘Setbacks’</w:t>
              </w:r>
            </w:hyperlink>
          </w:p>
          <w:p w:rsidR="00816DE1" w:rsidRPr="00C64A89" w:rsidRDefault="00816DE1" w:rsidP="0069586D">
            <w:pPr>
              <w:pStyle w:val="NormalWeb"/>
              <w:numPr>
                <w:ilvl w:val="0"/>
                <w:numId w:val="5"/>
              </w:numPr>
              <w:rPr>
                <w:rFonts w:ascii="Arial" w:hAnsi="Arial" w:cs="Arial"/>
                <w:sz w:val="20"/>
                <w:szCs w:val="20"/>
              </w:rPr>
            </w:pPr>
            <w:r w:rsidRPr="00C64A89">
              <w:rPr>
                <w:rFonts w:ascii="Arial" w:hAnsi="Arial" w:cs="Arial"/>
                <w:sz w:val="20"/>
                <w:szCs w:val="20"/>
              </w:rPr>
              <w:t>Redcliffe Kippa-Ring local plan:</w:t>
            </w:r>
          </w:p>
          <w:p w:rsidR="00816DE1" w:rsidRPr="00816DE1" w:rsidRDefault="00816DE1" w:rsidP="0069586D">
            <w:pPr>
              <w:pStyle w:val="NormalWeb"/>
              <w:numPr>
                <w:ilvl w:val="1"/>
                <w:numId w:val="5"/>
              </w:numPr>
              <w:rPr>
                <w:rFonts w:ascii="Arial" w:hAnsi="Arial" w:cs="Arial"/>
                <w:sz w:val="20"/>
                <w:szCs w:val="20"/>
              </w:rPr>
            </w:pPr>
            <w:r w:rsidRPr="00816DE1">
              <w:rPr>
                <w:rFonts w:ascii="Arial" w:hAnsi="Arial" w:cs="Arial"/>
                <w:sz w:val="20"/>
                <w:szCs w:val="20"/>
              </w:rPr>
              <w:t>Interim residential precinct - Setbacks</w:t>
            </w:r>
          </w:p>
          <w:p w:rsidR="00816DE1" w:rsidRPr="00816DE1" w:rsidRDefault="00816DE1" w:rsidP="00E257BD">
            <w:pPr>
              <w:rPr>
                <w:rFonts w:ascii="Arial" w:hAnsi="Arial" w:cs="Arial"/>
                <w:sz w:val="20"/>
                <w:szCs w:val="20"/>
              </w:rPr>
            </w:pPr>
            <w:r w:rsidRPr="00816DE1">
              <w:rPr>
                <w:rFonts w:ascii="Arial" w:eastAsia="Times New Roman" w:hAnsi="Arial" w:cs="Arial"/>
                <w:sz w:val="20"/>
                <w:szCs w:val="20"/>
              </w:rPr>
              <w:br/>
            </w:r>
            <w:r w:rsidRPr="00816DE1">
              <w:rPr>
                <w:rStyle w:val="Strong"/>
                <w:rFonts w:ascii="Arial" w:hAnsi="Arial" w:cs="Arial"/>
                <w:sz w:val="20"/>
                <w:szCs w:val="20"/>
              </w:rPr>
              <w:t>Except for carports</w:t>
            </w:r>
            <w:r w:rsidRPr="00816DE1">
              <w:rPr>
                <w:rFonts w:ascii="Arial" w:hAnsi="Arial" w:cs="Arial"/>
                <w:sz w:val="20"/>
                <w:szCs w:val="20"/>
              </w:rPr>
              <w:t> in the primary and secondary frontage where they:</w:t>
            </w:r>
          </w:p>
          <w:p w:rsidR="00816DE1" w:rsidRPr="00816DE1" w:rsidRDefault="00816DE1" w:rsidP="0069586D">
            <w:pPr>
              <w:numPr>
                <w:ilvl w:val="0"/>
                <w:numId w:val="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Are set back a minimum of:</w:t>
            </w:r>
            <w:r w:rsidRPr="00816DE1">
              <w:rPr>
                <w:rFonts w:ascii="Arial" w:eastAsia="Times New Roman" w:hAnsi="Arial" w:cs="Arial"/>
                <w:sz w:val="20"/>
                <w:szCs w:val="20"/>
              </w:rPr>
              <w:br/>
            </w:r>
          </w:p>
          <w:p w:rsidR="00816DE1" w:rsidRPr="00816DE1" w:rsidRDefault="00816DE1" w:rsidP="0069586D">
            <w:pPr>
              <w:numPr>
                <w:ilvl w:val="1"/>
                <w:numId w:val="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5.4m; or</w:t>
            </w:r>
          </w:p>
          <w:p w:rsidR="00816DE1" w:rsidRPr="00816DE1" w:rsidRDefault="00816DE1" w:rsidP="0069586D">
            <w:pPr>
              <w:numPr>
                <w:ilvl w:val="1"/>
                <w:numId w:val="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if the dwelling was built before 2005: </w:t>
            </w:r>
          </w:p>
          <w:p w:rsidR="00816DE1" w:rsidRPr="00816DE1" w:rsidRDefault="00816DE1" w:rsidP="0069586D">
            <w:pPr>
              <w:numPr>
                <w:ilvl w:val="2"/>
                <w:numId w:val="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not less than the setback to an existing lawfully constructed carport or garage on an adjoining lot having the same road frontage (where a lawfully constructed carport or garage is located on both </w:t>
            </w:r>
            <w:r w:rsidRPr="00816DE1">
              <w:rPr>
                <w:rFonts w:ascii="Arial" w:eastAsia="Times New Roman" w:hAnsi="Arial" w:cs="Arial"/>
                <w:sz w:val="20"/>
                <w:szCs w:val="20"/>
              </w:rPr>
              <w:lastRenderedPageBreak/>
              <w:t>sides, the lesser of the two is applicable); or </w:t>
            </w:r>
          </w:p>
          <w:p w:rsidR="00816DE1" w:rsidRPr="00816DE1" w:rsidRDefault="00816DE1" w:rsidP="0069586D">
            <w:pPr>
              <w:numPr>
                <w:ilvl w:val="2"/>
                <w:numId w:val="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0.5m, whichever is the greater; and</w:t>
            </w:r>
          </w:p>
          <w:p w:rsidR="00816DE1" w:rsidRPr="00816DE1" w:rsidRDefault="00816DE1" w:rsidP="0069586D">
            <w:pPr>
              <w:numPr>
                <w:ilvl w:val="0"/>
                <w:numId w:val="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remain open and are not enclosed by walls, screens, doors or the like.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quantifiable standard that is an alternative provision to the QDC, part MP1.1, A1 (a), (b) and (c), A2 (a), (b) and (d) and part MP1.2, A1 (a), (b) and (c), A2 (a), (b) and (d). Non-compliance with this provision for a Dwelling house</w:t>
                  </w:r>
                  <w:r w:rsidRPr="00C64A89">
                    <w:rPr>
                      <w:rFonts w:ascii="Arial" w:hAnsi="Arial" w:cs="Arial"/>
                      <w:sz w:val="18"/>
                      <w:szCs w:val="20"/>
                      <w:vertAlign w:val="superscript"/>
                    </w:rPr>
                    <w:t>(</w:t>
                  </w:r>
                  <w:hyperlink r:id="rId16"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w:t>
                  </w:r>
                  <w:proofErr w:type="spellStart"/>
                  <w:r w:rsidRPr="00C64A89">
                    <w:rPr>
                      <w:rFonts w:ascii="Arial" w:hAnsi="Arial" w:cs="Arial"/>
                      <w:sz w:val="18"/>
                      <w:szCs w:val="20"/>
                    </w:rPr>
                    <w:t>Council.Note</w:t>
                  </w:r>
                  <w:proofErr w:type="spellEnd"/>
                  <w:r w:rsidRPr="00C64A89">
                    <w:rPr>
                      <w:rFonts w:ascii="Arial" w:hAnsi="Arial" w:cs="Arial"/>
                      <w:sz w:val="18"/>
                      <w:szCs w:val="20"/>
                    </w:rPr>
                    <w:t xml:space="preserve"> - Greater setbacks may be required if the lot adjoins an environmental corridor or area (Refer to values and constraints for details).</w:t>
                  </w:r>
                </w:p>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The above setbacks apply only to Class 1a and Class 10a buildings/structures.</w:t>
                  </w:r>
                </w:p>
              </w:tc>
            </w:tr>
            <w:tr w:rsidR="00816DE1" w:rsidRPr="00816DE1" w:rsidTr="00816DE1">
              <w:trPr>
                <w:tblCellSpacing w:w="15" w:type="dxa"/>
              </w:trPr>
              <w:tc>
                <w:tcPr>
                  <w:tcW w:w="5000" w:type="pct"/>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 xml:space="preserve">Editor's note - The location and design of the Dwelling house, specifically garages and covered car parking spaces are to ensure the design and location of any resultant driveways and crossovers </w:t>
                  </w:r>
                  <w:proofErr w:type="gramStart"/>
                  <w:r w:rsidRPr="00C64A89">
                    <w:rPr>
                      <w:rFonts w:ascii="Arial" w:hAnsi="Arial" w:cs="Arial"/>
                      <w:sz w:val="18"/>
                      <w:szCs w:val="20"/>
                    </w:rPr>
                    <w:t>are able to</w:t>
                  </w:r>
                  <w:proofErr w:type="gramEnd"/>
                  <w:r w:rsidRPr="00C64A89">
                    <w:rPr>
                      <w:rFonts w:ascii="Arial" w:hAnsi="Arial" w:cs="Arial"/>
                      <w:sz w:val="18"/>
                      <w:szCs w:val="20"/>
                    </w:rPr>
                    <w:t xml:space="preserve"> comply with relevant criteria of Planning scheme policy - Integrated design (Appendix A) for Driveways, Vehicle and Pedestrian Crossover.</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4049"/>
          <w:tblCellSpacing w:w="15" w:type="dxa"/>
        </w:trPr>
        <w:tc>
          <w:tcPr>
            <w:tcW w:w="1432" w:type="pct"/>
            <w:vMerge/>
            <w:tcBorders>
              <w:top w:val="single" w:sz="4" w:space="0" w:color="000000"/>
              <w:left w:val="single" w:sz="4" w:space="0" w:color="000000"/>
              <w:bottom w:val="single" w:sz="4" w:space="0" w:color="000000"/>
              <w:right w:val="single" w:sz="4" w:space="0" w:color="000000"/>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hideMark/>
          </w:tcPr>
          <w:p w:rsidR="00816DE1" w:rsidRPr="00816DE1" w:rsidRDefault="00816DE1" w:rsidP="00E257BD">
            <w:pPr>
              <w:pStyle w:val="NormalWeb"/>
              <w:shd w:val="clear" w:color="auto" w:fill="FFFFFF"/>
              <w:rPr>
                <w:rFonts w:ascii="Arial" w:hAnsi="Arial" w:cs="Arial"/>
                <w:sz w:val="20"/>
                <w:szCs w:val="20"/>
              </w:rPr>
            </w:pPr>
            <w:r w:rsidRPr="00816DE1">
              <w:rPr>
                <w:rStyle w:val="Strong"/>
                <w:rFonts w:ascii="Arial" w:hAnsi="Arial" w:cs="Arial"/>
                <w:sz w:val="20"/>
                <w:szCs w:val="20"/>
              </w:rPr>
              <w:t>E3.2</w:t>
            </w:r>
          </w:p>
          <w:p w:rsidR="00816DE1" w:rsidRPr="00816DE1" w:rsidRDefault="00816DE1" w:rsidP="00E257BD">
            <w:pPr>
              <w:pStyle w:val="NormalWeb"/>
              <w:shd w:val="clear" w:color="auto" w:fill="FFFFFF"/>
              <w:rPr>
                <w:rFonts w:ascii="Arial" w:hAnsi="Arial" w:cs="Arial"/>
                <w:sz w:val="20"/>
                <w:szCs w:val="20"/>
              </w:rPr>
            </w:pPr>
            <w:r w:rsidRPr="00816DE1">
              <w:rPr>
                <w:rFonts w:ascii="Arial" w:hAnsi="Arial" w:cs="Arial"/>
                <w:sz w:val="20"/>
                <w:szCs w:val="20"/>
              </w:rPr>
              <w:t>Built to boundary walls are:</w:t>
            </w:r>
          </w:p>
          <w:p w:rsidR="00816DE1" w:rsidRPr="00816DE1" w:rsidRDefault="00816DE1" w:rsidP="0069586D">
            <w:pPr>
              <w:pStyle w:val="NormalWeb"/>
              <w:numPr>
                <w:ilvl w:val="0"/>
                <w:numId w:val="7"/>
              </w:numPr>
              <w:rPr>
                <w:rFonts w:ascii="Arial" w:hAnsi="Arial" w:cs="Arial"/>
                <w:sz w:val="20"/>
                <w:szCs w:val="20"/>
              </w:rPr>
            </w:pPr>
            <w:r w:rsidRPr="00816DE1">
              <w:rPr>
                <w:rFonts w:ascii="Arial" w:hAnsi="Arial" w:cs="Arial"/>
                <w:sz w:val="20"/>
                <w:szCs w:val="20"/>
              </w:rPr>
              <w:t>provided on lots if required by an existing approval issued by Council, and are established in accordance with the plan of development under that existing approval (including any subsequent amendments to that plan of development that are approved by council in writing);</w:t>
            </w:r>
          </w:p>
          <w:p w:rsidR="00816DE1" w:rsidRPr="00816DE1" w:rsidRDefault="00816DE1" w:rsidP="00E257BD">
            <w:pPr>
              <w:pStyle w:val="NormalWeb"/>
              <w:shd w:val="clear" w:color="auto" w:fill="FFFFFF"/>
              <w:ind w:left="720"/>
              <w:rPr>
                <w:rFonts w:ascii="Arial" w:hAnsi="Arial" w:cs="Arial"/>
                <w:sz w:val="20"/>
                <w:szCs w:val="20"/>
              </w:rPr>
            </w:pPr>
            <w:r w:rsidRPr="00816DE1">
              <w:rPr>
                <w:rFonts w:ascii="Arial" w:hAnsi="Arial" w:cs="Arial"/>
                <w:sz w:val="20"/>
                <w:szCs w:val="20"/>
              </w:rPr>
              <w:t>OR</w:t>
            </w:r>
          </w:p>
          <w:p w:rsidR="00816DE1" w:rsidRPr="00C64A89" w:rsidRDefault="00816DE1" w:rsidP="00E257BD">
            <w:pPr>
              <w:pStyle w:val="NormalWeb"/>
              <w:shd w:val="clear" w:color="auto" w:fill="FFFFFF"/>
              <w:ind w:left="720"/>
              <w:rPr>
                <w:rFonts w:ascii="Arial" w:hAnsi="Arial" w:cs="Arial"/>
                <w:sz w:val="20"/>
                <w:szCs w:val="20"/>
              </w:rPr>
            </w:pPr>
            <w:r w:rsidRPr="00816DE1">
              <w:rPr>
                <w:rFonts w:ascii="Arial" w:hAnsi="Arial" w:cs="Arial"/>
                <w:sz w:val="20"/>
                <w:szCs w:val="20"/>
              </w:rPr>
              <w:t>if no approved plan of development applies to the land, are only established on lots having a primary frontage of 18m or less and where permitted in </w:t>
            </w:r>
            <w:hyperlink r:id="rId17" w:anchor="ID-2859427-TABLE-9.3.1.7" w:history="1">
              <w:r w:rsidRPr="00C64A89">
                <w:rPr>
                  <w:rStyle w:val="Hyperlink"/>
                  <w:rFonts w:ascii="Arial" w:hAnsi="Arial" w:cs="Arial"/>
                  <w:color w:val="auto"/>
                  <w:sz w:val="20"/>
                  <w:szCs w:val="20"/>
                  <w:u w:val="none"/>
                </w:rPr>
                <w:t>Table 9.3.1.7 ‘Built to boundary walls’</w:t>
              </w:r>
            </w:hyperlink>
            <w:r w:rsidRPr="00C64A89">
              <w:rPr>
                <w:rFonts w:ascii="Arial" w:hAnsi="Arial" w:cs="Arial"/>
                <w:sz w:val="20"/>
                <w:szCs w:val="20"/>
              </w:rPr>
              <w:t>;</w:t>
            </w:r>
          </w:p>
          <w:p w:rsidR="00816DE1" w:rsidRPr="00C64A89" w:rsidRDefault="00816DE1" w:rsidP="0069586D">
            <w:pPr>
              <w:pStyle w:val="NormalWeb"/>
              <w:numPr>
                <w:ilvl w:val="0"/>
                <w:numId w:val="7"/>
              </w:numPr>
              <w:rPr>
                <w:rFonts w:ascii="Arial" w:hAnsi="Arial" w:cs="Arial"/>
                <w:sz w:val="20"/>
                <w:szCs w:val="20"/>
              </w:rPr>
            </w:pPr>
            <w:r w:rsidRPr="00C64A89">
              <w:rPr>
                <w:rFonts w:ascii="Arial" w:hAnsi="Arial" w:cs="Arial"/>
                <w:sz w:val="20"/>
                <w:szCs w:val="20"/>
              </w:rPr>
              <w:lastRenderedPageBreak/>
              <w:t xml:space="preserve">of a length and height not exceeding that specified in </w:t>
            </w:r>
            <w:hyperlink r:id="rId18" w:anchor="ID-2859427-TABLE-9.3.1.7" w:history="1">
              <w:r w:rsidRPr="00C64A89">
                <w:rPr>
                  <w:rStyle w:val="Hyperlink"/>
                  <w:rFonts w:ascii="Arial" w:hAnsi="Arial" w:cs="Arial"/>
                  <w:color w:val="auto"/>
                  <w:sz w:val="20"/>
                  <w:szCs w:val="20"/>
                  <w:u w:val="none"/>
                </w:rPr>
                <w:t>Table 9.3.1.7 ‘Built to boundary walls’</w:t>
              </w:r>
            </w:hyperlink>
            <w:r w:rsidRPr="00C64A89">
              <w:rPr>
                <w:rFonts w:ascii="Arial" w:hAnsi="Arial" w:cs="Arial"/>
                <w:sz w:val="20"/>
                <w:szCs w:val="20"/>
              </w:rPr>
              <w:t>;</w:t>
            </w:r>
          </w:p>
          <w:p w:rsidR="00816DE1" w:rsidRPr="00C64A89" w:rsidRDefault="00816DE1" w:rsidP="0069586D">
            <w:pPr>
              <w:pStyle w:val="NormalWeb"/>
              <w:numPr>
                <w:ilvl w:val="0"/>
                <w:numId w:val="7"/>
              </w:numPr>
              <w:rPr>
                <w:rFonts w:ascii="Arial" w:hAnsi="Arial" w:cs="Arial"/>
                <w:sz w:val="20"/>
                <w:szCs w:val="20"/>
              </w:rPr>
            </w:pPr>
            <w:r w:rsidRPr="00C64A89">
              <w:rPr>
                <w:rFonts w:ascii="Arial" w:hAnsi="Arial" w:cs="Arial"/>
                <w:sz w:val="20"/>
                <w:szCs w:val="20"/>
              </w:rPr>
              <w:t>setback from the side boundary:</w:t>
            </w:r>
          </w:p>
          <w:p w:rsidR="00816DE1" w:rsidRPr="00816DE1" w:rsidRDefault="00816DE1" w:rsidP="0069586D">
            <w:pPr>
              <w:pStyle w:val="NormalWeb"/>
              <w:numPr>
                <w:ilvl w:val="1"/>
                <w:numId w:val="7"/>
              </w:numPr>
              <w:rPr>
                <w:rFonts w:ascii="Arial" w:hAnsi="Arial" w:cs="Arial"/>
                <w:sz w:val="20"/>
                <w:szCs w:val="20"/>
              </w:rPr>
            </w:pPr>
            <w:r w:rsidRPr="00816DE1">
              <w:rPr>
                <w:rFonts w:ascii="Arial" w:hAnsi="Arial" w:cs="Arial"/>
                <w:sz w:val="20"/>
                <w:szCs w:val="20"/>
              </w:rPr>
              <w:t>if a plan of development provides for only one built to boundary wall on the one boundary, not more than 200mm; or</w:t>
            </w:r>
          </w:p>
          <w:p w:rsidR="00816DE1" w:rsidRPr="00816DE1" w:rsidRDefault="00816DE1" w:rsidP="0069586D">
            <w:pPr>
              <w:pStyle w:val="NormalWeb"/>
              <w:numPr>
                <w:ilvl w:val="1"/>
                <w:numId w:val="7"/>
              </w:numPr>
              <w:rPr>
                <w:rFonts w:ascii="Arial" w:hAnsi="Arial" w:cs="Arial"/>
                <w:sz w:val="20"/>
                <w:szCs w:val="20"/>
              </w:rPr>
            </w:pPr>
            <w:r w:rsidRPr="00816DE1">
              <w:rPr>
                <w:rFonts w:ascii="Arial" w:hAnsi="Arial" w:cs="Arial"/>
                <w:sz w:val="20"/>
                <w:szCs w:val="20"/>
              </w:rPr>
              <w:t>if a built to boundary wall may be built on each side of the same boundary, not more than 20mm;</w:t>
            </w:r>
          </w:p>
          <w:p w:rsidR="00816DE1" w:rsidRPr="00816DE1" w:rsidRDefault="00816DE1" w:rsidP="0069586D">
            <w:pPr>
              <w:pStyle w:val="NormalWeb"/>
              <w:numPr>
                <w:ilvl w:val="0"/>
                <w:numId w:val="7"/>
              </w:numPr>
              <w:rPr>
                <w:rFonts w:ascii="Arial" w:hAnsi="Arial" w:cs="Arial"/>
                <w:sz w:val="20"/>
                <w:szCs w:val="20"/>
              </w:rPr>
            </w:pPr>
            <w:r w:rsidRPr="00816DE1">
              <w:rPr>
                <w:rFonts w:ascii="Arial" w:hAnsi="Arial" w:cs="Arial"/>
                <w:sz w:val="20"/>
                <w:szCs w:val="20"/>
              </w:rPr>
              <w:t>on the low side of a sloping lot.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 xml:space="preserve">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for all other built to boundary walls </w:t>
                  </w:r>
                  <w:proofErr w:type="gramStart"/>
                  <w:r w:rsidRPr="00C64A89">
                    <w:rPr>
                      <w:rFonts w:ascii="Arial" w:hAnsi="Arial" w:cs="Arial"/>
                      <w:sz w:val="18"/>
                      <w:szCs w:val="20"/>
                    </w:rPr>
                    <w:t>a</w:t>
                  </w:r>
                  <w:proofErr w:type="gramEnd"/>
                  <w:r w:rsidRPr="00C64A89">
                    <w:rPr>
                      <w:rFonts w:ascii="Arial" w:hAnsi="Arial" w:cs="Arial"/>
                      <w:sz w:val="18"/>
                      <w:szCs w:val="20"/>
                    </w:rPr>
                    <w:t xml:space="preserve"> 'easement for maintenance purposes' is recommended. </w:t>
                  </w:r>
                </w:p>
              </w:tc>
            </w:tr>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 Note - The above setbacks apply only to Class 1a and Class 10a buildings/structures.</w:t>
                  </w:r>
                </w:p>
              </w:tc>
            </w:tr>
          </w:tbl>
          <w:p w:rsidR="00816DE1" w:rsidRPr="00C64A89" w:rsidRDefault="00816DE1" w:rsidP="00E257BD">
            <w:pPr>
              <w:rPr>
                <w:rFonts w:ascii="Arial" w:eastAsia="Times New Roman" w:hAnsi="Arial" w:cs="Arial"/>
                <w:vanish/>
                <w:sz w:val="18"/>
                <w:szCs w:val="20"/>
              </w:rPr>
            </w:pPr>
          </w:p>
          <w:tbl>
            <w:tblPr>
              <w:tblW w:w="4972"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8"/>
            </w:tblGrid>
            <w:tr w:rsidR="00E257BD" w:rsidRPr="00C64A89" w:rsidTr="00E257BD">
              <w:trPr>
                <w:trHeight w:val="1219"/>
                <w:tblCellSpacing w:w="15" w:type="dxa"/>
              </w:trPr>
              <w:tc>
                <w:tcPr>
                  <w:tcW w:w="5228"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 Note - This is a quantifiable standard that is an alternative provision to the QDC, part MP1.1, A1 (a), (b) and (c), A2 (a), (b) and (d) and part MP1.2, A1 (a), (b) and (c), A2 (a), (b) and (d). Non-compliance with this provision for a Dwelling house</w:t>
                  </w:r>
                  <w:r w:rsidRPr="00C64A89">
                    <w:rPr>
                      <w:rFonts w:ascii="Arial" w:hAnsi="Arial" w:cs="Arial"/>
                      <w:sz w:val="18"/>
                      <w:szCs w:val="20"/>
                      <w:vertAlign w:val="superscript"/>
                    </w:rPr>
                    <w:t>(</w:t>
                  </w:r>
                  <w:hyperlink r:id="rId1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r w:rsidR="00E257BD" w:rsidRPr="00C64A89" w:rsidTr="00E257BD">
              <w:trPr>
                <w:trHeight w:val="2118"/>
                <w:tblCellSpacing w:w="15" w:type="dxa"/>
              </w:trPr>
              <w:tc>
                <w:tcPr>
                  <w:tcW w:w="5228"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 Editor's note - A wall is not to be built to the boundary if it has a window or if a wall of a building on an adjoining lot:</w:t>
                  </w:r>
                </w:p>
                <w:p w:rsidR="00816DE1" w:rsidRPr="00C64A89" w:rsidRDefault="00816DE1" w:rsidP="0069586D">
                  <w:pPr>
                    <w:pStyle w:val="NormalWeb"/>
                    <w:numPr>
                      <w:ilvl w:val="0"/>
                      <w:numId w:val="8"/>
                    </w:numPr>
                    <w:rPr>
                      <w:rFonts w:ascii="Arial" w:hAnsi="Arial" w:cs="Arial"/>
                      <w:sz w:val="18"/>
                      <w:szCs w:val="20"/>
                    </w:rPr>
                  </w:pPr>
                  <w:r w:rsidRPr="00C64A89">
                    <w:rPr>
                      <w:rFonts w:ascii="Arial" w:hAnsi="Arial" w:cs="Arial"/>
                      <w:sz w:val="18"/>
                      <w:szCs w:val="20"/>
                    </w:rPr>
                    <w:t>is within 900mm of that boundary;</w:t>
                  </w:r>
                </w:p>
                <w:p w:rsidR="00816DE1" w:rsidRPr="00C64A89" w:rsidRDefault="00816DE1" w:rsidP="0069586D">
                  <w:pPr>
                    <w:pStyle w:val="NormalWeb"/>
                    <w:numPr>
                      <w:ilvl w:val="0"/>
                      <w:numId w:val="8"/>
                    </w:numPr>
                    <w:rPr>
                      <w:rFonts w:ascii="Arial" w:hAnsi="Arial" w:cs="Arial"/>
                      <w:sz w:val="18"/>
                      <w:szCs w:val="20"/>
                    </w:rPr>
                  </w:pPr>
                  <w:r w:rsidRPr="00C64A89">
                    <w:rPr>
                      <w:rFonts w:ascii="Arial" w:hAnsi="Arial" w:cs="Arial"/>
                      <w:sz w:val="18"/>
                      <w:szCs w:val="20"/>
                    </w:rPr>
                    <w:t>is within 1.5m of that boundary and has an opening/window to a habitable room;</w:t>
                  </w:r>
                </w:p>
                <w:p w:rsidR="00816DE1" w:rsidRPr="00C64A89" w:rsidRDefault="00816DE1" w:rsidP="0069586D">
                  <w:pPr>
                    <w:pStyle w:val="NormalWeb"/>
                    <w:numPr>
                      <w:ilvl w:val="0"/>
                      <w:numId w:val="8"/>
                    </w:numPr>
                    <w:rPr>
                      <w:rFonts w:ascii="Arial" w:hAnsi="Arial" w:cs="Arial"/>
                      <w:sz w:val="18"/>
                      <w:szCs w:val="20"/>
                    </w:rPr>
                  </w:pPr>
                  <w:r w:rsidRPr="00C64A89">
                    <w:rPr>
                      <w:rFonts w:ascii="Arial" w:hAnsi="Arial" w:cs="Arial"/>
                      <w:sz w:val="18"/>
                      <w:szCs w:val="20"/>
                    </w:rPr>
                    <w:t>is not constructed from masonry or other material fire rated in accordance with the Building Code of Australia.</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tcPr>
          <w:p w:rsidR="00816DE1" w:rsidRPr="00816DE1" w:rsidRDefault="00816DE1" w:rsidP="00E257BD">
            <w:pPr>
              <w:pStyle w:val="NormalWeb"/>
              <w:shd w:val="clear" w:color="auto" w:fill="FFFFFF"/>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tcPr>
          <w:p w:rsidR="00816DE1" w:rsidRPr="00816DE1" w:rsidRDefault="00816DE1" w:rsidP="00E257BD">
            <w:pPr>
              <w:pStyle w:val="NormalWeb"/>
              <w:shd w:val="clear" w:color="auto" w:fill="FFFFFF"/>
              <w:rPr>
                <w:rStyle w:val="Strong"/>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Site cover</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8205"/>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PO4</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Dwelling houses</w:t>
            </w:r>
            <w:r w:rsidRPr="00816DE1">
              <w:rPr>
                <w:rFonts w:ascii="Arial" w:hAnsi="Arial" w:cs="Arial"/>
                <w:sz w:val="20"/>
                <w:szCs w:val="20"/>
                <w:vertAlign w:val="superscript"/>
              </w:rPr>
              <w:t>(</w:t>
            </w:r>
            <w:hyperlink r:id="rId2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r w:rsidRPr="00816DE1">
              <w:rPr>
                <w:rFonts w:ascii="Arial" w:hAnsi="Arial" w:cs="Arial"/>
                <w:sz w:val="20"/>
                <w:szCs w:val="20"/>
              </w:rPr>
              <w:t xml:space="preserve"> and structures will ensure that site cover:</w:t>
            </w:r>
          </w:p>
          <w:p w:rsidR="00816DE1" w:rsidRPr="00816DE1" w:rsidRDefault="00816DE1" w:rsidP="0069586D">
            <w:pPr>
              <w:pStyle w:val="NormalWeb"/>
              <w:numPr>
                <w:ilvl w:val="0"/>
                <w:numId w:val="9"/>
              </w:numPr>
              <w:rPr>
                <w:rFonts w:ascii="Arial" w:hAnsi="Arial" w:cs="Arial"/>
                <w:sz w:val="20"/>
                <w:szCs w:val="20"/>
              </w:rPr>
            </w:pPr>
            <w:r w:rsidRPr="00816DE1">
              <w:rPr>
                <w:rFonts w:ascii="Arial" w:hAnsi="Arial" w:cs="Arial"/>
                <w:sz w:val="20"/>
                <w:szCs w:val="20"/>
              </w:rPr>
              <w:t>provides open areas around buildings for useable and functional private open space;</w:t>
            </w:r>
          </w:p>
          <w:p w:rsidR="00816DE1" w:rsidRPr="00816DE1" w:rsidRDefault="00816DE1" w:rsidP="0069586D">
            <w:pPr>
              <w:pStyle w:val="NormalWeb"/>
              <w:numPr>
                <w:ilvl w:val="0"/>
                <w:numId w:val="9"/>
              </w:numPr>
              <w:rPr>
                <w:rFonts w:ascii="Arial" w:hAnsi="Arial" w:cs="Arial"/>
                <w:sz w:val="20"/>
                <w:szCs w:val="20"/>
              </w:rPr>
            </w:pPr>
            <w:r w:rsidRPr="00816DE1">
              <w:rPr>
                <w:rFonts w:ascii="Arial" w:hAnsi="Arial" w:cs="Arial"/>
                <w:sz w:val="20"/>
                <w:szCs w:val="20"/>
              </w:rPr>
              <w:t>ensures that buildings and structures are consistent with the intended character of the area;</w:t>
            </w:r>
          </w:p>
          <w:p w:rsidR="00816DE1" w:rsidRPr="00816DE1" w:rsidRDefault="00816DE1" w:rsidP="0069586D">
            <w:pPr>
              <w:pStyle w:val="NormalWeb"/>
              <w:numPr>
                <w:ilvl w:val="0"/>
                <w:numId w:val="9"/>
              </w:numPr>
              <w:rPr>
                <w:rFonts w:ascii="Arial" w:hAnsi="Arial" w:cs="Arial"/>
                <w:sz w:val="20"/>
                <w:szCs w:val="20"/>
              </w:rPr>
            </w:pPr>
            <w:r w:rsidRPr="00816DE1">
              <w:rPr>
                <w:rFonts w:ascii="Arial" w:hAnsi="Arial" w:cs="Arial"/>
                <w:sz w:val="20"/>
                <w:szCs w:val="20"/>
              </w:rPr>
              <w:t>does not result in other elements of the site being compromised (e.g. setbacks, open space etc).</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statement that is an alternative provision to the QDC, part MP1.1, P3 and MP1.2, P3.</w:t>
                  </w:r>
                </w:p>
              </w:tc>
            </w:tr>
            <w:tr w:rsidR="00E257BD" w:rsidRPr="00816DE1" w:rsidTr="00816DE1">
              <w:trPr>
                <w:trHeight w:val="480"/>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E4</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Site cover (excluding eaves, sun shading devices, patios, balconies and other unenclosed structures) does not exceed:</w:t>
            </w:r>
          </w:p>
          <w:p w:rsidR="00816DE1" w:rsidRPr="00816DE1" w:rsidRDefault="00816DE1" w:rsidP="0069586D">
            <w:pPr>
              <w:pStyle w:val="NormalWeb"/>
              <w:numPr>
                <w:ilvl w:val="0"/>
                <w:numId w:val="10"/>
              </w:numPr>
              <w:rPr>
                <w:rFonts w:ascii="Arial" w:hAnsi="Arial" w:cs="Arial"/>
                <w:sz w:val="20"/>
                <w:szCs w:val="20"/>
              </w:rPr>
            </w:pPr>
            <w:r w:rsidRPr="00816DE1">
              <w:rPr>
                <w:rFonts w:ascii="Arial" w:hAnsi="Arial" w:cs="Arial"/>
                <w:sz w:val="20"/>
                <w:szCs w:val="20"/>
              </w:rPr>
              <w:t>Emerging community zone:</w:t>
            </w:r>
          </w:p>
          <w:p w:rsidR="00816DE1" w:rsidRPr="00816DE1" w:rsidRDefault="00816DE1" w:rsidP="0069586D">
            <w:pPr>
              <w:pStyle w:val="NormalWeb"/>
              <w:numPr>
                <w:ilvl w:val="1"/>
                <w:numId w:val="10"/>
              </w:numPr>
              <w:rPr>
                <w:rFonts w:ascii="Arial" w:hAnsi="Arial" w:cs="Arial"/>
                <w:sz w:val="20"/>
                <w:szCs w:val="20"/>
              </w:rPr>
            </w:pPr>
            <w:r w:rsidRPr="00816DE1">
              <w:rPr>
                <w:rFonts w:ascii="Arial" w:hAnsi="Arial" w:cs="Arial"/>
                <w:sz w:val="20"/>
                <w:szCs w:val="20"/>
              </w:rPr>
              <w:t>Transition precinct (developed lot) - in accordance with the table below</w:t>
            </w:r>
          </w:p>
          <w:p w:rsidR="00816DE1" w:rsidRPr="00816DE1" w:rsidRDefault="00816DE1" w:rsidP="0069586D">
            <w:pPr>
              <w:pStyle w:val="NormalWeb"/>
              <w:numPr>
                <w:ilvl w:val="0"/>
                <w:numId w:val="10"/>
              </w:numPr>
              <w:rPr>
                <w:rFonts w:ascii="Arial" w:hAnsi="Arial" w:cs="Arial"/>
                <w:sz w:val="20"/>
                <w:szCs w:val="20"/>
              </w:rPr>
            </w:pPr>
            <w:r w:rsidRPr="00816DE1">
              <w:rPr>
                <w:rFonts w:ascii="Arial" w:hAnsi="Arial" w:cs="Arial"/>
                <w:sz w:val="20"/>
                <w:szCs w:val="20"/>
              </w:rPr>
              <w:t>General residential zone:</w:t>
            </w:r>
          </w:p>
          <w:p w:rsidR="00816DE1" w:rsidRPr="00816DE1" w:rsidRDefault="00816DE1" w:rsidP="0069586D">
            <w:pPr>
              <w:pStyle w:val="NormalWeb"/>
              <w:numPr>
                <w:ilvl w:val="1"/>
                <w:numId w:val="10"/>
              </w:numPr>
              <w:rPr>
                <w:rFonts w:ascii="Arial" w:hAnsi="Arial" w:cs="Arial"/>
                <w:sz w:val="20"/>
                <w:szCs w:val="20"/>
              </w:rPr>
            </w:pPr>
            <w:r w:rsidRPr="00816DE1">
              <w:rPr>
                <w:rFonts w:ascii="Arial" w:hAnsi="Arial" w:cs="Arial"/>
                <w:sz w:val="20"/>
                <w:szCs w:val="20"/>
              </w:rPr>
              <w:t xml:space="preserve">Coastal </w:t>
            </w:r>
            <w:proofErr w:type="gramStart"/>
            <w:r w:rsidRPr="00816DE1">
              <w:rPr>
                <w:rFonts w:ascii="Arial" w:hAnsi="Arial" w:cs="Arial"/>
                <w:sz w:val="20"/>
                <w:szCs w:val="20"/>
              </w:rPr>
              <w:t>communities</w:t>
            </w:r>
            <w:proofErr w:type="gramEnd"/>
            <w:r w:rsidRPr="00816DE1">
              <w:rPr>
                <w:rFonts w:ascii="Arial" w:hAnsi="Arial" w:cs="Arial"/>
                <w:sz w:val="20"/>
                <w:szCs w:val="20"/>
              </w:rPr>
              <w:t xml:space="preserve"> precinct – 50%</w:t>
            </w:r>
          </w:p>
          <w:p w:rsidR="00816DE1" w:rsidRPr="00816DE1" w:rsidRDefault="00816DE1" w:rsidP="0069586D">
            <w:pPr>
              <w:pStyle w:val="NormalWeb"/>
              <w:numPr>
                <w:ilvl w:val="1"/>
                <w:numId w:val="10"/>
              </w:numPr>
              <w:rPr>
                <w:rFonts w:ascii="Arial" w:hAnsi="Arial" w:cs="Arial"/>
                <w:sz w:val="20"/>
                <w:szCs w:val="20"/>
              </w:rPr>
            </w:pPr>
            <w:r w:rsidRPr="00816DE1">
              <w:rPr>
                <w:rFonts w:ascii="Arial" w:hAnsi="Arial" w:cs="Arial"/>
                <w:sz w:val="20"/>
                <w:szCs w:val="20"/>
              </w:rPr>
              <w:t>Suburban neighbourhood precinct – 50%</w:t>
            </w:r>
          </w:p>
          <w:p w:rsidR="00816DE1" w:rsidRPr="00816DE1" w:rsidRDefault="00816DE1" w:rsidP="0069586D">
            <w:pPr>
              <w:pStyle w:val="NormalWeb"/>
              <w:numPr>
                <w:ilvl w:val="1"/>
                <w:numId w:val="10"/>
              </w:numPr>
              <w:rPr>
                <w:rFonts w:ascii="Arial" w:hAnsi="Arial" w:cs="Arial"/>
                <w:sz w:val="20"/>
                <w:szCs w:val="20"/>
              </w:rPr>
            </w:pPr>
            <w:r w:rsidRPr="00816DE1">
              <w:rPr>
                <w:rFonts w:ascii="Arial" w:hAnsi="Arial" w:cs="Arial"/>
                <w:sz w:val="20"/>
                <w:szCs w:val="20"/>
              </w:rPr>
              <w:t>Next generation neighbourhood precinct – in accordance with the table below</w:t>
            </w:r>
          </w:p>
          <w:p w:rsidR="00816DE1" w:rsidRPr="00816DE1" w:rsidRDefault="00816DE1" w:rsidP="0069586D">
            <w:pPr>
              <w:pStyle w:val="NormalWeb"/>
              <w:numPr>
                <w:ilvl w:val="1"/>
                <w:numId w:val="10"/>
              </w:numPr>
              <w:rPr>
                <w:rFonts w:ascii="Arial" w:hAnsi="Arial" w:cs="Arial"/>
                <w:sz w:val="20"/>
                <w:szCs w:val="20"/>
              </w:rPr>
            </w:pPr>
            <w:r w:rsidRPr="00816DE1">
              <w:rPr>
                <w:rFonts w:ascii="Arial" w:hAnsi="Arial" w:cs="Arial"/>
                <w:sz w:val="20"/>
                <w:szCs w:val="20"/>
              </w:rPr>
              <w:t>Urban neighbourhood precinct – in accordance with the table below</w:t>
            </w:r>
          </w:p>
          <w:p w:rsidR="00816DE1" w:rsidRPr="00816DE1" w:rsidRDefault="00816DE1" w:rsidP="0069586D">
            <w:pPr>
              <w:pStyle w:val="NormalWeb"/>
              <w:numPr>
                <w:ilvl w:val="0"/>
                <w:numId w:val="10"/>
              </w:numPr>
              <w:rPr>
                <w:rFonts w:ascii="Arial" w:hAnsi="Arial" w:cs="Arial"/>
                <w:sz w:val="20"/>
                <w:szCs w:val="20"/>
              </w:rPr>
            </w:pPr>
            <w:r w:rsidRPr="00816DE1">
              <w:rPr>
                <w:rFonts w:ascii="Arial" w:hAnsi="Arial" w:cs="Arial"/>
                <w:sz w:val="20"/>
                <w:szCs w:val="20"/>
              </w:rPr>
              <w:t>Caboolture west local plan:</w:t>
            </w:r>
          </w:p>
          <w:p w:rsidR="00816DE1" w:rsidRPr="00816DE1" w:rsidRDefault="00816DE1" w:rsidP="0069586D">
            <w:pPr>
              <w:pStyle w:val="NormalWeb"/>
              <w:numPr>
                <w:ilvl w:val="1"/>
                <w:numId w:val="10"/>
              </w:numPr>
              <w:rPr>
                <w:rFonts w:ascii="Arial" w:hAnsi="Arial" w:cs="Arial"/>
                <w:sz w:val="20"/>
                <w:szCs w:val="20"/>
              </w:rPr>
            </w:pPr>
            <w:r w:rsidRPr="00816DE1">
              <w:rPr>
                <w:rFonts w:ascii="Arial" w:hAnsi="Arial" w:cs="Arial"/>
                <w:sz w:val="20"/>
                <w:szCs w:val="20"/>
              </w:rPr>
              <w:t>Urban living precinct - Next generation sub-precinct - in accordance with the table below</w:t>
            </w:r>
          </w:p>
          <w:p w:rsidR="00816DE1" w:rsidRPr="00816DE1" w:rsidRDefault="00816DE1" w:rsidP="0069586D">
            <w:pPr>
              <w:pStyle w:val="NormalWeb"/>
              <w:numPr>
                <w:ilvl w:val="0"/>
                <w:numId w:val="10"/>
              </w:numPr>
              <w:rPr>
                <w:rFonts w:ascii="Arial" w:hAnsi="Arial" w:cs="Arial"/>
                <w:sz w:val="20"/>
                <w:szCs w:val="20"/>
              </w:rPr>
            </w:pPr>
            <w:r w:rsidRPr="00816DE1">
              <w:rPr>
                <w:rFonts w:ascii="Arial" w:hAnsi="Arial" w:cs="Arial"/>
                <w:sz w:val="20"/>
                <w:szCs w:val="20"/>
              </w:rPr>
              <w:t>Redcliffe Kippa-Ring local plan:</w:t>
            </w:r>
          </w:p>
          <w:p w:rsidR="00816DE1" w:rsidRPr="00816DE1" w:rsidRDefault="00816DE1" w:rsidP="0069586D">
            <w:pPr>
              <w:pStyle w:val="NormalWeb"/>
              <w:numPr>
                <w:ilvl w:val="1"/>
                <w:numId w:val="10"/>
              </w:numPr>
              <w:rPr>
                <w:rFonts w:ascii="Arial" w:hAnsi="Arial" w:cs="Arial"/>
                <w:sz w:val="20"/>
                <w:szCs w:val="20"/>
              </w:rPr>
            </w:pPr>
            <w:r w:rsidRPr="00816DE1">
              <w:rPr>
                <w:rFonts w:ascii="Arial" w:hAnsi="Arial" w:cs="Arial"/>
                <w:sz w:val="20"/>
                <w:szCs w:val="20"/>
              </w:rPr>
              <w:t>Interim residential precinct - 50%</w:t>
            </w:r>
          </w:p>
          <w:tbl>
            <w:tblPr>
              <w:tblW w:w="5297"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0"/>
              <w:gridCol w:w="1002"/>
              <w:gridCol w:w="791"/>
              <w:gridCol w:w="751"/>
              <w:gridCol w:w="751"/>
              <w:gridCol w:w="863"/>
              <w:gridCol w:w="1039"/>
              <w:gridCol w:w="50"/>
            </w:tblGrid>
            <w:tr w:rsidR="00816DE1" w:rsidRPr="00816DE1" w:rsidTr="003D5BCB">
              <w:trPr>
                <w:gridBefore w:val="1"/>
                <w:gridAfter w:val="1"/>
                <w:wAfter w:w="5" w:type="dxa"/>
                <w:trHeight w:val="271"/>
                <w:tblCellSpacing w:w="15" w:type="dxa"/>
              </w:trPr>
              <w:tc>
                <w:tcPr>
                  <w:tcW w:w="977"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Building height</w:t>
                  </w:r>
                </w:p>
              </w:tc>
              <w:tc>
                <w:tcPr>
                  <w:tcW w:w="4183" w:type="dxa"/>
                  <w:gridSpan w:val="5"/>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Lot Size</w:t>
                  </w:r>
                </w:p>
              </w:tc>
            </w:tr>
            <w:tr w:rsidR="00816DE1" w:rsidRPr="00816DE1" w:rsidTr="003D5BCB">
              <w:trPr>
                <w:gridBefore w:val="1"/>
                <w:gridAfter w:val="1"/>
                <w:wAfter w:w="5" w:type="dxa"/>
                <w:trHeight w:val="729"/>
                <w:tblCellSpacing w:w="15" w:type="dxa"/>
              </w:trPr>
              <w:tc>
                <w:tcPr>
                  <w:tcW w:w="977" w:type="dxa"/>
                  <w:vMerge/>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hAnsi="Arial" w:cs="Arial"/>
                      <w:sz w:val="20"/>
                      <w:szCs w:val="20"/>
                    </w:rPr>
                  </w:pPr>
                </w:p>
              </w:tc>
              <w:tc>
                <w:tcPr>
                  <w:tcW w:w="764" w:type="dxa"/>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300m</w:t>
                  </w:r>
                  <w:r w:rsidRPr="00816DE1">
                    <w:rPr>
                      <w:rStyle w:val="Strong"/>
                      <w:rFonts w:ascii="Arial" w:hAnsi="Arial" w:cs="Arial"/>
                      <w:sz w:val="20"/>
                      <w:szCs w:val="20"/>
                      <w:vertAlign w:val="superscript"/>
                    </w:rPr>
                    <w:t>2</w:t>
                  </w:r>
                  <w:r w:rsidRPr="00816DE1">
                    <w:rPr>
                      <w:rStyle w:val="Strong"/>
                      <w:rFonts w:ascii="Arial" w:hAnsi="Arial" w:cs="Arial"/>
                      <w:sz w:val="20"/>
                      <w:szCs w:val="20"/>
                    </w:rPr>
                    <w:t xml:space="preserve"> or less</w:t>
                  </w:r>
                </w:p>
              </w:tc>
              <w:tc>
                <w:tcPr>
                  <w:tcW w:w="724" w:type="dxa"/>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301-400m</w:t>
                  </w:r>
                  <w:r w:rsidRPr="00816DE1">
                    <w:rPr>
                      <w:rStyle w:val="Strong"/>
                      <w:rFonts w:ascii="Arial" w:hAnsi="Arial" w:cs="Arial"/>
                      <w:sz w:val="20"/>
                      <w:szCs w:val="20"/>
                      <w:vertAlign w:val="superscript"/>
                    </w:rPr>
                    <w:t>2</w:t>
                  </w:r>
                </w:p>
              </w:tc>
              <w:tc>
                <w:tcPr>
                  <w:tcW w:w="724" w:type="dxa"/>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401-500m</w:t>
                  </w:r>
                  <w:r w:rsidRPr="00816DE1">
                    <w:rPr>
                      <w:rStyle w:val="Strong"/>
                      <w:rFonts w:ascii="Arial" w:hAnsi="Arial" w:cs="Arial"/>
                      <w:sz w:val="20"/>
                      <w:szCs w:val="20"/>
                      <w:vertAlign w:val="superscript"/>
                    </w:rPr>
                    <w:t>2</w:t>
                  </w:r>
                </w:p>
              </w:tc>
              <w:tc>
                <w:tcPr>
                  <w:tcW w:w="837" w:type="dxa"/>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501-1000m</w:t>
                  </w:r>
                  <w:r w:rsidRPr="00816DE1">
                    <w:rPr>
                      <w:rStyle w:val="Strong"/>
                      <w:rFonts w:ascii="Arial" w:hAnsi="Arial" w:cs="Arial"/>
                      <w:sz w:val="20"/>
                      <w:szCs w:val="20"/>
                      <w:vertAlign w:val="superscript"/>
                    </w:rPr>
                    <w:t>2</w:t>
                  </w:r>
                </w:p>
              </w:tc>
              <w:tc>
                <w:tcPr>
                  <w:tcW w:w="1013" w:type="dxa"/>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Greater than 1000m</w:t>
                  </w:r>
                  <w:r w:rsidRPr="00816DE1">
                    <w:rPr>
                      <w:rStyle w:val="Strong"/>
                      <w:rFonts w:ascii="Arial" w:hAnsi="Arial" w:cs="Arial"/>
                      <w:sz w:val="20"/>
                      <w:szCs w:val="20"/>
                      <w:vertAlign w:val="superscript"/>
                    </w:rPr>
                    <w:t>2</w:t>
                  </w:r>
                </w:p>
              </w:tc>
            </w:tr>
            <w:tr w:rsidR="00816DE1" w:rsidRPr="00816DE1" w:rsidTr="003D5BCB">
              <w:trPr>
                <w:gridBefore w:val="1"/>
                <w:gridAfter w:val="1"/>
                <w:wAfter w:w="5" w:type="dxa"/>
                <w:trHeight w:val="443"/>
                <w:tblCellSpacing w:w="15" w:type="dxa"/>
              </w:trPr>
              <w:tc>
                <w:tcPr>
                  <w:tcW w:w="977"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8.5m or less</w:t>
                  </w:r>
                </w:p>
              </w:tc>
              <w:tc>
                <w:tcPr>
                  <w:tcW w:w="76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75%</w:t>
                  </w:r>
                </w:p>
              </w:tc>
              <w:tc>
                <w:tcPr>
                  <w:tcW w:w="72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70%</w:t>
                  </w:r>
                </w:p>
              </w:tc>
              <w:tc>
                <w:tcPr>
                  <w:tcW w:w="72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60%</w:t>
                  </w:r>
                </w:p>
              </w:tc>
              <w:tc>
                <w:tcPr>
                  <w:tcW w:w="837"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60%</w:t>
                  </w:r>
                </w:p>
              </w:tc>
              <w:tc>
                <w:tcPr>
                  <w:tcW w:w="1013"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60%</w:t>
                  </w:r>
                </w:p>
              </w:tc>
            </w:tr>
            <w:tr w:rsidR="00816DE1" w:rsidRPr="00816DE1" w:rsidTr="003D5BCB">
              <w:trPr>
                <w:gridBefore w:val="1"/>
                <w:gridAfter w:val="1"/>
                <w:wAfter w:w="5" w:type="dxa"/>
                <w:trHeight w:val="457"/>
                <w:tblCellSpacing w:w="15" w:type="dxa"/>
              </w:trPr>
              <w:tc>
                <w:tcPr>
                  <w:tcW w:w="977"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&gt;8.5m – 12.0m</w:t>
                  </w:r>
                </w:p>
              </w:tc>
              <w:tc>
                <w:tcPr>
                  <w:tcW w:w="76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50%</w:t>
                  </w:r>
                </w:p>
              </w:tc>
              <w:tc>
                <w:tcPr>
                  <w:tcW w:w="72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50%</w:t>
                  </w:r>
                </w:p>
              </w:tc>
              <w:tc>
                <w:tcPr>
                  <w:tcW w:w="72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60%</w:t>
                  </w:r>
                </w:p>
              </w:tc>
              <w:tc>
                <w:tcPr>
                  <w:tcW w:w="837"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50%</w:t>
                  </w:r>
                </w:p>
              </w:tc>
              <w:tc>
                <w:tcPr>
                  <w:tcW w:w="1013"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50%</w:t>
                  </w:r>
                </w:p>
              </w:tc>
            </w:tr>
            <w:tr w:rsidR="00816DE1" w:rsidRPr="00816DE1" w:rsidTr="003D5BCB">
              <w:trPr>
                <w:gridBefore w:val="1"/>
                <w:gridAfter w:val="1"/>
                <w:wAfter w:w="5" w:type="dxa"/>
                <w:trHeight w:val="229"/>
                <w:tblCellSpacing w:w="15" w:type="dxa"/>
              </w:trPr>
              <w:tc>
                <w:tcPr>
                  <w:tcW w:w="977"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&gt;12.0m</w:t>
                  </w:r>
                </w:p>
              </w:tc>
              <w:tc>
                <w:tcPr>
                  <w:tcW w:w="76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N/A</w:t>
                  </w:r>
                </w:p>
              </w:tc>
              <w:tc>
                <w:tcPr>
                  <w:tcW w:w="72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N/A</w:t>
                  </w:r>
                </w:p>
              </w:tc>
              <w:tc>
                <w:tcPr>
                  <w:tcW w:w="72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N/A</w:t>
                  </w:r>
                </w:p>
              </w:tc>
              <w:tc>
                <w:tcPr>
                  <w:tcW w:w="837"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50%</w:t>
                  </w:r>
                </w:p>
              </w:tc>
              <w:tc>
                <w:tcPr>
                  <w:tcW w:w="1013"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40%</w:t>
                  </w:r>
                </w:p>
              </w:tc>
            </w:tr>
            <w:tr w:rsidR="00816DE1" w:rsidRPr="00816DE1" w:rsidTr="003D5BCB">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rHeight w:val="915"/>
                <w:tblCellSpacing w:w="15" w:type="dxa"/>
              </w:trPr>
              <w:tc>
                <w:tcPr>
                  <w:tcW w:w="5237" w:type="dxa"/>
                  <w:gridSpan w:val="8"/>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quantifiable standard that is an alternative provision to the QDC, part MP1.1, A3 and part MP1.2, A3. Non-compliance with this provision for a Dwelling house</w:t>
                  </w:r>
                  <w:r w:rsidRPr="00C64A89">
                    <w:rPr>
                      <w:rFonts w:ascii="Arial" w:hAnsi="Arial" w:cs="Arial"/>
                      <w:sz w:val="18"/>
                      <w:szCs w:val="20"/>
                      <w:vertAlign w:val="superscript"/>
                    </w:rPr>
                    <w:t>(</w:t>
                  </w:r>
                  <w:hyperlink r:id="rId2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Private open space</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6810"/>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PO5</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Dwellings are provided with private open space that is:</w:t>
            </w:r>
          </w:p>
          <w:p w:rsidR="00816DE1" w:rsidRPr="00816DE1" w:rsidRDefault="00816DE1" w:rsidP="0069586D">
            <w:pPr>
              <w:pStyle w:val="NormalWeb"/>
              <w:numPr>
                <w:ilvl w:val="0"/>
                <w:numId w:val="11"/>
              </w:numPr>
              <w:rPr>
                <w:rFonts w:ascii="Arial" w:hAnsi="Arial" w:cs="Arial"/>
                <w:sz w:val="20"/>
                <w:szCs w:val="20"/>
              </w:rPr>
            </w:pPr>
            <w:r w:rsidRPr="00816DE1">
              <w:rPr>
                <w:rFonts w:ascii="Arial" w:hAnsi="Arial" w:cs="Arial"/>
                <w:sz w:val="20"/>
                <w:szCs w:val="20"/>
              </w:rPr>
              <w:t>of a size and dimension to be useable and functional;</w:t>
            </w:r>
          </w:p>
          <w:p w:rsidR="00816DE1" w:rsidRPr="00816DE1" w:rsidRDefault="00816DE1" w:rsidP="0069586D">
            <w:pPr>
              <w:pStyle w:val="NormalWeb"/>
              <w:numPr>
                <w:ilvl w:val="0"/>
                <w:numId w:val="11"/>
              </w:numPr>
              <w:rPr>
                <w:rFonts w:ascii="Arial" w:hAnsi="Arial" w:cs="Arial"/>
                <w:sz w:val="20"/>
                <w:szCs w:val="20"/>
              </w:rPr>
            </w:pPr>
            <w:r w:rsidRPr="00816DE1">
              <w:rPr>
                <w:rFonts w:ascii="Arial" w:hAnsi="Arial" w:cs="Arial"/>
                <w:sz w:val="20"/>
                <w:szCs w:val="20"/>
              </w:rPr>
              <w:t>directly accessible from the dwelling;</w:t>
            </w:r>
          </w:p>
          <w:p w:rsidR="00816DE1" w:rsidRPr="00816DE1" w:rsidRDefault="00816DE1" w:rsidP="0069586D">
            <w:pPr>
              <w:pStyle w:val="NormalWeb"/>
              <w:numPr>
                <w:ilvl w:val="0"/>
                <w:numId w:val="11"/>
              </w:numPr>
              <w:rPr>
                <w:rFonts w:ascii="Arial" w:hAnsi="Arial" w:cs="Arial"/>
                <w:sz w:val="20"/>
                <w:szCs w:val="20"/>
              </w:rPr>
            </w:pPr>
            <w:r w:rsidRPr="00816DE1">
              <w:rPr>
                <w:rFonts w:ascii="Arial" w:hAnsi="Arial" w:cs="Arial"/>
                <w:sz w:val="20"/>
                <w:szCs w:val="20"/>
              </w:rPr>
              <w:t>located so that residents and neighbouring properties experience a suitable level of residential amenity;</w:t>
            </w:r>
          </w:p>
          <w:p w:rsidR="00816DE1" w:rsidRPr="00816DE1" w:rsidRDefault="00816DE1" w:rsidP="0069586D">
            <w:pPr>
              <w:pStyle w:val="NormalWeb"/>
              <w:numPr>
                <w:ilvl w:val="0"/>
                <w:numId w:val="11"/>
              </w:numPr>
              <w:rPr>
                <w:rFonts w:ascii="Arial" w:hAnsi="Arial" w:cs="Arial"/>
                <w:sz w:val="20"/>
                <w:szCs w:val="20"/>
              </w:rPr>
            </w:pPr>
            <w:r w:rsidRPr="00816DE1">
              <w:rPr>
                <w:rFonts w:ascii="Arial" w:hAnsi="Arial" w:cs="Arial"/>
                <w:sz w:val="20"/>
                <w:szCs w:val="20"/>
              </w:rPr>
              <w:t>free of objects or structures that reduce or limit functionality.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Dwelling houses</w:t>
                  </w:r>
                  <w:r w:rsidRPr="00C64A89">
                    <w:rPr>
                      <w:rFonts w:ascii="Arial" w:hAnsi="Arial" w:cs="Arial"/>
                      <w:sz w:val="18"/>
                      <w:szCs w:val="20"/>
                      <w:vertAlign w:val="superscript"/>
                    </w:rPr>
                    <w:t>(</w:t>
                  </w:r>
                  <w:hyperlink r:id="rId2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adjoining an arterial or sub-arterial road must not locate private open space areas adjoining or within the setback to that road. Refer to Overlay map - Road hierarchy for road classifications.</w:t>
                  </w:r>
                </w:p>
              </w:tc>
            </w:tr>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Utility areas (e.g. driveways, air-conditioning units, water tanks, clothes drying facility, storage structures, refuse storage areas and retaining structures) are to be shown on a site plan.</w:t>
                  </w:r>
                </w:p>
              </w:tc>
            </w:tr>
          </w:tbl>
          <w:p w:rsidR="00816DE1" w:rsidRPr="00C64A89" w:rsidRDefault="00816DE1" w:rsidP="00E257BD">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Private open space areas may be included within an unenclosed living structure (e.g. patio).</w:t>
                  </w:r>
                </w:p>
              </w:tc>
            </w:tr>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standard that relates to the amenity and aesthetic impacts of the building or structure.</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Car parking</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Car parking is provided on-site that provides for the number and type of vehicles anticipated to access the lot and ensures a surplus of car parking is avoided.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statement that is an alternative provision to the QDC, part MP1.1, P8 and MP1.2, P8.</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Car parking spaces are provided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2652"/>
              <w:gridCol w:w="2472"/>
              <w:gridCol w:w="128"/>
            </w:tblGrid>
            <w:tr w:rsidR="00816DE1" w:rsidRPr="00816DE1" w:rsidTr="003D5BCB">
              <w:trPr>
                <w:gridBefore w:val="1"/>
                <w:gridAfter w:val="1"/>
                <w:wAfter w:w="88" w:type="dxa"/>
                <w:tblCellSpacing w:w="15" w:type="dxa"/>
              </w:trPr>
              <w:tc>
                <w:tcPr>
                  <w:tcW w:w="2515" w:type="pct"/>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Location</w:t>
                  </w:r>
                </w:p>
              </w:tc>
              <w:tc>
                <w:tcPr>
                  <w:tcW w:w="2343" w:type="pct"/>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Minimum number of car spaces to be provided</w:t>
                  </w:r>
                </w:p>
              </w:tc>
            </w:tr>
            <w:tr w:rsidR="00816DE1" w:rsidRPr="00816DE1" w:rsidTr="003D5BCB">
              <w:trPr>
                <w:gridBefore w:val="1"/>
                <w:gridAfter w:val="1"/>
                <w:wAfter w:w="88" w:type="dxa"/>
                <w:tblCellSpacing w:w="15" w:type="dxa"/>
              </w:trPr>
              <w:tc>
                <w:tcPr>
                  <w:tcW w:w="2515"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General residential zone:</w:t>
                  </w:r>
                </w:p>
                <w:p w:rsidR="00816DE1" w:rsidRPr="00816DE1" w:rsidRDefault="00816DE1" w:rsidP="0069586D">
                  <w:pPr>
                    <w:pStyle w:val="NormalWeb"/>
                    <w:numPr>
                      <w:ilvl w:val="0"/>
                      <w:numId w:val="12"/>
                    </w:numPr>
                    <w:rPr>
                      <w:rFonts w:ascii="Arial" w:hAnsi="Arial" w:cs="Arial"/>
                      <w:sz w:val="20"/>
                      <w:szCs w:val="20"/>
                    </w:rPr>
                  </w:pPr>
                  <w:r w:rsidRPr="00816DE1">
                    <w:rPr>
                      <w:rFonts w:ascii="Arial" w:hAnsi="Arial" w:cs="Arial"/>
                      <w:sz w:val="20"/>
                      <w:szCs w:val="20"/>
                    </w:rPr>
                    <w:lastRenderedPageBreak/>
                    <w:t xml:space="preserve">Coastal </w:t>
                  </w:r>
                  <w:proofErr w:type="gramStart"/>
                  <w:r w:rsidRPr="00816DE1">
                    <w:rPr>
                      <w:rFonts w:ascii="Arial" w:hAnsi="Arial" w:cs="Arial"/>
                      <w:sz w:val="20"/>
                      <w:szCs w:val="20"/>
                    </w:rPr>
                    <w:t>communities</w:t>
                  </w:r>
                  <w:proofErr w:type="gramEnd"/>
                  <w:r w:rsidRPr="00816DE1">
                    <w:rPr>
                      <w:rFonts w:ascii="Arial" w:hAnsi="Arial" w:cs="Arial"/>
                      <w:sz w:val="20"/>
                      <w:szCs w:val="20"/>
                    </w:rPr>
                    <w:t xml:space="preserve"> precinct</w:t>
                  </w:r>
                </w:p>
                <w:p w:rsidR="00816DE1" w:rsidRPr="00816DE1" w:rsidRDefault="00816DE1" w:rsidP="0069586D">
                  <w:pPr>
                    <w:pStyle w:val="NormalWeb"/>
                    <w:numPr>
                      <w:ilvl w:val="0"/>
                      <w:numId w:val="12"/>
                    </w:numPr>
                    <w:rPr>
                      <w:rFonts w:ascii="Arial" w:hAnsi="Arial" w:cs="Arial"/>
                      <w:sz w:val="20"/>
                      <w:szCs w:val="20"/>
                    </w:rPr>
                  </w:pPr>
                  <w:r w:rsidRPr="00816DE1">
                    <w:rPr>
                      <w:rFonts w:ascii="Arial" w:hAnsi="Arial" w:cs="Arial"/>
                      <w:sz w:val="20"/>
                      <w:szCs w:val="20"/>
                    </w:rPr>
                    <w:t>Suburban neighbourhood precinct</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Redcliffe Kippa-Ring local plan:</w:t>
                  </w:r>
                </w:p>
                <w:p w:rsidR="00816DE1" w:rsidRPr="00816DE1" w:rsidRDefault="00816DE1" w:rsidP="0069586D">
                  <w:pPr>
                    <w:pStyle w:val="NormalWeb"/>
                    <w:numPr>
                      <w:ilvl w:val="0"/>
                      <w:numId w:val="13"/>
                    </w:numPr>
                    <w:rPr>
                      <w:rFonts w:ascii="Arial" w:hAnsi="Arial" w:cs="Arial"/>
                      <w:sz w:val="20"/>
                      <w:szCs w:val="20"/>
                    </w:rPr>
                  </w:pPr>
                  <w:r w:rsidRPr="00816DE1">
                    <w:rPr>
                      <w:rFonts w:ascii="Arial" w:hAnsi="Arial" w:cs="Arial"/>
                      <w:sz w:val="20"/>
                      <w:szCs w:val="20"/>
                    </w:rPr>
                    <w:t>Interim residential precinct</w:t>
                  </w:r>
                </w:p>
              </w:tc>
              <w:tc>
                <w:tcPr>
                  <w:tcW w:w="234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3 per Dwelling house</w:t>
                  </w:r>
                  <w:r w:rsidRPr="00816DE1">
                    <w:rPr>
                      <w:rFonts w:ascii="Arial" w:hAnsi="Arial" w:cs="Arial"/>
                      <w:sz w:val="20"/>
                      <w:szCs w:val="20"/>
                      <w:vertAlign w:val="superscript"/>
                    </w:rPr>
                    <w:t>(</w:t>
                  </w:r>
                  <w:hyperlink r:id="rId2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p>
              </w:tc>
            </w:tr>
            <w:tr w:rsidR="00816DE1" w:rsidRPr="00816DE1" w:rsidTr="003D5BCB">
              <w:trPr>
                <w:gridBefore w:val="1"/>
                <w:gridAfter w:val="1"/>
                <w:wAfter w:w="88" w:type="dxa"/>
                <w:tblCellSpacing w:w="15" w:type="dxa"/>
              </w:trPr>
              <w:tc>
                <w:tcPr>
                  <w:tcW w:w="2515"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Emerging community zone:</w:t>
                  </w:r>
                </w:p>
                <w:p w:rsidR="00816DE1" w:rsidRPr="00816DE1" w:rsidRDefault="00816DE1" w:rsidP="0069586D">
                  <w:pPr>
                    <w:pStyle w:val="NormalWeb"/>
                    <w:numPr>
                      <w:ilvl w:val="0"/>
                      <w:numId w:val="14"/>
                    </w:numPr>
                    <w:rPr>
                      <w:rFonts w:ascii="Arial" w:hAnsi="Arial" w:cs="Arial"/>
                      <w:sz w:val="20"/>
                      <w:szCs w:val="20"/>
                    </w:rPr>
                  </w:pPr>
                  <w:r w:rsidRPr="00816DE1">
                    <w:rPr>
                      <w:rFonts w:ascii="Arial" w:hAnsi="Arial" w:cs="Arial"/>
                      <w:sz w:val="20"/>
                      <w:szCs w:val="20"/>
                    </w:rPr>
                    <w:t>Transition precinct (developed lot)</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General residential zone:</w:t>
                  </w:r>
                </w:p>
                <w:p w:rsidR="00816DE1" w:rsidRPr="00816DE1" w:rsidRDefault="00816DE1" w:rsidP="0069586D">
                  <w:pPr>
                    <w:pStyle w:val="NormalWeb"/>
                    <w:numPr>
                      <w:ilvl w:val="0"/>
                      <w:numId w:val="15"/>
                    </w:numPr>
                    <w:rPr>
                      <w:rFonts w:ascii="Arial" w:hAnsi="Arial" w:cs="Arial"/>
                      <w:sz w:val="20"/>
                      <w:szCs w:val="20"/>
                    </w:rPr>
                  </w:pPr>
                  <w:r w:rsidRPr="00816DE1">
                    <w:rPr>
                      <w:rFonts w:ascii="Arial" w:hAnsi="Arial" w:cs="Arial"/>
                      <w:sz w:val="20"/>
                      <w:szCs w:val="20"/>
                    </w:rPr>
                    <w:t>Next generation neighbourhood precinct</w:t>
                  </w:r>
                </w:p>
                <w:p w:rsidR="00816DE1" w:rsidRPr="00816DE1" w:rsidRDefault="00816DE1" w:rsidP="0069586D">
                  <w:pPr>
                    <w:pStyle w:val="NormalWeb"/>
                    <w:numPr>
                      <w:ilvl w:val="0"/>
                      <w:numId w:val="15"/>
                    </w:numPr>
                    <w:rPr>
                      <w:rFonts w:ascii="Arial" w:hAnsi="Arial" w:cs="Arial"/>
                      <w:sz w:val="20"/>
                      <w:szCs w:val="20"/>
                    </w:rPr>
                  </w:pPr>
                  <w:r w:rsidRPr="00816DE1">
                    <w:rPr>
                      <w:rFonts w:ascii="Arial" w:hAnsi="Arial" w:cs="Arial"/>
                      <w:sz w:val="20"/>
                      <w:szCs w:val="20"/>
                    </w:rPr>
                    <w:t>Urban neighbourhood precinct</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Caboolture west local plan code:</w:t>
                  </w:r>
                </w:p>
                <w:p w:rsidR="00816DE1" w:rsidRPr="00816DE1" w:rsidRDefault="00816DE1" w:rsidP="0069586D">
                  <w:pPr>
                    <w:pStyle w:val="NormalWeb"/>
                    <w:numPr>
                      <w:ilvl w:val="0"/>
                      <w:numId w:val="16"/>
                    </w:numPr>
                    <w:rPr>
                      <w:rFonts w:ascii="Arial" w:hAnsi="Arial" w:cs="Arial"/>
                      <w:sz w:val="20"/>
                      <w:szCs w:val="20"/>
                    </w:rPr>
                  </w:pPr>
                  <w:r w:rsidRPr="00816DE1">
                    <w:rPr>
                      <w:rFonts w:ascii="Arial" w:hAnsi="Arial" w:cs="Arial"/>
                      <w:sz w:val="20"/>
                      <w:szCs w:val="20"/>
                    </w:rPr>
                    <w:t>Urban living precinct - Next generation sub-precinct</w:t>
                  </w:r>
                </w:p>
              </w:tc>
              <w:tc>
                <w:tcPr>
                  <w:tcW w:w="234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1 per Dwelling house</w:t>
                  </w:r>
                  <w:r w:rsidRPr="00816DE1">
                    <w:rPr>
                      <w:rFonts w:ascii="Arial" w:hAnsi="Arial" w:cs="Arial"/>
                      <w:sz w:val="20"/>
                      <w:szCs w:val="20"/>
                      <w:vertAlign w:val="superscript"/>
                    </w:rPr>
                    <w:t>(</w:t>
                  </w:r>
                  <w:hyperlink r:id="rId24"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p>
              </w:tc>
            </w:tr>
            <w:tr w:rsidR="00816DE1" w:rsidRPr="00C64A89" w:rsidTr="003D5BCB">
              <w:tblPrEx>
                <w:tblBorders>
                  <w:top w:val="none" w:sz="0" w:space="0" w:color="auto"/>
                  <w:left w:val="none" w:sz="0" w:space="0" w:color="auto"/>
                  <w:bottom w:val="none" w:sz="0" w:space="0" w:color="auto"/>
                  <w:right w:val="none" w:sz="0" w:space="0" w:color="auto"/>
                </w:tblBorders>
              </w:tblPrEx>
              <w:trPr>
                <w:tblCellSpacing w:w="15" w:type="dxa"/>
              </w:trPr>
              <w:tc>
                <w:tcPr>
                  <w:tcW w:w="4943" w:type="pct"/>
                  <w:gridSpan w:val="4"/>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 Note - Does not include the parking of Heavy Vehicles or Heavy Machinery.</w:t>
                  </w:r>
                </w:p>
              </w:tc>
            </w:tr>
          </w:tbl>
          <w:p w:rsidR="00816DE1" w:rsidRPr="00C64A89" w:rsidRDefault="00816DE1" w:rsidP="00E257BD">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 Note - This is a quantifiable standard that is an alternative provision to the QDC, part MP1.1, A8 and par MP1.2, A8. Non-</w:t>
                  </w:r>
                  <w:r w:rsidRPr="00C64A89">
                    <w:rPr>
                      <w:rFonts w:ascii="Arial" w:hAnsi="Arial" w:cs="Arial"/>
                      <w:sz w:val="18"/>
                      <w:szCs w:val="20"/>
                    </w:rPr>
                    <w:lastRenderedPageBreak/>
                    <w:t>compliance with this provision for a Dwelling house</w:t>
                  </w:r>
                  <w:r w:rsidRPr="00C64A89">
                    <w:rPr>
                      <w:rFonts w:ascii="Arial" w:hAnsi="Arial" w:cs="Arial"/>
                      <w:sz w:val="18"/>
                      <w:szCs w:val="20"/>
                      <w:vertAlign w:val="superscript"/>
                    </w:rPr>
                    <w:t>(</w:t>
                  </w:r>
                  <w:hyperlink r:id="rId25"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r w:rsidR="00816DE1" w:rsidRPr="00816DE1" w:rsidTr="00816DE1">
              <w:trPr>
                <w:tblCellSpacing w:w="15" w:type="dxa"/>
              </w:trPr>
              <w:tc>
                <w:tcPr>
                  <w:tcW w:w="620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lastRenderedPageBreak/>
                    <w:t>Note - The provision of the third parking space may be provided in tandem on site.</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PO7</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Garages and carports facing a street are designed to:</w:t>
            </w:r>
          </w:p>
          <w:p w:rsidR="00816DE1" w:rsidRPr="00816DE1" w:rsidRDefault="00816DE1" w:rsidP="0069586D">
            <w:pPr>
              <w:pStyle w:val="NormalWeb"/>
              <w:numPr>
                <w:ilvl w:val="0"/>
                <w:numId w:val="17"/>
              </w:numPr>
              <w:rPr>
                <w:rFonts w:ascii="Arial" w:hAnsi="Arial" w:cs="Arial"/>
                <w:sz w:val="20"/>
                <w:szCs w:val="20"/>
              </w:rPr>
            </w:pPr>
            <w:r w:rsidRPr="00816DE1">
              <w:rPr>
                <w:rFonts w:ascii="Arial" w:hAnsi="Arial" w:cs="Arial"/>
                <w:sz w:val="20"/>
                <w:szCs w:val="20"/>
              </w:rPr>
              <w:t>not dominate the street frontage;</w:t>
            </w:r>
          </w:p>
          <w:p w:rsidR="00816DE1" w:rsidRPr="00816DE1" w:rsidRDefault="00816DE1" w:rsidP="0069586D">
            <w:pPr>
              <w:pStyle w:val="NormalWeb"/>
              <w:numPr>
                <w:ilvl w:val="0"/>
                <w:numId w:val="17"/>
              </w:numPr>
              <w:rPr>
                <w:rFonts w:ascii="Arial" w:hAnsi="Arial" w:cs="Arial"/>
                <w:sz w:val="20"/>
                <w:szCs w:val="20"/>
              </w:rPr>
            </w:pPr>
            <w:r w:rsidRPr="00816DE1">
              <w:rPr>
                <w:rFonts w:ascii="Arial" w:hAnsi="Arial" w:cs="Arial"/>
                <w:sz w:val="20"/>
                <w:szCs w:val="20"/>
              </w:rPr>
              <w:t>maintain active frontages and opportunities for surveillance from within the dwelling;</w:t>
            </w:r>
          </w:p>
          <w:p w:rsidR="00816DE1" w:rsidRPr="00816DE1" w:rsidRDefault="00816DE1" w:rsidP="0069586D">
            <w:pPr>
              <w:pStyle w:val="NormalWeb"/>
              <w:numPr>
                <w:ilvl w:val="0"/>
                <w:numId w:val="17"/>
              </w:numPr>
              <w:rPr>
                <w:rFonts w:ascii="Arial" w:hAnsi="Arial" w:cs="Arial"/>
                <w:sz w:val="20"/>
                <w:szCs w:val="20"/>
              </w:rPr>
            </w:pPr>
            <w:r w:rsidRPr="00816DE1">
              <w:rPr>
                <w:rFonts w:ascii="Arial" w:hAnsi="Arial" w:cs="Arial"/>
                <w:sz w:val="20"/>
                <w:szCs w:val="20"/>
              </w:rPr>
              <w:t>contribute to the intended character of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standard that is an alternative provision to the QDC, part MP1.1, P1.</w:t>
                  </w:r>
                </w:p>
              </w:tc>
            </w:tr>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standard that relates to the amenity and aesthetic impacts of the building or structure.</w:t>
                  </w:r>
                </w:p>
              </w:tc>
            </w:tr>
          </w:tbl>
          <w:p w:rsidR="00816DE1" w:rsidRPr="00C64A89" w:rsidRDefault="00816DE1" w:rsidP="00E257BD">
            <w:pPr>
              <w:rPr>
                <w:rFonts w:ascii="Arial" w:eastAsia="Times New Roman" w:hAnsi="Arial" w:cs="Arial"/>
                <w:vanish/>
                <w:sz w:val="18"/>
                <w:szCs w:val="20"/>
              </w:rPr>
            </w:pPr>
          </w:p>
          <w:tbl>
            <w:tblPr>
              <w:tblW w:w="43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0"/>
            </w:tblGrid>
            <w:tr w:rsidR="00816DE1" w:rsidRPr="00C64A89" w:rsidTr="003D5BCB">
              <w:trPr>
                <w:trHeight w:val="468"/>
                <w:tblCellSpacing w:w="15" w:type="dxa"/>
              </w:trPr>
              <w:tc>
                <w:tcPr>
                  <w:tcW w:w="4250"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E7</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Garage and carport openings, where located within 20m of the site frontage, are in accordance with the table below: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1468"/>
              <w:gridCol w:w="3713"/>
              <w:gridCol w:w="71"/>
            </w:tblGrid>
            <w:tr w:rsidR="00816DE1" w:rsidRPr="00816DE1" w:rsidTr="00816DE1">
              <w:trPr>
                <w:gridBefore w:val="1"/>
                <w:gridAfter w:val="1"/>
                <w:tblCellSpacing w:w="15" w:type="dxa"/>
              </w:trPr>
              <w:tc>
                <w:tcPr>
                  <w:tcW w:w="1694" w:type="dxa"/>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Primary or Secondary frontage</w:t>
                  </w:r>
                </w:p>
              </w:tc>
              <w:tc>
                <w:tcPr>
                  <w:tcW w:w="4372" w:type="dxa"/>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Covered car space opening(s) per street frontage</w:t>
                  </w:r>
                </w:p>
              </w:tc>
            </w:tr>
            <w:tr w:rsidR="00816DE1" w:rsidRPr="00816DE1" w:rsidTr="00816DE1">
              <w:trPr>
                <w:gridBefore w:val="1"/>
                <w:gridAfter w:val="1"/>
                <w:tblCellSpacing w:w="15" w:type="dxa"/>
              </w:trPr>
              <w:tc>
                <w:tcPr>
                  <w:tcW w:w="169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Greater than 18m</w:t>
                  </w:r>
                </w:p>
              </w:tc>
              <w:tc>
                <w:tcPr>
                  <w:tcW w:w="4372"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Not specified</w:t>
                  </w:r>
                </w:p>
              </w:tc>
            </w:tr>
            <w:tr w:rsidR="00816DE1" w:rsidRPr="00816DE1" w:rsidTr="00816DE1">
              <w:trPr>
                <w:gridBefore w:val="1"/>
                <w:gridAfter w:val="1"/>
                <w:tblCellSpacing w:w="15" w:type="dxa"/>
              </w:trPr>
              <w:tc>
                <w:tcPr>
                  <w:tcW w:w="169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12.5m to 18m</w:t>
                  </w:r>
                </w:p>
              </w:tc>
              <w:tc>
                <w:tcPr>
                  <w:tcW w:w="4372"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6m wide maximum</w:t>
                  </w:r>
                </w:p>
              </w:tc>
            </w:tr>
            <w:tr w:rsidR="00816DE1" w:rsidRPr="00816DE1" w:rsidTr="00816DE1">
              <w:trPr>
                <w:gridBefore w:val="1"/>
                <w:gridAfter w:val="1"/>
                <w:tblCellSpacing w:w="15" w:type="dxa"/>
              </w:trPr>
              <w:tc>
                <w:tcPr>
                  <w:tcW w:w="1694"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Less than 12.5m*</w:t>
                  </w:r>
                </w:p>
              </w:tc>
              <w:tc>
                <w:tcPr>
                  <w:tcW w:w="4372" w:type="dxa"/>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Single storey dwelling:</w:t>
                  </w:r>
                </w:p>
                <w:p w:rsidR="00816DE1" w:rsidRPr="00816DE1" w:rsidRDefault="00816DE1" w:rsidP="0069586D">
                  <w:pPr>
                    <w:numPr>
                      <w:ilvl w:val="0"/>
                      <w:numId w:val="1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maximum 50% of the frontage width (being the frontage vehicle access is from);</w:t>
                  </w:r>
                </w:p>
                <w:p w:rsidR="00816DE1" w:rsidRPr="00816DE1" w:rsidRDefault="00816DE1" w:rsidP="0069586D">
                  <w:pPr>
                    <w:numPr>
                      <w:ilvl w:val="0"/>
                      <w:numId w:val="1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recessed:</w:t>
                  </w:r>
                  <w:r w:rsidRPr="00816DE1">
                    <w:rPr>
                      <w:rFonts w:ascii="Arial" w:eastAsia="Times New Roman" w:hAnsi="Arial" w:cs="Arial"/>
                      <w:sz w:val="20"/>
                      <w:szCs w:val="20"/>
                    </w:rPr>
                    <w:br/>
                  </w:r>
                </w:p>
                <w:p w:rsidR="00816DE1" w:rsidRPr="00816DE1" w:rsidRDefault="00816DE1" w:rsidP="0069586D">
                  <w:pPr>
                    <w:numPr>
                      <w:ilvl w:val="1"/>
                      <w:numId w:val="1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at least 1.0m behind the main building line; </w:t>
                  </w:r>
                  <w:r w:rsidRPr="00816DE1">
                    <w:rPr>
                      <w:rFonts w:ascii="Arial" w:eastAsia="Times New Roman" w:hAnsi="Arial" w:cs="Arial"/>
                      <w:sz w:val="20"/>
                      <w:szCs w:val="20"/>
                    </w:rPr>
                    <w:br/>
                    <w:t>or</w:t>
                  </w:r>
                </w:p>
                <w:p w:rsidR="00816DE1" w:rsidRPr="00816DE1" w:rsidRDefault="00816DE1" w:rsidP="0069586D">
                  <w:pPr>
                    <w:numPr>
                      <w:ilvl w:val="1"/>
                      <w:numId w:val="1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at least 1.0m behind a front portico and no more than 2.0m in front of the main building line.</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Two storey dwelling:</w:t>
                  </w:r>
                </w:p>
                <w:p w:rsidR="00816DE1" w:rsidRPr="00816DE1" w:rsidRDefault="00816DE1" w:rsidP="0069586D">
                  <w:pPr>
                    <w:numPr>
                      <w:ilvl w:val="0"/>
                      <w:numId w:val="1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6.0m wide maximum;</w:t>
                  </w:r>
                </w:p>
                <w:p w:rsidR="00816DE1" w:rsidRPr="00816DE1" w:rsidRDefault="00816DE1" w:rsidP="0069586D">
                  <w:pPr>
                    <w:numPr>
                      <w:ilvl w:val="0"/>
                      <w:numId w:val="1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recessed 1.0m behind the front wall or balcony of upper level.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578"/>
                  </w:tblGrid>
                  <w:tr w:rsidR="00816DE1" w:rsidRPr="00816DE1" w:rsidTr="00816DE1">
                    <w:trPr>
                      <w:tblCellSpacing w:w="15" w:type="dxa"/>
                    </w:trPr>
                    <w:tc>
                      <w:tcPr>
                        <w:tcW w:w="4222" w:type="dxa"/>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lastRenderedPageBreak/>
                          <w:t>Editor's note - Front wall is to have a minimum length of 40% of the adjoining frontage.</w:t>
                        </w:r>
                      </w:p>
                    </w:tc>
                  </w:tr>
                </w:tbl>
                <w:p w:rsidR="00816DE1" w:rsidRPr="00816DE1" w:rsidRDefault="00816DE1" w:rsidP="00E257BD">
                  <w:pPr>
                    <w:pStyle w:val="NormalWeb"/>
                    <w:rPr>
                      <w:rFonts w:ascii="Arial" w:hAnsi="Arial" w:cs="Arial"/>
                      <w:sz w:val="20"/>
                      <w:szCs w:val="20"/>
                    </w:rPr>
                  </w:pPr>
                  <w:r w:rsidRPr="00816DE1">
                    <w:rPr>
                      <w:rFonts w:ascii="Arial" w:hAnsi="Arial" w:cs="Arial"/>
                      <w:sz w:val="20"/>
                      <w:szCs w:val="20"/>
                    </w:rPr>
                    <w:t>OR</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For a laneway lot (Single or two storey): no maximum</w:t>
                  </w:r>
                </w:p>
              </w:tc>
            </w:tr>
            <w:tr w:rsidR="00816DE1" w:rsidRPr="00C64A89" w:rsidTr="00816DE1">
              <w:tblPrEx>
                <w:tblBorders>
                  <w:top w:val="none" w:sz="0" w:space="0" w:color="auto"/>
                  <w:left w:val="none" w:sz="0" w:space="0" w:color="auto"/>
                  <w:bottom w:val="none" w:sz="0" w:space="0" w:color="auto"/>
                  <w:right w:val="none" w:sz="0" w:space="0" w:color="auto"/>
                </w:tblBorders>
              </w:tblPrEx>
              <w:trPr>
                <w:tblCellSpacing w:w="15" w:type="dxa"/>
              </w:trPr>
              <w:tc>
                <w:tcPr>
                  <w:tcW w:w="6186" w:type="dxa"/>
                  <w:gridSpan w:val="4"/>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*For a laneway lot, vehicle access and parking must be provided via the laneway.</w:t>
                  </w:r>
                </w:p>
              </w:tc>
            </w:tr>
          </w:tbl>
          <w:p w:rsidR="00816DE1" w:rsidRPr="00C64A89" w:rsidRDefault="00816DE1" w:rsidP="00E257BD">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For a Dwelling house on a lot under 450m</w:t>
                  </w:r>
                  <w:r w:rsidRPr="00C64A89">
                    <w:rPr>
                      <w:rFonts w:ascii="Arial" w:hAnsi="Arial" w:cs="Arial"/>
                      <w:sz w:val="18"/>
                      <w:szCs w:val="20"/>
                      <w:vertAlign w:val="superscript"/>
                    </w:rPr>
                    <w:t>2</w:t>
                  </w:r>
                  <w:r w:rsidRPr="00C64A89">
                    <w:rPr>
                      <w:rFonts w:ascii="Arial" w:hAnsi="Arial" w:cs="Arial"/>
                      <w:sz w:val="18"/>
                      <w:szCs w:val="20"/>
                    </w:rPr>
                    <w:t>, this is a quantifiable standard that is an alternative provision to the QDC, part MP1.1, A1 (b). Non-compliance with this provision requires a concurrence agency response from Council.</w:t>
                  </w:r>
                </w:p>
              </w:tc>
            </w:tr>
          </w:tbl>
          <w:p w:rsidR="00816DE1" w:rsidRPr="00C64A89" w:rsidRDefault="00816DE1" w:rsidP="00E257BD">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For a Dwelling house on a lot of 450m</w:t>
                  </w:r>
                  <w:r w:rsidRPr="00C64A89">
                    <w:rPr>
                      <w:rFonts w:ascii="Arial" w:hAnsi="Arial" w:cs="Arial"/>
                      <w:sz w:val="18"/>
                      <w:szCs w:val="20"/>
                      <w:vertAlign w:val="superscript"/>
                    </w:rPr>
                    <w:t>2</w:t>
                  </w:r>
                  <w:r w:rsidRPr="00C64A89">
                    <w:rPr>
                      <w:rFonts w:ascii="Arial" w:hAnsi="Arial" w:cs="Arial"/>
                      <w:sz w:val="18"/>
                      <w:szCs w:val="20"/>
                    </w:rPr>
                    <w:t xml:space="preserve"> or more, this is a quantifiable standard that relates to matters identified in Schedule 9, Part 3, Division 2, Table of Regulation. Non-compliance with this provision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Access and driveways</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PO8</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Driveways, pedestrian entries and internal access ways are designed to: </w:t>
            </w:r>
          </w:p>
          <w:p w:rsidR="00816DE1" w:rsidRPr="00816DE1" w:rsidRDefault="00816DE1" w:rsidP="0069586D">
            <w:pPr>
              <w:pStyle w:val="NormalWeb"/>
              <w:numPr>
                <w:ilvl w:val="0"/>
                <w:numId w:val="20"/>
              </w:numPr>
              <w:rPr>
                <w:rFonts w:ascii="Arial" w:hAnsi="Arial" w:cs="Arial"/>
                <w:sz w:val="20"/>
                <w:szCs w:val="20"/>
              </w:rPr>
            </w:pPr>
            <w:r w:rsidRPr="00816DE1">
              <w:rPr>
                <w:rFonts w:ascii="Arial" w:hAnsi="Arial" w:cs="Arial"/>
                <w:sz w:val="20"/>
                <w:szCs w:val="20"/>
              </w:rPr>
              <w:t>provide lawful access;</w:t>
            </w:r>
          </w:p>
          <w:p w:rsidR="00816DE1" w:rsidRPr="00816DE1" w:rsidRDefault="00816DE1" w:rsidP="0069586D">
            <w:pPr>
              <w:pStyle w:val="NormalWeb"/>
              <w:numPr>
                <w:ilvl w:val="0"/>
                <w:numId w:val="20"/>
              </w:numPr>
              <w:rPr>
                <w:rFonts w:ascii="Arial" w:hAnsi="Arial" w:cs="Arial"/>
                <w:sz w:val="20"/>
                <w:szCs w:val="20"/>
              </w:rPr>
            </w:pPr>
            <w:r w:rsidRPr="00816DE1">
              <w:rPr>
                <w:rFonts w:ascii="Arial" w:hAnsi="Arial" w:cs="Arial"/>
                <w:sz w:val="20"/>
                <w:szCs w:val="20"/>
              </w:rPr>
              <w:t>not detract from the creation of active street frontages and positively contribute to the intended streetscape character;</w:t>
            </w:r>
          </w:p>
          <w:p w:rsidR="00816DE1" w:rsidRPr="00816DE1" w:rsidRDefault="00816DE1" w:rsidP="0069586D">
            <w:pPr>
              <w:pStyle w:val="NormalWeb"/>
              <w:numPr>
                <w:ilvl w:val="0"/>
                <w:numId w:val="20"/>
              </w:numPr>
              <w:rPr>
                <w:rFonts w:ascii="Arial" w:hAnsi="Arial" w:cs="Arial"/>
                <w:sz w:val="20"/>
                <w:szCs w:val="20"/>
              </w:rPr>
            </w:pPr>
            <w:r w:rsidRPr="00816DE1">
              <w:rPr>
                <w:rFonts w:ascii="Arial" w:hAnsi="Arial" w:cs="Arial"/>
                <w:sz w:val="20"/>
                <w:szCs w:val="20"/>
              </w:rPr>
              <w:t>provide a safe pedestrian environment;</w:t>
            </w:r>
          </w:p>
          <w:p w:rsidR="00816DE1" w:rsidRPr="00816DE1" w:rsidRDefault="00816DE1" w:rsidP="0069586D">
            <w:pPr>
              <w:pStyle w:val="NormalWeb"/>
              <w:numPr>
                <w:ilvl w:val="0"/>
                <w:numId w:val="20"/>
              </w:numPr>
              <w:rPr>
                <w:rFonts w:ascii="Arial" w:hAnsi="Arial" w:cs="Arial"/>
                <w:sz w:val="20"/>
                <w:szCs w:val="20"/>
              </w:rPr>
            </w:pPr>
            <w:r w:rsidRPr="00816DE1">
              <w:rPr>
                <w:rFonts w:ascii="Arial" w:hAnsi="Arial" w:cs="Arial"/>
                <w:sz w:val="20"/>
                <w:szCs w:val="20"/>
              </w:rPr>
              <w:t>not result in excessive crossovers and hardstand areas;</w:t>
            </w:r>
          </w:p>
          <w:p w:rsidR="00816DE1" w:rsidRPr="00816DE1" w:rsidRDefault="00816DE1" w:rsidP="0069586D">
            <w:pPr>
              <w:pStyle w:val="NormalWeb"/>
              <w:numPr>
                <w:ilvl w:val="0"/>
                <w:numId w:val="20"/>
              </w:numPr>
              <w:rPr>
                <w:rFonts w:ascii="Arial" w:hAnsi="Arial" w:cs="Arial"/>
                <w:sz w:val="20"/>
                <w:szCs w:val="20"/>
              </w:rPr>
            </w:pPr>
            <w:r w:rsidRPr="00816DE1">
              <w:rPr>
                <w:rFonts w:ascii="Arial" w:hAnsi="Arial" w:cs="Arial"/>
                <w:sz w:val="20"/>
                <w:szCs w:val="20"/>
              </w:rPr>
              <w:t>allows adequate space for on-street parking;</w:t>
            </w:r>
          </w:p>
          <w:p w:rsidR="00816DE1" w:rsidRPr="00816DE1" w:rsidRDefault="00816DE1" w:rsidP="0069586D">
            <w:pPr>
              <w:pStyle w:val="NormalWeb"/>
              <w:numPr>
                <w:ilvl w:val="0"/>
                <w:numId w:val="20"/>
              </w:numPr>
              <w:rPr>
                <w:rFonts w:ascii="Arial" w:hAnsi="Arial" w:cs="Arial"/>
                <w:sz w:val="20"/>
                <w:szCs w:val="20"/>
              </w:rPr>
            </w:pPr>
            <w:r w:rsidRPr="00816DE1">
              <w:rPr>
                <w:rFonts w:ascii="Arial" w:hAnsi="Arial" w:cs="Arial"/>
                <w:sz w:val="20"/>
                <w:szCs w:val="20"/>
              </w:rPr>
              <w:t>allows adequate space for street planting and street trees;</w:t>
            </w:r>
          </w:p>
          <w:p w:rsidR="00816DE1" w:rsidRPr="00816DE1" w:rsidRDefault="00816DE1" w:rsidP="0069586D">
            <w:pPr>
              <w:pStyle w:val="NormalWeb"/>
              <w:numPr>
                <w:ilvl w:val="0"/>
                <w:numId w:val="20"/>
              </w:numPr>
              <w:rPr>
                <w:rFonts w:ascii="Arial" w:hAnsi="Arial" w:cs="Arial"/>
                <w:sz w:val="20"/>
                <w:szCs w:val="20"/>
              </w:rPr>
            </w:pPr>
            <w:r w:rsidRPr="00816DE1">
              <w:rPr>
                <w:rFonts w:ascii="Arial" w:hAnsi="Arial" w:cs="Arial"/>
                <w:sz w:val="20"/>
                <w:szCs w:val="20"/>
              </w:rPr>
              <w:lastRenderedPageBreak/>
              <w:t>allow adequate space for garbage collection and the location of street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standard that relates to matters identified in Schedule 9, Part 3, Division 2, Table of Regulation.</w:t>
                  </w:r>
                </w:p>
              </w:tc>
            </w:tr>
            <w:tr w:rsidR="00E257BD" w:rsidRPr="00816DE1" w:rsidTr="00816DE1">
              <w:trPr>
                <w:trHeight w:val="480"/>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E8.1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Crossovers and driveways </w:t>
            </w:r>
            <w:proofErr w:type="gramStart"/>
            <w:r w:rsidRPr="00816DE1">
              <w:rPr>
                <w:rFonts w:ascii="Arial" w:hAnsi="Arial" w:cs="Arial"/>
                <w:sz w:val="20"/>
                <w:szCs w:val="20"/>
              </w:rPr>
              <w:t>are located in</w:t>
            </w:r>
            <w:proofErr w:type="gramEnd"/>
            <w:r w:rsidRPr="00816DE1">
              <w:rPr>
                <w:rFonts w:ascii="Arial" w:hAnsi="Arial" w:cs="Arial"/>
                <w:sz w:val="20"/>
                <w:szCs w:val="20"/>
              </w:rPr>
              <w:t xml:space="preserve">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816DE1" w:rsidRDefault="00816DE1" w:rsidP="00E257BD">
                  <w:pPr>
                    <w:rPr>
                      <w:rFonts w:ascii="Arial" w:eastAsia="Times New Roman" w:hAnsi="Arial" w:cs="Arial"/>
                      <w:sz w:val="20"/>
                      <w:szCs w:val="20"/>
                    </w:rPr>
                  </w:pPr>
                  <w:r w:rsidRPr="00C64A89">
                    <w:rPr>
                      <w:rFonts w:ascii="Arial" w:eastAsia="Times New Roman" w:hAnsi="Arial" w:cs="Arial"/>
                      <w:sz w:val="18"/>
                      <w:szCs w:val="20"/>
                    </w:rPr>
                    <w:t>Note - This is a quantifiable standard that relates to matters identified in Schedule 9, Part 3, Division 2, Table of Regulation. Non-compliance with this provision for a Dwelling house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vMerge/>
            <w:tcBorders>
              <w:top w:val="single" w:sz="4" w:space="0" w:color="000000"/>
              <w:left w:val="single" w:sz="4" w:space="0" w:color="000000"/>
              <w:bottom w:val="single" w:sz="4" w:space="0" w:color="000000"/>
              <w:right w:val="single" w:sz="4" w:space="0" w:color="000000"/>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E8.2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Where there is a plan of development, driveway crossovers </w:t>
            </w:r>
            <w:proofErr w:type="gramStart"/>
            <w:r w:rsidRPr="00816DE1">
              <w:rPr>
                <w:rFonts w:ascii="Arial" w:hAnsi="Arial" w:cs="Arial"/>
                <w:sz w:val="20"/>
                <w:szCs w:val="20"/>
              </w:rPr>
              <w:t>are located in</w:t>
            </w:r>
            <w:proofErr w:type="gramEnd"/>
            <w:r w:rsidRPr="00816DE1">
              <w:rPr>
                <w:rFonts w:ascii="Arial" w:hAnsi="Arial" w:cs="Arial"/>
                <w:sz w:val="20"/>
                <w:szCs w:val="20"/>
              </w:rPr>
              <w:t xml:space="preserve"> accordance with a plan of development approved by Council as part of a development approval or as otherwise amended by Council in writing.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816DE1" w:rsidRDefault="00816DE1" w:rsidP="00E257BD">
                  <w:pPr>
                    <w:rPr>
                      <w:rFonts w:ascii="Arial" w:eastAsia="Times New Roman" w:hAnsi="Arial" w:cs="Arial"/>
                      <w:sz w:val="20"/>
                      <w:szCs w:val="20"/>
                    </w:rPr>
                  </w:pPr>
                  <w:r w:rsidRPr="00C64A89">
                    <w:rPr>
                      <w:rFonts w:ascii="Arial" w:eastAsia="Times New Roman" w:hAnsi="Arial" w:cs="Arial"/>
                      <w:sz w:val="18"/>
                      <w:szCs w:val="20"/>
                    </w:rPr>
                    <w:lastRenderedPageBreak/>
                    <w:t>Note - This is a quantifiable standard that relates to matters identified in Schedule 9, Part 3, Division 2, Table of Regulation. Non-compliance with this provision for a Dwelling house</w:t>
                  </w:r>
                  <w:r w:rsidRPr="00C64A89">
                    <w:rPr>
                      <w:rFonts w:ascii="Arial" w:eastAsia="Times New Roman" w:hAnsi="Arial" w:cs="Arial"/>
                      <w:sz w:val="18"/>
                      <w:szCs w:val="20"/>
                      <w:vertAlign w:val="superscript"/>
                    </w:rPr>
                    <w:t>(</w:t>
                  </w:r>
                  <w:hyperlink r:id="rId26"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eastAsia="Times New Roman" w:hAnsi="Arial" w:cs="Arial"/>
                        <w:sz w:val="18"/>
                        <w:szCs w:val="20"/>
                        <w:vertAlign w:val="superscript"/>
                      </w:rPr>
                      <w:t>22</w:t>
                    </w:r>
                  </w:hyperlink>
                  <w:r w:rsidRPr="00C64A89">
                    <w:rPr>
                      <w:rFonts w:ascii="Arial" w:eastAsia="Times New Roman" w:hAnsi="Arial" w:cs="Arial"/>
                      <w:sz w:val="18"/>
                      <w:szCs w:val="20"/>
                      <w:vertAlign w:val="superscript"/>
                    </w:rPr>
                    <w:t>)</w:t>
                  </w:r>
                  <w:r w:rsidRPr="00C64A89">
                    <w:rPr>
                      <w:rFonts w:ascii="Arial" w:eastAsia="Times New Roman" w:hAnsi="Arial" w:cs="Arial"/>
                      <w:sz w:val="18"/>
                      <w:szCs w:val="20"/>
                    </w:rPr>
                    <w:t xml:space="preserv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1980"/>
          <w:tblCellSpacing w:w="15" w:type="dxa"/>
        </w:trPr>
        <w:tc>
          <w:tcPr>
            <w:tcW w:w="1432" w:type="pct"/>
            <w:vMerge/>
            <w:tcBorders>
              <w:top w:val="single" w:sz="4" w:space="0" w:color="000000"/>
              <w:left w:val="single" w:sz="4" w:space="0" w:color="000000"/>
              <w:bottom w:val="single" w:sz="4" w:space="0" w:color="000000"/>
              <w:right w:val="single" w:sz="4" w:space="0" w:color="000000"/>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E8.3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Driveways do not include a reversing bay, manoeuvring area or visitor parking spaces (other than tandem spaces) in the front setback.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2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PO9</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driveway construction across the verge conforms to the relevant standard drawing for the classification of the road in accordance with Planning scheme policy - Integrated design.</w:t>
            </w:r>
          </w:p>
          <w:tbl>
            <w:tblPr>
              <w:tblW w:w="432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29"/>
            </w:tblGrid>
            <w:tr w:rsidR="00816DE1" w:rsidRPr="00816DE1" w:rsidTr="003D5BCB">
              <w:trPr>
                <w:trHeight w:val="357"/>
                <w:tblCellSpacing w:w="15" w:type="dxa"/>
              </w:trPr>
              <w:tc>
                <w:tcPr>
                  <w:tcW w:w="4269"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qualitative standard that relates to matters identified in Schedule 9, Part 3, Division 2, Table of Regulation.</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r>
      <w:tr w:rsidR="00E257BD" w:rsidRPr="00816DE1" w:rsidTr="00C64A89">
        <w:trPr>
          <w:trHeight w:val="654"/>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PO10</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Crossovers and driveways are designed and constructed in accordance with:</w:t>
            </w:r>
          </w:p>
          <w:p w:rsidR="00816DE1" w:rsidRPr="00816DE1" w:rsidRDefault="00816DE1" w:rsidP="0069586D">
            <w:pPr>
              <w:numPr>
                <w:ilvl w:val="0"/>
                <w:numId w:val="2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where for a Council-controlled road, Planning scheme policy - Integrated design;</w:t>
            </w:r>
          </w:p>
          <w:p w:rsidR="00816DE1" w:rsidRPr="00816DE1" w:rsidRDefault="00816DE1" w:rsidP="0069586D">
            <w:pPr>
              <w:numPr>
                <w:ilvl w:val="0"/>
                <w:numId w:val="2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where for a State-controlled road, the Safe Intersection Sight Distance requirements in Austroads and the appropriate IPWEAQ standard drawings, or a copy of a Transport Infrastructure Act, section 62 approval.</w:t>
            </w:r>
          </w:p>
          <w:tbl>
            <w:tblPr>
              <w:tblW w:w="432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29"/>
            </w:tblGrid>
            <w:tr w:rsidR="00816DE1" w:rsidRPr="00816DE1" w:rsidTr="003D5BCB">
              <w:trPr>
                <w:trHeight w:val="460"/>
                <w:tblCellSpacing w:w="15" w:type="dxa"/>
              </w:trPr>
              <w:tc>
                <w:tcPr>
                  <w:tcW w:w="4269"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lastRenderedPageBreak/>
                    <w:t>Note - This is a qualitative standard that relates to matters identified in Schedule 9, Part 3, Division 2, Table of Regulation.</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No example provided.</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Screening – fences</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4275"/>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Fencing and screening complements the streetscape character, contributes to privacy while maintaining surveillance between buildings and public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The objective of providing surveillance of the street takes precedence over the provision of physical barriers for noise mitigation purposes. Where a barrier for noise is unavoidable it is to be aesthetically treated in accordance with an option detailed in Planning scheme policy - Residential design.</w:t>
                  </w:r>
                </w:p>
              </w:tc>
            </w:tr>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standard that relates to matters identified in Schedule 9, Part 3, Division 2, Table of Regulation.</w:t>
                  </w:r>
                </w:p>
              </w:tc>
            </w:tr>
          </w:tbl>
          <w:p w:rsidR="00816DE1" w:rsidRPr="00C64A89" w:rsidRDefault="00816DE1" w:rsidP="00E257BD">
            <w:pPr>
              <w:rPr>
                <w:rFonts w:ascii="Arial" w:eastAsia="Times New Roman" w:hAnsi="Arial" w:cs="Arial"/>
                <w:vanish/>
                <w:sz w:val="18"/>
                <w:szCs w:val="20"/>
              </w:rPr>
            </w:pPr>
          </w:p>
          <w:tbl>
            <w:tblPr>
              <w:tblW w:w="43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0"/>
            </w:tblGrid>
            <w:tr w:rsidR="00816DE1" w:rsidRPr="00C64A89" w:rsidTr="003D5BCB">
              <w:trPr>
                <w:trHeight w:val="420"/>
                <w:tblCellSpacing w:w="15" w:type="dxa"/>
              </w:trPr>
              <w:tc>
                <w:tcPr>
                  <w:tcW w:w="4250"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Casual surveillance</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4620"/>
          <w:tblCellSpacing w:w="15" w:type="dxa"/>
        </w:trPr>
        <w:tc>
          <w:tcPr>
            <w:tcW w:w="1432"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PO12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Buildings and structures are designed and oriented to have active frontages that provide visual interest, address road frontages and facilitate casual surveillance of all public spaces (streets, laneways, public open space areas, pedestrian paths and car parking areas) through:</w:t>
            </w:r>
          </w:p>
          <w:p w:rsidR="00816DE1" w:rsidRPr="00816DE1" w:rsidRDefault="00816DE1" w:rsidP="0069586D">
            <w:pPr>
              <w:pStyle w:val="NormalWeb"/>
              <w:numPr>
                <w:ilvl w:val="0"/>
                <w:numId w:val="22"/>
              </w:numPr>
              <w:rPr>
                <w:rFonts w:ascii="Arial" w:hAnsi="Arial" w:cs="Arial"/>
                <w:sz w:val="20"/>
                <w:szCs w:val="20"/>
              </w:rPr>
            </w:pPr>
            <w:r w:rsidRPr="00816DE1">
              <w:rPr>
                <w:rFonts w:ascii="Arial" w:hAnsi="Arial" w:cs="Arial"/>
                <w:sz w:val="20"/>
                <w:szCs w:val="20"/>
              </w:rPr>
              <w:t>incorporating habitable room windows and balconies that overlook public spaces including secondary frontages;</w:t>
            </w:r>
          </w:p>
          <w:p w:rsidR="00816DE1" w:rsidRPr="00816DE1" w:rsidRDefault="00816DE1" w:rsidP="0069586D">
            <w:pPr>
              <w:pStyle w:val="NormalWeb"/>
              <w:numPr>
                <w:ilvl w:val="0"/>
                <w:numId w:val="22"/>
              </w:numPr>
              <w:rPr>
                <w:rFonts w:ascii="Arial" w:hAnsi="Arial" w:cs="Arial"/>
                <w:sz w:val="20"/>
                <w:szCs w:val="20"/>
              </w:rPr>
            </w:pPr>
            <w:r w:rsidRPr="00816DE1">
              <w:rPr>
                <w:rFonts w:ascii="Arial" w:hAnsi="Arial" w:cs="Arial"/>
                <w:sz w:val="20"/>
                <w:szCs w:val="20"/>
              </w:rPr>
              <w:t>emphasising the pedestrian entry so that it is easily identifiable and safely accessible from the primary frontage.</w:t>
            </w:r>
          </w:p>
          <w:p w:rsidR="00816DE1" w:rsidRPr="00816DE1" w:rsidRDefault="00816DE1" w:rsidP="00E257BD">
            <w:pPr>
              <w:rPr>
                <w:rFonts w:ascii="Arial" w:eastAsia="Times New Roman" w:hAnsi="Arial" w:cs="Arial"/>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Dwelling houses</w:t>
                  </w:r>
                  <w:r w:rsidRPr="00C64A89">
                    <w:rPr>
                      <w:rFonts w:ascii="Arial" w:hAnsi="Arial" w:cs="Arial"/>
                      <w:sz w:val="18"/>
                      <w:szCs w:val="20"/>
                      <w:vertAlign w:val="superscript"/>
                    </w:rPr>
                    <w:t>(</w:t>
                  </w:r>
                  <w:hyperlink r:id="rId2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adjoining an arterial or sub-arterial road must address the arterial or sub-arterial road. Refer to Overlay map - Road hierarchy for road classifications.</w:t>
                  </w:r>
                </w:p>
              </w:tc>
            </w:tr>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State Government standards for CPTED.</w:t>
                  </w:r>
                </w:p>
              </w:tc>
            </w:tr>
          </w:tbl>
          <w:p w:rsidR="00816DE1" w:rsidRPr="00C64A89" w:rsidRDefault="00816DE1" w:rsidP="00E257BD">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Ground level dwellings at the front of the lot have individual access points to the street.</w:t>
                  </w:r>
                </w:p>
              </w:tc>
            </w:tr>
            <w:tr w:rsidR="00E257BD" w:rsidRPr="00C64A89"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standard that relates to matters identified in Schedule 9, Part 3, Division 2, Table of Regulation.</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E12.1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Dwelling house (or the primary dwelling if including a secondary dwelling) must address primary frontages (excluding motorway and arterial roads) with a minimum of a front door, window(s) and pedestrian entrance.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Note - If an acoustic fence has been conditioned as part of a reconfiguring a lot approval this provision does not apply to that frontage.</w:t>
                  </w:r>
                </w:p>
              </w:tc>
            </w:tr>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 Note - Refer to Overlay map - Road hierarchy for road classification.</w:t>
                  </w:r>
                </w:p>
              </w:tc>
            </w:tr>
          </w:tbl>
          <w:p w:rsidR="00816DE1" w:rsidRPr="00C64A89" w:rsidRDefault="00816DE1" w:rsidP="00E257BD">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 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2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C64A89" w:rsidRDefault="00816DE1" w:rsidP="00E257BD">
            <w:pPr>
              <w:rPr>
                <w:rFonts w:ascii="Arial" w:eastAsia="Times New Roman" w:hAnsi="Arial" w:cs="Arial"/>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C64A89">
        <w:trPr>
          <w:trHeight w:val="20"/>
          <w:tblCellSpacing w:w="15" w:type="dxa"/>
        </w:trPr>
        <w:tc>
          <w:tcPr>
            <w:tcW w:w="1432" w:type="pct"/>
            <w:vMerge/>
            <w:tcBorders>
              <w:top w:val="single" w:sz="4" w:space="0" w:color="000000"/>
              <w:left w:val="single" w:sz="4" w:space="0" w:color="000000"/>
              <w:bottom w:val="single" w:sz="4" w:space="0" w:color="000000"/>
              <w:right w:val="single" w:sz="4" w:space="0" w:color="000000"/>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E12.2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Each dwelling (primary and secondary), excluding domestic outbuildings and garages, that overlooks an adjoining public space (street, public open space or laneway) provides one habitable room window with an area of at least 1m</w:t>
            </w:r>
            <w:r w:rsidRPr="00816DE1">
              <w:rPr>
                <w:rFonts w:ascii="Arial" w:hAnsi="Arial" w:cs="Arial"/>
                <w:sz w:val="20"/>
                <w:szCs w:val="20"/>
                <w:vertAlign w:val="superscript"/>
              </w:rPr>
              <w:t xml:space="preserve">2 </w:t>
            </w:r>
            <w:r w:rsidRPr="00816DE1">
              <w:rPr>
                <w:rFonts w:ascii="Arial" w:hAnsi="Arial" w:cs="Arial"/>
                <w:sz w:val="20"/>
                <w:szCs w:val="20"/>
              </w:rPr>
              <w:t>or multiple habitable room windows having a combined area of at least 2.5m</w:t>
            </w:r>
            <w:r w:rsidRPr="00816DE1">
              <w:rPr>
                <w:rFonts w:ascii="Arial" w:hAnsi="Arial" w:cs="Arial"/>
                <w:sz w:val="20"/>
                <w:szCs w:val="20"/>
                <w:vertAlign w:val="superscript"/>
              </w:rPr>
              <w:t xml:space="preserve">2 </w:t>
            </w:r>
            <w:r w:rsidRPr="00816DE1">
              <w:rPr>
                <w:rFonts w:ascii="Arial" w:hAnsi="Arial" w:cs="Arial"/>
                <w:sz w:val="20"/>
                <w:szCs w:val="20"/>
              </w:rPr>
              <w:t>overlooking each adjoining public space (street, public open space or laneway).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Secondary dwellings are not required to provide a habitable room window where only the secondary dwelling garage overlooks the adjoining public space and all habitable rooms do not adjoin a public space.</w:t>
                  </w:r>
                </w:p>
                <w:p w:rsidR="00816DE1" w:rsidRPr="00C64A89" w:rsidRDefault="00816DE1" w:rsidP="00E257BD">
                  <w:pPr>
                    <w:rPr>
                      <w:rFonts w:ascii="Arial" w:eastAsia="Times New Roman" w:hAnsi="Arial" w:cs="Arial"/>
                      <w:sz w:val="18"/>
                      <w:szCs w:val="20"/>
                    </w:rPr>
                  </w:pPr>
                </w:p>
              </w:tc>
            </w:tr>
            <w:tr w:rsidR="00816DE1" w:rsidRPr="00816DE1"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3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Waste</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4710"/>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PO13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Bins and bin storage areas are provided, designed and managed in accordance with Planning scheme policy – Waste.</w:t>
            </w:r>
          </w:p>
          <w:tbl>
            <w:tblPr>
              <w:tblW w:w="431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3"/>
            </w:tblGrid>
            <w:tr w:rsidR="00816DE1" w:rsidRPr="00C64A89" w:rsidTr="003D5BCB">
              <w:trPr>
                <w:trHeight w:val="429"/>
                <w:tblCellSpacing w:w="15" w:type="dxa"/>
              </w:trPr>
              <w:tc>
                <w:tcPr>
                  <w:tcW w:w="4253"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standard that relates to matters identified in Schedule 9, Part 3, Division 2, Table of Regulation.</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Each dwelling (primary and secondary) includes a bin storage area that:</w:t>
            </w:r>
          </w:p>
          <w:p w:rsidR="00816DE1" w:rsidRPr="00816DE1" w:rsidRDefault="00816DE1" w:rsidP="0069586D">
            <w:pPr>
              <w:pStyle w:val="NormalWeb"/>
              <w:numPr>
                <w:ilvl w:val="0"/>
                <w:numId w:val="23"/>
              </w:numPr>
              <w:rPr>
                <w:rFonts w:ascii="Arial" w:hAnsi="Arial" w:cs="Arial"/>
                <w:sz w:val="20"/>
                <w:szCs w:val="20"/>
              </w:rPr>
            </w:pPr>
            <w:r w:rsidRPr="00816DE1">
              <w:rPr>
                <w:rFonts w:ascii="Arial" w:hAnsi="Arial" w:cs="Arial"/>
                <w:sz w:val="20"/>
                <w:szCs w:val="20"/>
              </w:rPr>
              <w:t>is not visible from public areas or screened from public areas;</w:t>
            </w:r>
          </w:p>
          <w:p w:rsidR="00816DE1" w:rsidRPr="00816DE1" w:rsidRDefault="00816DE1" w:rsidP="0069586D">
            <w:pPr>
              <w:pStyle w:val="NormalWeb"/>
              <w:numPr>
                <w:ilvl w:val="0"/>
                <w:numId w:val="23"/>
              </w:numPr>
              <w:rPr>
                <w:rFonts w:ascii="Arial" w:hAnsi="Arial" w:cs="Arial"/>
                <w:sz w:val="20"/>
                <w:szCs w:val="20"/>
              </w:rPr>
            </w:pPr>
            <w:r w:rsidRPr="00816DE1">
              <w:rPr>
                <w:rFonts w:ascii="Arial" w:hAnsi="Arial" w:cs="Arial"/>
                <w:sz w:val="20"/>
                <w:szCs w:val="20"/>
              </w:rPr>
              <w:t>is not located in the primary frontage setback, unless the dwelling is built to boundary on both sides of the lot with only one frontage;</w:t>
            </w:r>
          </w:p>
          <w:p w:rsidR="00816DE1" w:rsidRPr="00816DE1" w:rsidRDefault="00816DE1" w:rsidP="0069586D">
            <w:pPr>
              <w:pStyle w:val="NormalWeb"/>
              <w:numPr>
                <w:ilvl w:val="0"/>
                <w:numId w:val="23"/>
              </w:numPr>
              <w:rPr>
                <w:rFonts w:ascii="Arial" w:hAnsi="Arial" w:cs="Arial"/>
                <w:sz w:val="20"/>
                <w:szCs w:val="20"/>
              </w:rPr>
            </w:pPr>
            <w:r w:rsidRPr="00816DE1">
              <w:rPr>
                <w:rFonts w:ascii="Arial" w:hAnsi="Arial" w:cs="Arial"/>
                <w:sz w:val="20"/>
                <w:szCs w:val="20"/>
              </w:rPr>
              <w:t>is not located in an enclosed garage;</w:t>
            </w:r>
          </w:p>
          <w:p w:rsidR="00816DE1" w:rsidRPr="00816DE1" w:rsidRDefault="00816DE1" w:rsidP="0069586D">
            <w:pPr>
              <w:pStyle w:val="NormalWeb"/>
              <w:numPr>
                <w:ilvl w:val="0"/>
                <w:numId w:val="23"/>
              </w:numPr>
              <w:rPr>
                <w:rFonts w:ascii="Arial" w:hAnsi="Arial" w:cs="Arial"/>
                <w:sz w:val="20"/>
                <w:szCs w:val="20"/>
              </w:rPr>
            </w:pPr>
            <w:r w:rsidRPr="00816DE1">
              <w:rPr>
                <w:rFonts w:ascii="Arial" w:hAnsi="Arial" w:cs="Arial"/>
                <w:sz w:val="20"/>
                <w:szCs w:val="20"/>
              </w:rPr>
              <w:t>has a minimum area of 1m x 2m;</w:t>
            </w:r>
          </w:p>
          <w:p w:rsidR="00816DE1" w:rsidRPr="00816DE1" w:rsidRDefault="00816DE1" w:rsidP="0069586D">
            <w:pPr>
              <w:pStyle w:val="NormalWeb"/>
              <w:numPr>
                <w:ilvl w:val="0"/>
                <w:numId w:val="23"/>
              </w:numPr>
              <w:rPr>
                <w:rFonts w:ascii="Arial" w:hAnsi="Arial" w:cs="Arial"/>
                <w:sz w:val="20"/>
                <w:szCs w:val="20"/>
              </w:rPr>
            </w:pPr>
            <w:r w:rsidRPr="00816DE1">
              <w:rPr>
                <w:rFonts w:ascii="Arial" w:hAnsi="Arial" w:cs="Arial"/>
                <w:sz w:val="20"/>
                <w:szCs w:val="20"/>
              </w:rPr>
              <w:t>has access to the collection point without going through a dwelling (excluding a garage).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r w:rsidR="00816DE1" w:rsidRPr="00816DE1"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3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B11E22">
        <w:trPr>
          <w:trHeight w:val="647"/>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PO14</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Waste storage areas are:</w:t>
            </w:r>
          </w:p>
          <w:p w:rsidR="00816DE1" w:rsidRPr="00816DE1" w:rsidRDefault="00816DE1" w:rsidP="0069586D">
            <w:pPr>
              <w:pStyle w:val="NormalWeb"/>
              <w:numPr>
                <w:ilvl w:val="0"/>
                <w:numId w:val="24"/>
              </w:numPr>
              <w:rPr>
                <w:rFonts w:ascii="Arial" w:hAnsi="Arial" w:cs="Arial"/>
                <w:sz w:val="20"/>
                <w:szCs w:val="20"/>
              </w:rPr>
            </w:pPr>
            <w:r w:rsidRPr="00816DE1">
              <w:rPr>
                <w:rFonts w:ascii="Arial" w:hAnsi="Arial" w:cs="Arial"/>
                <w:sz w:val="20"/>
                <w:szCs w:val="20"/>
              </w:rPr>
              <w:t>not located in front of the main building line; or</w:t>
            </w:r>
          </w:p>
          <w:p w:rsidR="00816DE1" w:rsidRPr="00816DE1" w:rsidRDefault="00816DE1" w:rsidP="0069586D">
            <w:pPr>
              <w:pStyle w:val="NormalWeb"/>
              <w:numPr>
                <w:ilvl w:val="0"/>
                <w:numId w:val="24"/>
              </w:numPr>
              <w:rPr>
                <w:rFonts w:ascii="Arial" w:hAnsi="Arial" w:cs="Arial"/>
                <w:sz w:val="20"/>
                <w:szCs w:val="20"/>
              </w:rPr>
            </w:pPr>
            <w:r w:rsidRPr="00816DE1">
              <w:rPr>
                <w:rFonts w:ascii="Arial" w:hAnsi="Arial" w:cs="Arial"/>
                <w:sz w:val="20"/>
                <w:szCs w:val="20"/>
              </w:rPr>
              <w:t>are screened and aesthetically treated (e.g. with landscaping) to not dominate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standard that relates to matters identified in Schedule 9, Part 3, Division 2, Table of Regulation.</w:t>
                  </w:r>
                </w:p>
              </w:tc>
            </w:tr>
            <w:tr w:rsidR="00E257BD" w:rsidRPr="00816DE1" w:rsidTr="00816DE1">
              <w:trPr>
                <w:trHeight w:val="480"/>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Utilities</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3330"/>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PO15</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dwelling is connected to:</w:t>
            </w:r>
          </w:p>
          <w:p w:rsidR="00816DE1" w:rsidRPr="00816DE1" w:rsidRDefault="00816DE1" w:rsidP="0069586D">
            <w:pPr>
              <w:pStyle w:val="NormalWeb"/>
              <w:numPr>
                <w:ilvl w:val="0"/>
                <w:numId w:val="25"/>
              </w:numPr>
              <w:rPr>
                <w:rFonts w:ascii="Arial" w:hAnsi="Arial" w:cs="Arial"/>
                <w:sz w:val="20"/>
                <w:szCs w:val="20"/>
              </w:rPr>
            </w:pPr>
            <w:r w:rsidRPr="00816DE1">
              <w:rPr>
                <w:rFonts w:ascii="Arial" w:hAnsi="Arial" w:cs="Arial"/>
                <w:sz w:val="20"/>
                <w:szCs w:val="20"/>
              </w:rPr>
              <w:t>an existing reticulated electricity supply;</w:t>
            </w:r>
          </w:p>
          <w:p w:rsidR="00816DE1" w:rsidRPr="00816DE1" w:rsidRDefault="00816DE1" w:rsidP="0069586D">
            <w:pPr>
              <w:pStyle w:val="NormalWeb"/>
              <w:numPr>
                <w:ilvl w:val="0"/>
                <w:numId w:val="25"/>
              </w:numPr>
              <w:rPr>
                <w:rFonts w:ascii="Arial" w:hAnsi="Arial" w:cs="Arial"/>
                <w:sz w:val="20"/>
                <w:szCs w:val="20"/>
              </w:rPr>
            </w:pPr>
            <w:r w:rsidRPr="00816DE1">
              <w:rPr>
                <w:rFonts w:ascii="Arial" w:hAnsi="Arial" w:cs="Arial"/>
                <w:sz w:val="20"/>
                <w:szCs w:val="20"/>
              </w:rPr>
              <w:t>reticulated sewerage;</w:t>
            </w:r>
          </w:p>
          <w:p w:rsidR="00816DE1" w:rsidRPr="00816DE1" w:rsidRDefault="00816DE1" w:rsidP="0069586D">
            <w:pPr>
              <w:pStyle w:val="NormalWeb"/>
              <w:numPr>
                <w:ilvl w:val="0"/>
                <w:numId w:val="25"/>
              </w:numPr>
              <w:rPr>
                <w:rFonts w:ascii="Arial" w:hAnsi="Arial" w:cs="Arial"/>
                <w:sz w:val="20"/>
                <w:szCs w:val="20"/>
              </w:rPr>
            </w:pPr>
            <w:r w:rsidRPr="00816DE1">
              <w:rPr>
                <w:rFonts w:ascii="Arial" w:hAnsi="Arial" w:cs="Arial"/>
                <w:sz w:val="20"/>
                <w:szCs w:val="20"/>
              </w:rPr>
              <w:t>reticulated water;</w:t>
            </w:r>
          </w:p>
          <w:p w:rsidR="00816DE1" w:rsidRPr="00816DE1" w:rsidRDefault="00816DE1" w:rsidP="0069586D">
            <w:pPr>
              <w:pStyle w:val="NormalWeb"/>
              <w:numPr>
                <w:ilvl w:val="0"/>
                <w:numId w:val="25"/>
              </w:numPr>
              <w:rPr>
                <w:rFonts w:ascii="Arial" w:hAnsi="Arial" w:cs="Arial"/>
                <w:sz w:val="20"/>
                <w:szCs w:val="20"/>
              </w:rPr>
            </w:pPr>
            <w:r w:rsidRPr="00816DE1">
              <w:rPr>
                <w:rFonts w:ascii="Arial" w:hAnsi="Arial" w:cs="Arial"/>
                <w:sz w:val="20"/>
                <w:szCs w:val="20"/>
              </w:rPr>
              <w:t>dedicated and constructed road.</w:t>
            </w:r>
          </w:p>
          <w:tbl>
            <w:tblPr>
              <w:tblW w:w="431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3"/>
            </w:tblGrid>
            <w:tr w:rsidR="00816DE1" w:rsidRPr="00816DE1" w:rsidTr="003D5BCB">
              <w:trPr>
                <w:trHeight w:val="298"/>
                <w:tblCellSpacing w:w="15" w:type="dxa"/>
              </w:trPr>
              <w:tc>
                <w:tcPr>
                  <w:tcW w:w="4253"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qualitative standard that relates to matters identified in Schedule 9, Part 3, Division 2, Table of Regulation.</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E15</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dwelling is connected to:</w:t>
            </w:r>
          </w:p>
          <w:p w:rsidR="00816DE1" w:rsidRPr="00816DE1" w:rsidRDefault="00816DE1" w:rsidP="0069586D">
            <w:pPr>
              <w:pStyle w:val="NormalWeb"/>
              <w:numPr>
                <w:ilvl w:val="0"/>
                <w:numId w:val="26"/>
              </w:numPr>
              <w:rPr>
                <w:rFonts w:ascii="Arial" w:hAnsi="Arial" w:cs="Arial"/>
                <w:sz w:val="20"/>
                <w:szCs w:val="20"/>
              </w:rPr>
            </w:pPr>
            <w:r w:rsidRPr="00816DE1">
              <w:rPr>
                <w:rFonts w:ascii="Arial" w:hAnsi="Arial" w:cs="Arial"/>
                <w:sz w:val="20"/>
                <w:szCs w:val="20"/>
              </w:rPr>
              <w:t>an existing reticulated electricity supply;</w:t>
            </w:r>
          </w:p>
          <w:p w:rsidR="00816DE1" w:rsidRPr="00816DE1" w:rsidRDefault="00816DE1" w:rsidP="0069586D">
            <w:pPr>
              <w:pStyle w:val="NormalWeb"/>
              <w:numPr>
                <w:ilvl w:val="0"/>
                <w:numId w:val="26"/>
              </w:numPr>
              <w:rPr>
                <w:rFonts w:ascii="Arial" w:hAnsi="Arial" w:cs="Arial"/>
                <w:sz w:val="20"/>
                <w:szCs w:val="20"/>
              </w:rPr>
            </w:pPr>
            <w:r w:rsidRPr="00816DE1">
              <w:rPr>
                <w:rFonts w:ascii="Arial" w:hAnsi="Arial" w:cs="Arial"/>
                <w:sz w:val="20"/>
                <w:szCs w:val="20"/>
              </w:rPr>
              <w:t>reticulated sewerage where in a reticulated area;</w:t>
            </w:r>
          </w:p>
          <w:p w:rsidR="00816DE1" w:rsidRPr="00816DE1" w:rsidRDefault="00816DE1" w:rsidP="0069586D">
            <w:pPr>
              <w:pStyle w:val="NormalWeb"/>
              <w:numPr>
                <w:ilvl w:val="0"/>
                <w:numId w:val="26"/>
              </w:numPr>
              <w:rPr>
                <w:rFonts w:ascii="Arial" w:hAnsi="Arial" w:cs="Arial"/>
                <w:sz w:val="20"/>
                <w:szCs w:val="20"/>
              </w:rPr>
            </w:pPr>
            <w:r w:rsidRPr="00816DE1">
              <w:rPr>
                <w:rFonts w:ascii="Arial" w:hAnsi="Arial" w:cs="Arial"/>
                <w:sz w:val="20"/>
                <w:szCs w:val="20"/>
              </w:rPr>
              <w:t>reticulated water;</w:t>
            </w:r>
          </w:p>
          <w:p w:rsidR="00816DE1" w:rsidRPr="00816DE1" w:rsidRDefault="00816DE1" w:rsidP="0069586D">
            <w:pPr>
              <w:pStyle w:val="NormalWeb"/>
              <w:numPr>
                <w:ilvl w:val="0"/>
                <w:numId w:val="26"/>
              </w:numPr>
              <w:rPr>
                <w:rFonts w:ascii="Arial" w:hAnsi="Arial" w:cs="Arial"/>
                <w:sz w:val="20"/>
                <w:szCs w:val="20"/>
              </w:rPr>
            </w:pPr>
            <w:r w:rsidRPr="00816DE1">
              <w:rPr>
                <w:rFonts w:ascii="Arial" w:hAnsi="Arial" w:cs="Arial"/>
                <w:sz w:val="20"/>
                <w:szCs w:val="20"/>
              </w:rPr>
              <w:t>dedicated and constructed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3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Earthworks</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C64A89">
        <w:trPr>
          <w:trHeight w:val="5764"/>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All earth retaining structures provide a positive interface with the streetscape and minimise impacts on the amenity of adjoining residents.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C64A89" w:rsidRDefault="00816DE1" w:rsidP="00E257BD">
                  <w:pPr>
                    <w:rPr>
                      <w:rFonts w:ascii="Arial" w:eastAsia="Times New Roman" w:hAnsi="Arial" w:cs="Arial"/>
                      <w:sz w:val="18"/>
                      <w:szCs w:val="20"/>
                    </w:rPr>
                  </w:pPr>
                  <w:r w:rsidRPr="00C64A89">
                    <w:rPr>
                      <w:rFonts w:ascii="Arial" w:eastAsia="Times New Roman" w:hAnsi="Arial" w:cs="Arial"/>
                      <w:sz w:val="18"/>
                      <w:szCs w:val="20"/>
                    </w:rPr>
                    <w:t>Note - This is a quantifiable standard that relates to the amenity and aesthetic impacts of the building or structure.</w:t>
                  </w:r>
                </w:p>
              </w:tc>
            </w:tr>
            <w:tr w:rsidR="00E257BD" w:rsidRPr="00816DE1"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guidance on how to achieve compliance with this performance outcome.</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Earth retaining structures:</w:t>
            </w:r>
          </w:p>
          <w:p w:rsidR="00816DE1" w:rsidRPr="00816DE1" w:rsidRDefault="00816DE1" w:rsidP="0069586D">
            <w:pPr>
              <w:numPr>
                <w:ilvl w:val="0"/>
                <w:numId w:val="2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are not constructed of boulder rocks or timber;</w:t>
            </w:r>
          </w:p>
          <w:p w:rsidR="00816DE1" w:rsidRPr="00816DE1" w:rsidRDefault="00816DE1" w:rsidP="0069586D">
            <w:pPr>
              <w:numPr>
                <w:ilvl w:val="0"/>
                <w:numId w:val="2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where height is no greater than 900mm, are provided in accordance with Figure - Retaining on a boundary;</w:t>
            </w:r>
          </w:p>
          <w:p w:rsidR="00816DE1" w:rsidRPr="00816DE1" w:rsidRDefault="00816DE1" w:rsidP="00C64A89">
            <w:pPr>
              <w:pStyle w:val="NormalWeb"/>
              <w:jc w:val="center"/>
              <w:rPr>
                <w:rFonts w:ascii="Arial" w:eastAsia="Times New Roman" w:hAnsi="Arial" w:cs="Arial"/>
                <w:sz w:val="20"/>
                <w:szCs w:val="20"/>
              </w:rPr>
            </w:pPr>
            <w:r w:rsidRPr="00816DE1">
              <w:rPr>
                <w:rStyle w:val="Strong"/>
                <w:rFonts w:ascii="Arial" w:eastAsia="Times New Roman" w:hAnsi="Arial" w:cs="Arial"/>
                <w:sz w:val="20"/>
                <w:szCs w:val="20"/>
              </w:rPr>
              <w:t>Figure - Retaining on boundary</w:t>
            </w:r>
          </w:p>
          <w:p w:rsidR="00816DE1" w:rsidRPr="00816DE1" w:rsidRDefault="00816DE1" w:rsidP="00E257BD">
            <w:pPr>
              <w:rPr>
                <w:rFonts w:ascii="Arial" w:eastAsia="Times New Roman" w:hAnsi="Arial" w:cs="Arial"/>
                <w:sz w:val="20"/>
                <w:szCs w:val="20"/>
              </w:rPr>
            </w:pPr>
            <w:r w:rsidRPr="00816DE1">
              <w:rPr>
                <w:rFonts w:ascii="Arial" w:eastAsia="Times New Roman" w:hAnsi="Arial" w:cs="Arial"/>
                <w:noProof/>
                <w:sz w:val="20"/>
                <w:szCs w:val="20"/>
              </w:rPr>
              <w:drawing>
                <wp:inline distT="0" distB="0" distL="0" distR="0" wp14:anchorId="36095A04" wp14:editId="1FCF2140">
                  <wp:extent cx="2876550" cy="1838325"/>
                  <wp:effectExtent l="0" t="0" r="0" b="9525"/>
                  <wp:docPr id="10" name="ID-2859424-78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59424-783" descr="Retaining on boundary"/>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816DE1" w:rsidRPr="00816DE1" w:rsidRDefault="00816DE1" w:rsidP="0069586D">
            <w:pPr>
              <w:numPr>
                <w:ilvl w:val="0"/>
                <w:numId w:val="2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lastRenderedPageBreak/>
              <w:t>where height is greater than 900mm but no greater than 1.5m, are to be setback at least the equivalent height of the retaining structure from any property boundary;</w:t>
            </w:r>
          </w:p>
          <w:p w:rsidR="00816DE1" w:rsidRPr="00816DE1" w:rsidRDefault="00816DE1" w:rsidP="0069586D">
            <w:pPr>
              <w:numPr>
                <w:ilvl w:val="0"/>
                <w:numId w:val="2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where height is greater than 1.5m, are to be setback and stepped 1.5m vertical: 1.5m horizontal, terraced, landscaped and drained as shown below.</w:t>
            </w:r>
          </w:p>
          <w:p w:rsidR="00816DE1" w:rsidRPr="00816DE1" w:rsidRDefault="00816DE1" w:rsidP="00C64A89">
            <w:pPr>
              <w:jc w:val="center"/>
              <w:rPr>
                <w:rFonts w:ascii="Arial" w:eastAsia="Times New Roman" w:hAnsi="Arial" w:cs="Arial"/>
                <w:sz w:val="20"/>
                <w:szCs w:val="20"/>
              </w:rPr>
            </w:pPr>
            <w:r w:rsidRPr="00816DE1">
              <w:rPr>
                <w:rStyle w:val="Strong"/>
                <w:rFonts w:ascii="Arial" w:eastAsia="Times New Roman" w:hAnsi="Arial" w:cs="Arial"/>
                <w:sz w:val="20"/>
                <w:szCs w:val="20"/>
              </w:rPr>
              <w:t>Figure - Cut</w:t>
            </w:r>
          </w:p>
          <w:p w:rsidR="00816DE1" w:rsidRPr="00816DE1" w:rsidRDefault="00816DE1" w:rsidP="00E257BD">
            <w:pPr>
              <w:rPr>
                <w:rFonts w:ascii="Arial" w:eastAsia="Times New Roman" w:hAnsi="Arial" w:cs="Arial"/>
                <w:sz w:val="20"/>
                <w:szCs w:val="20"/>
              </w:rPr>
            </w:pPr>
            <w:r w:rsidRPr="00816DE1">
              <w:rPr>
                <w:rFonts w:ascii="Arial" w:eastAsia="Times New Roman" w:hAnsi="Arial" w:cs="Arial"/>
                <w:noProof/>
                <w:sz w:val="20"/>
                <w:szCs w:val="20"/>
              </w:rPr>
              <w:drawing>
                <wp:inline distT="0" distB="0" distL="0" distR="0" wp14:anchorId="683B46E6" wp14:editId="451BDDAA">
                  <wp:extent cx="2876550" cy="2533650"/>
                  <wp:effectExtent l="0" t="0" r="0" b="0"/>
                  <wp:docPr id="11" name="ID-2859424-787"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59424-787" descr="Cut"/>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76550" cy="2533650"/>
                          </a:xfrm>
                          <a:prstGeom prst="rect">
                            <a:avLst/>
                          </a:prstGeom>
                          <a:noFill/>
                          <a:ln>
                            <a:noFill/>
                          </a:ln>
                        </pic:spPr>
                      </pic:pic>
                    </a:graphicData>
                  </a:graphic>
                </wp:inline>
              </w:drawing>
            </w:r>
          </w:p>
          <w:p w:rsidR="00816DE1" w:rsidRPr="00816DE1" w:rsidRDefault="00816DE1" w:rsidP="00E257BD">
            <w:pPr>
              <w:rPr>
                <w:rFonts w:ascii="Arial" w:eastAsia="Times New Roman" w:hAnsi="Arial" w:cs="Arial"/>
                <w:sz w:val="20"/>
                <w:szCs w:val="20"/>
              </w:rPr>
            </w:pPr>
          </w:p>
          <w:p w:rsidR="00816DE1" w:rsidRPr="00816DE1" w:rsidRDefault="00816DE1" w:rsidP="00C64A89">
            <w:pPr>
              <w:jc w:val="center"/>
              <w:rPr>
                <w:rFonts w:ascii="Arial" w:eastAsia="Times New Roman" w:hAnsi="Arial" w:cs="Arial"/>
                <w:sz w:val="20"/>
                <w:szCs w:val="20"/>
              </w:rPr>
            </w:pPr>
            <w:r w:rsidRPr="00816DE1">
              <w:rPr>
                <w:rStyle w:val="Strong"/>
                <w:rFonts w:ascii="Arial" w:eastAsia="Times New Roman" w:hAnsi="Arial" w:cs="Arial"/>
                <w:sz w:val="20"/>
                <w:szCs w:val="20"/>
              </w:rPr>
              <w:t>Figure - Fill</w:t>
            </w:r>
          </w:p>
          <w:p w:rsidR="00816DE1" w:rsidRPr="00816DE1" w:rsidRDefault="00816DE1" w:rsidP="00E257BD">
            <w:pPr>
              <w:rPr>
                <w:rFonts w:ascii="Arial" w:eastAsia="Times New Roman" w:hAnsi="Arial" w:cs="Arial"/>
                <w:sz w:val="20"/>
                <w:szCs w:val="20"/>
              </w:rPr>
            </w:pPr>
            <w:r w:rsidRPr="00816DE1">
              <w:rPr>
                <w:rFonts w:ascii="Arial" w:eastAsia="Times New Roman" w:hAnsi="Arial" w:cs="Arial"/>
                <w:noProof/>
                <w:sz w:val="20"/>
                <w:szCs w:val="20"/>
              </w:rPr>
              <w:lastRenderedPageBreak/>
              <w:drawing>
                <wp:inline distT="0" distB="0" distL="0" distR="0" wp14:anchorId="5913A31D" wp14:editId="61658000">
                  <wp:extent cx="2876550" cy="2600325"/>
                  <wp:effectExtent l="0" t="0" r="0" b="9525"/>
                  <wp:docPr id="12" name="ID-2859424-789"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59424-789" descr="Fil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816DE1" w:rsidRPr="00816DE1" w:rsidRDefault="00816DE1" w:rsidP="00E257BD">
            <w:pPr>
              <w:rPr>
                <w:rFonts w:ascii="Arial" w:eastAsia="Times New Roman" w:hAnsi="Arial" w:cs="Arial"/>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rPr>
                      <w:rFonts w:ascii="Arial" w:eastAsia="Times New Roman" w:hAnsi="Arial" w:cs="Arial"/>
                      <w:sz w:val="18"/>
                      <w:szCs w:val="20"/>
                    </w:rPr>
                  </w:pPr>
                  <w:r w:rsidRPr="00C64A89">
                    <w:rPr>
                      <w:rFonts w:ascii="Arial" w:eastAsia="Times New Roman" w:hAnsi="Arial" w:cs="Arial"/>
                      <w:sz w:val="18"/>
                      <w:szCs w:val="20"/>
                    </w:rPr>
                    <w:t>Note - This is a quantifiable standard that relates to the amenity and aesthetic impacts of the building or structure.</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2880"/>
          <w:tblCellSpacing w:w="15" w:type="dxa"/>
        </w:trPr>
        <w:tc>
          <w:tcPr>
            <w:tcW w:w="1432"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PO17</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is designed to respond to sloping topography in the siting, design and form of buildings and structures by:</w:t>
            </w:r>
          </w:p>
          <w:p w:rsidR="00816DE1" w:rsidRPr="00816DE1" w:rsidRDefault="00816DE1" w:rsidP="0069586D">
            <w:pPr>
              <w:pStyle w:val="NormalWeb"/>
              <w:numPr>
                <w:ilvl w:val="0"/>
                <w:numId w:val="29"/>
              </w:numPr>
              <w:rPr>
                <w:rFonts w:ascii="Arial" w:hAnsi="Arial" w:cs="Arial"/>
                <w:sz w:val="20"/>
                <w:szCs w:val="20"/>
              </w:rPr>
            </w:pPr>
            <w:r w:rsidRPr="00816DE1">
              <w:rPr>
                <w:rFonts w:ascii="Arial" w:hAnsi="Arial" w:cs="Arial"/>
                <w:sz w:val="20"/>
                <w:szCs w:val="20"/>
              </w:rPr>
              <w:t>minimising overuse of cut and fill to create single flat pads and benching;</w:t>
            </w:r>
          </w:p>
          <w:p w:rsidR="00816DE1" w:rsidRPr="00816DE1" w:rsidRDefault="00816DE1" w:rsidP="0069586D">
            <w:pPr>
              <w:pStyle w:val="NormalWeb"/>
              <w:numPr>
                <w:ilvl w:val="0"/>
                <w:numId w:val="29"/>
              </w:numPr>
              <w:rPr>
                <w:rFonts w:ascii="Arial" w:hAnsi="Arial" w:cs="Arial"/>
                <w:sz w:val="20"/>
                <w:szCs w:val="20"/>
              </w:rPr>
            </w:pPr>
            <w:r w:rsidRPr="00816DE1">
              <w:rPr>
                <w:rFonts w:ascii="Arial" w:hAnsi="Arial" w:cs="Arial"/>
                <w:sz w:val="20"/>
                <w:szCs w:val="20"/>
              </w:rPr>
              <w:t>avoiding expanses of retaining walls, loss of trees and vegetation and interference with natural drainage systems;</w:t>
            </w:r>
          </w:p>
          <w:p w:rsidR="00816DE1" w:rsidRPr="00816DE1" w:rsidRDefault="00816DE1" w:rsidP="0069586D">
            <w:pPr>
              <w:pStyle w:val="NormalWeb"/>
              <w:numPr>
                <w:ilvl w:val="0"/>
                <w:numId w:val="29"/>
              </w:numPr>
              <w:rPr>
                <w:rFonts w:ascii="Arial" w:hAnsi="Arial" w:cs="Arial"/>
                <w:sz w:val="20"/>
                <w:szCs w:val="20"/>
              </w:rPr>
            </w:pPr>
            <w:r w:rsidRPr="00816DE1">
              <w:rPr>
                <w:rFonts w:ascii="Arial" w:hAnsi="Arial" w:cs="Arial"/>
                <w:sz w:val="20"/>
                <w:szCs w:val="20"/>
              </w:rPr>
              <w:lastRenderedPageBreak/>
              <w:t>minimising any impact on the landscape character of the zone;</w:t>
            </w:r>
          </w:p>
          <w:p w:rsidR="00816DE1" w:rsidRPr="00816DE1" w:rsidRDefault="00816DE1" w:rsidP="0069586D">
            <w:pPr>
              <w:pStyle w:val="NormalWeb"/>
              <w:numPr>
                <w:ilvl w:val="0"/>
                <w:numId w:val="29"/>
              </w:numPr>
              <w:rPr>
                <w:rFonts w:ascii="Arial" w:hAnsi="Arial" w:cs="Arial"/>
                <w:sz w:val="20"/>
                <w:szCs w:val="20"/>
              </w:rPr>
            </w:pPr>
            <w:r w:rsidRPr="00816DE1">
              <w:rPr>
                <w:rFonts w:ascii="Arial" w:hAnsi="Arial" w:cs="Arial"/>
                <w:sz w:val="20"/>
                <w:szCs w:val="20"/>
              </w:rPr>
              <w:t>protecting the amenity of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r w:rsidR="00E257BD" w:rsidRPr="00816DE1"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quantifiable standard that relates to the amenity and aesthetic impacts of the building or structure.</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E17.1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Building and lot design on slopes between 10% and 15% must: </w:t>
            </w:r>
          </w:p>
          <w:p w:rsidR="00816DE1" w:rsidRPr="00816DE1" w:rsidRDefault="00816DE1" w:rsidP="0069586D">
            <w:pPr>
              <w:pStyle w:val="NormalWeb"/>
              <w:numPr>
                <w:ilvl w:val="0"/>
                <w:numId w:val="30"/>
              </w:numPr>
              <w:rPr>
                <w:rFonts w:ascii="Arial" w:hAnsi="Arial" w:cs="Arial"/>
                <w:sz w:val="20"/>
                <w:szCs w:val="20"/>
              </w:rPr>
            </w:pPr>
            <w:r w:rsidRPr="00816DE1">
              <w:rPr>
                <w:rFonts w:ascii="Arial" w:hAnsi="Arial" w:cs="Arial"/>
                <w:sz w:val="20"/>
                <w:szCs w:val="20"/>
              </w:rPr>
              <w:t>avoid single-plane slabs and benching with the use of split-level, multiple-slab, pier or pole construction;</w:t>
            </w:r>
          </w:p>
          <w:p w:rsidR="00816DE1" w:rsidRPr="00816DE1" w:rsidRDefault="00816DE1" w:rsidP="0069586D">
            <w:pPr>
              <w:pStyle w:val="NormalWeb"/>
              <w:numPr>
                <w:ilvl w:val="0"/>
                <w:numId w:val="30"/>
              </w:numPr>
              <w:rPr>
                <w:rFonts w:ascii="Arial" w:hAnsi="Arial" w:cs="Arial"/>
                <w:sz w:val="20"/>
                <w:szCs w:val="20"/>
              </w:rPr>
            </w:pPr>
            <w:r w:rsidRPr="00816DE1">
              <w:rPr>
                <w:rFonts w:ascii="Arial" w:hAnsi="Arial" w:cs="Arial"/>
                <w:sz w:val="20"/>
                <w:szCs w:val="20"/>
              </w:rPr>
              <w:t>have built to boundary walls on the low side of the lot to avoid drainage issues.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quantifiable standard that relates to the amenity and aesthetic impacts of the building or structure.</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1320"/>
          <w:tblCellSpacing w:w="15" w:type="dxa"/>
        </w:trPr>
        <w:tc>
          <w:tcPr>
            <w:tcW w:w="1432" w:type="pct"/>
            <w:vMerge/>
            <w:tcBorders>
              <w:top w:val="single" w:sz="4" w:space="0" w:color="000000"/>
              <w:left w:val="single" w:sz="4" w:space="0" w:color="000000"/>
              <w:bottom w:val="single" w:sz="4" w:space="0" w:color="000000"/>
              <w:right w:val="single" w:sz="4" w:space="0" w:color="000000"/>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E17.2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New buildings on land with a slope greater than 15% do not have slab on ground construction.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quantifiable standard that relates to the amenity and aesthetic impacts of the building or structure.</w:t>
                  </w:r>
                </w:p>
              </w:tc>
            </w:tr>
            <w:tr w:rsidR="00816DE1" w:rsidRPr="00816DE1"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there is no height specified for fill or excavation wholly contained within the dwelling footprint (i.e. the area within the outer structural extremities of the dwelling).</w:t>
                  </w:r>
                </w:p>
                <w:p w:rsidR="00816DE1" w:rsidRPr="00C64A89" w:rsidRDefault="00816DE1" w:rsidP="00E257BD">
                  <w:pPr>
                    <w:rPr>
                      <w:rFonts w:ascii="Arial" w:eastAsia="Times New Roman" w:hAnsi="Arial" w:cs="Arial"/>
                      <w:sz w:val="18"/>
                      <w:szCs w:val="20"/>
                    </w:rPr>
                  </w:pP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Development on a laneway</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2985"/>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PO18</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Where a lot has a non-laneway frontage, the dwelling is designed and orientated towards the non-laneway frontage e.g. Street or park) and incorporates design elements to address and activate the non-laneway frontage (e.g. front door, windows, low front fencing (if any) with a gate etc).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qualitative standard that relates to matters identified in Schedule 9, Part 3, Division 2, Table of Regulation.</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E18</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Dwelling house</w:t>
            </w:r>
            <w:r w:rsidRPr="00816DE1">
              <w:rPr>
                <w:rFonts w:ascii="Arial" w:hAnsi="Arial" w:cs="Arial"/>
                <w:sz w:val="20"/>
                <w:szCs w:val="20"/>
                <w:vertAlign w:val="superscript"/>
              </w:rPr>
              <w:t>(</w:t>
            </w:r>
            <w:hyperlink r:id="rId36"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r w:rsidRPr="00816DE1">
              <w:rPr>
                <w:rFonts w:ascii="Arial" w:hAnsi="Arial" w:cs="Arial"/>
                <w:sz w:val="20"/>
                <w:szCs w:val="20"/>
              </w:rPr>
              <w:t xml:space="preserve"> (or the primary dwelling where including a secondary dwelling)</w:t>
            </w:r>
          </w:p>
          <w:p w:rsidR="00816DE1" w:rsidRPr="00816DE1" w:rsidRDefault="00816DE1" w:rsidP="0069586D">
            <w:pPr>
              <w:pStyle w:val="NormalWeb"/>
              <w:numPr>
                <w:ilvl w:val="0"/>
                <w:numId w:val="31"/>
              </w:numPr>
              <w:rPr>
                <w:rFonts w:ascii="Arial" w:hAnsi="Arial" w:cs="Arial"/>
                <w:sz w:val="20"/>
                <w:szCs w:val="20"/>
              </w:rPr>
            </w:pPr>
            <w:r w:rsidRPr="00816DE1">
              <w:rPr>
                <w:rFonts w:ascii="Arial" w:hAnsi="Arial" w:cs="Arial"/>
                <w:sz w:val="20"/>
                <w:szCs w:val="20"/>
              </w:rPr>
              <w:t>faces the non-laneway frontage;</w:t>
            </w:r>
          </w:p>
          <w:p w:rsidR="00816DE1" w:rsidRPr="00816DE1" w:rsidRDefault="00816DE1" w:rsidP="0069586D">
            <w:pPr>
              <w:pStyle w:val="NormalWeb"/>
              <w:numPr>
                <w:ilvl w:val="0"/>
                <w:numId w:val="31"/>
              </w:numPr>
              <w:rPr>
                <w:rFonts w:ascii="Arial" w:hAnsi="Arial" w:cs="Arial"/>
                <w:sz w:val="20"/>
                <w:szCs w:val="20"/>
              </w:rPr>
            </w:pPr>
            <w:r w:rsidRPr="00816DE1">
              <w:rPr>
                <w:rFonts w:ascii="Arial" w:hAnsi="Arial" w:cs="Arial"/>
                <w:sz w:val="20"/>
                <w:szCs w:val="20"/>
              </w:rPr>
              <w:t xml:space="preserve">has its main pedestrian entrance (front door) from the non-laneway </w:t>
            </w:r>
            <w:proofErr w:type="gramStart"/>
            <w:r w:rsidRPr="00816DE1">
              <w:rPr>
                <w:rFonts w:ascii="Arial" w:hAnsi="Arial" w:cs="Arial"/>
                <w:sz w:val="20"/>
                <w:szCs w:val="20"/>
              </w:rPr>
              <w:t>frontage.</w:t>
            </w:r>
            <w:proofErr w:type="gramEnd"/>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3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1230"/>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PO19</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All vehicle access must be via the laneway.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qualitative standard that relates to matters identified in Schedule 9, Part 3, Division 2, Table of Regulation</w:t>
                  </w:r>
                  <w:r w:rsidRPr="00816DE1">
                    <w:rPr>
                      <w:rFonts w:ascii="Arial" w:hAnsi="Arial" w:cs="Arial"/>
                      <w:sz w:val="20"/>
                      <w:szCs w:val="20"/>
                    </w:rPr>
                    <w:t>.</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r>
      <w:tr w:rsidR="00E257BD" w:rsidRPr="00816DE1" w:rsidTr="00E257BD">
        <w:trPr>
          <w:trHeight w:val="3645"/>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PO20</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Dwelling houses</w:t>
            </w:r>
            <w:r w:rsidRPr="00816DE1">
              <w:rPr>
                <w:rFonts w:ascii="Arial" w:hAnsi="Arial" w:cs="Arial"/>
                <w:sz w:val="20"/>
                <w:szCs w:val="20"/>
                <w:vertAlign w:val="superscript"/>
              </w:rPr>
              <w:t>(</w:t>
            </w:r>
            <w:hyperlink r:id="rId3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r w:rsidRPr="00816DE1">
              <w:rPr>
                <w:rFonts w:ascii="Arial" w:hAnsi="Arial" w:cs="Arial"/>
                <w:sz w:val="20"/>
                <w:szCs w:val="20"/>
              </w:rPr>
              <w:t xml:space="preserve"> on laneways contribute to the streetscape by:</w:t>
            </w:r>
          </w:p>
          <w:p w:rsidR="00816DE1" w:rsidRPr="00816DE1" w:rsidRDefault="00816DE1" w:rsidP="0069586D">
            <w:pPr>
              <w:pStyle w:val="NormalWeb"/>
              <w:numPr>
                <w:ilvl w:val="0"/>
                <w:numId w:val="32"/>
              </w:numPr>
              <w:rPr>
                <w:rFonts w:ascii="Arial" w:hAnsi="Arial" w:cs="Arial"/>
                <w:sz w:val="20"/>
                <w:szCs w:val="20"/>
              </w:rPr>
            </w:pPr>
            <w:r w:rsidRPr="00816DE1">
              <w:rPr>
                <w:rFonts w:ascii="Arial" w:hAnsi="Arial" w:cs="Arial"/>
                <w:sz w:val="20"/>
                <w:szCs w:val="20"/>
              </w:rPr>
              <w:t>providing concealed garbage bin storage areas to reduce the dominance of bins on the lane;</w:t>
            </w:r>
          </w:p>
          <w:p w:rsidR="00816DE1" w:rsidRPr="00816DE1" w:rsidRDefault="00816DE1" w:rsidP="0069586D">
            <w:pPr>
              <w:pStyle w:val="NormalWeb"/>
              <w:numPr>
                <w:ilvl w:val="0"/>
                <w:numId w:val="32"/>
              </w:numPr>
              <w:rPr>
                <w:rFonts w:ascii="Arial" w:hAnsi="Arial" w:cs="Arial"/>
                <w:sz w:val="20"/>
                <w:szCs w:val="20"/>
              </w:rPr>
            </w:pPr>
            <w:r w:rsidRPr="00816DE1">
              <w:rPr>
                <w:rFonts w:ascii="Arial" w:hAnsi="Arial" w:cs="Arial"/>
                <w:sz w:val="20"/>
                <w:szCs w:val="20"/>
              </w:rPr>
              <w:t>maximising security and amenity;</w:t>
            </w:r>
          </w:p>
          <w:p w:rsidR="00816DE1" w:rsidRPr="00816DE1" w:rsidRDefault="00816DE1" w:rsidP="0069586D">
            <w:pPr>
              <w:pStyle w:val="NormalWeb"/>
              <w:numPr>
                <w:ilvl w:val="0"/>
                <w:numId w:val="32"/>
              </w:numPr>
              <w:rPr>
                <w:rFonts w:ascii="Arial" w:hAnsi="Arial" w:cs="Arial"/>
                <w:sz w:val="20"/>
                <w:szCs w:val="20"/>
              </w:rPr>
            </w:pPr>
            <w:r w:rsidRPr="00816DE1">
              <w:rPr>
                <w:rFonts w:ascii="Arial" w:hAnsi="Arial" w:cs="Arial"/>
                <w:sz w:val="20"/>
                <w:szCs w:val="20"/>
              </w:rPr>
              <w:t>including landscaping that:</w:t>
            </w:r>
          </w:p>
          <w:p w:rsidR="00816DE1" w:rsidRPr="00816DE1" w:rsidRDefault="00816DE1" w:rsidP="0069586D">
            <w:pPr>
              <w:pStyle w:val="NormalWeb"/>
              <w:numPr>
                <w:ilvl w:val="1"/>
                <w:numId w:val="32"/>
              </w:numPr>
              <w:rPr>
                <w:rFonts w:ascii="Arial" w:hAnsi="Arial" w:cs="Arial"/>
                <w:sz w:val="20"/>
                <w:szCs w:val="20"/>
              </w:rPr>
            </w:pPr>
            <w:r w:rsidRPr="00816DE1">
              <w:rPr>
                <w:rFonts w:ascii="Arial" w:hAnsi="Arial" w:cs="Arial"/>
                <w:sz w:val="20"/>
                <w:szCs w:val="20"/>
              </w:rPr>
              <w:t>does not provide areas of concealment;</w:t>
            </w:r>
          </w:p>
          <w:p w:rsidR="00816DE1" w:rsidRPr="00816DE1" w:rsidRDefault="00816DE1" w:rsidP="0069586D">
            <w:pPr>
              <w:pStyle w:val="NormalWeb"/>
              <w:numPr>
                <w:ilvl w:val="1"/>
                <w:numId w:val="32"/>
              </w:numPr>
              <w:rPr>
                <w:rFonts w:ascii="Arial" w:hAnsi="Arial" w:cs="Arial"/>
                <w:sz w:val="20"/>
                <w:szCs w:val="20"/>
              </w:rPr>
            </w:pPr>
            <w:r w:rsidRPr="00816DE1">
              <w:rPr>
                <w:rFonts w:ascii="Arial" w:hAnsi="Arial" w:cs="Arial"/>
                <w:sz w:val="20"/>
                <w:szCs w:val="20"/>
              </w:rPr>
              <w:t>breaks up the dominance of garages and vehicle parking;</w:t>
            </w:r>
          </w:p>
          <w:p w:rsidR="00816DE1" w:rsidRPr="00816DE1" w:rsidRDefault="00816DE1" w:rsidP="0069586D">
            <w:pPr>
              <w:pStyle w:val="NormalWeb"/>
              <w:numPr>
                <w:ilvl w:val="1"/>
                <w:numId w:val="32"/>
              </w:numPr>
              <w:rPr>
                <w:rFonts w:ascii="Arial" w:hAnsi="Arial" w:cs="Arial"/>
                <w:sz w:val="20"/>
                <w:szCs w:val="20"/>
              </w:rPr>
            </w:pPr>
            <w:r w:rsidRPr="00816DE1">
              <w:rPr>
                <w:rFonts w:ascii="Arial" w:hAnsi="Arial" w:cs="Arial"/>
                <w:sz w:val="20"/>
                <w:szCs w:val="20"/>
              </w:rPr>
              <w:t>delineates the boundaries between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qualitative standard that relates to matters identified in Schedule 9, Part 3, Division 2, Table of Regulation</w:t>
                  </w:r>
                  <w:r w:rsidRPr="00816DE1">
                    <w:rPr>
                      <w:rFonts w:ascii="Arial" w:hAnsi="Arial" w:cs="Arial"/>
                      <w:sz w:val="20"/>
                      <w:szCs w:val="20"/>
                    </w:rPr>
                    <w:t>.</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Secondary dwelling</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4050"/>
          <w:tblCellSpacing w:w="15" w:type="dxa"/>
        </w:trPr>
        <w:tc>
          <w:tcPr>
            <w:tcW w:w="1432"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PO21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Secondary dwellings:</w:t>
            </w:r>
          </w:p>
          <w:p w:rsidR="00816DE1" w:rsidRPr="00816DE1" w:rsidRDefault="00816DE1" w:rsidP="0069586D">
            <w:pPr>
              <w:pStyle w:val="NormalWeb"/>
              <w:numPr>
                <w:ilvl w:val="0"/>
                <w:numId w:val="33"/>
              </w:numPr>
              <w:rPr>
                <w:rFonts w:ascii="Arial" w:hAnsi="Arial" w:cs="Arial"/>
                <w:sz w:val="20"/>
                <w:szCs w:val="20"/>
              </w:rPr>
            </w:pPr>
            <w:r w:rsidRPr="00816DE1">
              <w:rPr>
                <w:rFonts w:ascii="Arial" w:hAnsi="Arial" w:cs="Arial"/>
                <w:sz w:val="20"/>
                <w:szCs w:val="20"/>
              </w:rPr>
              <w:t>are subordinate and ancillary to the primary dwelling in size and function;</w:t>
            </w:r>
          </w:p>
          <w:p w:rsidR="00816DE1" w:rsidRPr="00816DE1" w:rsidRDefault="00816DE1" w:rsidP="0069586D">
            <w:pPr>
              <w:pStyle w:val="NormalWeb"/>
              <w:numPr>
                <w:ilvl w:val="0"/>
                <w:numId w:val="33"/>
              </w:numPr>
              <w:rPr>
                <w:rFonts w:ascii="Arial" w:hAnsi="Arial" w:cs="Arial"/>
                <w:sz w:val="20"/>
                <w:szCs w:val="20"/>
              </w:rPr>
            </w:pPr>
            <w:r w:rsidRPr="00816DE1">
              <w:rPr>
                <w:rFonts w:ascii="Arial" w:hAnsi="Arial" w:cs="Arial"/>
                <w:sz w:val="20"/>
                <w:szCs w:val="20"/>
              </w:rPr>
              <w:t>have a GFA that does not exceed:</w:t>
            </w:r>
          </w:p>
          <w:p w:rsidR="00816DE1" w:rsidRPr="00816DE1" w:rsidRDefault="00816DE1" w:rsidP="0069586D">
            <w:pPr>
              <w:pStyle w:val="NormalWeb"/>
              <w:numPr>
                <w:ilvl w:val="1"/>
                <w:numId w:val="33"/>
              </w:numPr>
              <w:rPr>
                <w:rFonts w:ascii="Arial" w:hAnsi="Arial" w:cs="Arial"/>
                <w:sz w:val="20"/>
                <w:szCs w:val="20"/>
              </w:rPr>
            </w:pPr>
            <w:r w:rsidRPr="00816DE1">
              <w:rPr>
                <w:rFonts w:ascii="Arial" w:hAnsi="Arial" w:cs="Arial"/>
                <w:sz w:val="20"/>
                <w:szCs w:val="20"/>
              </w:rPr>
              <w:t>45m</w:t>
            </w:r>
            <w:r w:rsidRPr="00816DE1">
              <w:rPr>
                <w:rFonts w:ascii="Arial" w:hAnsi="Arial" w:cs="Arial"/>
                <w:sz w:val="20"/>
                <w:szCs w:val="20"/>
                <w:vertAlign w:val="superscript"/>
              </w:rPr>
              <w:t>2</w:t>
            </w:r>
            <w:r w:rsidRPr="00816DE1">
              <w:rPr>
                <w:rFonts w:ascii="Arial" w:hAnsi="Arial" w:cs="Arial"/>
                <w:sz w:val="20"/>
                <w:szCs w:val="20"/>
              </w:rPr>
              <w:t xml:space="preserve"> for a lot with a primary frontage less than 15m; or</w:t>
            </w:r>
          </w:p>
          <w:p w:rsidR="00816DE1" w:rsidRPr="00816DE1" w:rsidRDefault="00816DE1" w:rsidP="0069586D">
            <w:pPr>
              <w:pStyle w:val="NormalWeb"/>
              <w:numPr>
                <w:ilvl w:val="1"/>
                <w:numId w:val="33"/>
              </w:numPr>
              <w:rPr>
                <w:rFonts w:ascii="Arial" w:hAnsi="Arial" w:cs="Arial"/>
                <w:sz w:val="20"/>
                <w:szCs w:val="20"/>
              </w:rPr>
            </w:pPr>
            <w:r w:rsidRPr="00816DE1">
              <w:rPr>
                <w:rFonts w:ascii="Arial" w:hAnsi="Arial" w:cs="Arial"/>
                <w:sz w:val="20"/>
                <w:szCs w:val="20"/>
              </w:rPr>
              <w:t>55m</w:t>
            </w:r>
            <w:r w:rsidRPr="00816DE1">
              <w:rPr>
                <w:rFonts w:ascii="Arial" w:hAnsi="Arial" w:cs="Arial"/>
                <w:sz w:val="20"/>
                <w:szCs w:val="20"/>
                <w:vertAlign w:val="superscript"/>
              </w:rPr>
              <w:t>2</w:t>
            </w:r>
            <w:r w:rsidRPr="00816DE1">
              <w:rPr>
                <w:rFonts w:ascii="Arial" w:hAnsi="Arial" w:cs="Arial"/>
                <w:sz w:val="20"/>
                <w:szCs w:val="20"/>
              </w:rPr>
              <w:t xml:space="preserve"> for a lot with a primary frontage of 15m or more.</w:t>
            </w:r>
          </w:p>
          <w:p w:rsidR="00816DE1" w:rsidRPr="00816DE1" w:rsidRDefault="00816DE1" w:rsidP="0069586D">
            <w:pPr>
              <w:pStyle w:val="NormalWeb"/>
              <w:numPr>
                <w:ilvl w:val="0"/>
                <w:numId w:val="33"/>
              </w:numPr>
              <w:rPr>
                <w:rFonts w:ascii="Arial" w:hAnsi="Arial" w:cs="Arial"/>
                <w:sz w:val="20"/>
                <w:szCs w:val="20"/>
              </w:rPr>
            </w:pPr>
            <w:r w:rsidRPr="00816DE1">
              <w:rPr>
                <w:rFonts w:ascii="Arial" w:hAnsi="Arial" w:cs="Arial"/>
                <w:sz w:val="20"/>
                <w:szCs w:val="20"/>
              </w:rPr>
              <w:t>have the appearance, bulk and scale of a single dwelling from the street;</w:t>
            </w:r>
          </w:p>
          <w:p w:rsidR="00816DE1" w:rsidRPr="00816DE1" w:rsidRDefault="00816DE1" w:rsidP="0069586D">
            <w:pPr>
              <w:pStyle w:val="NormalWeb"/>
              <w:numPr>
                <w:ilvl w:val="0"/>
                <w:numId w:val="33"/>
              </w:numPr>
              <w:rPr>
                <w:rFonts w:ascii="Arial" w:hAnsi="Arial" w:cs="Arial"/>
                <w:sz w:val="20"/>
                <w:szCs w:val="20"/>
              </w:rPr>
            </w:pPr>
            <w:r w:rsidRPr="00816DE1">
              <w:rPr>
                <w:rFonts w:ascii="Arial" w:hAnsi="Arial" w:cs="Arial"/>
                <w:sz w:val="20"/>
                <w:szCs w:val="20"/>
              </w:rPr>
              <w:t xml:space="preserve">maintain sufficient area for the siting of all buildings, structures, landscaping and car parking spaces for the Dwelling </w:t>
            </w:r>
            <w:r w:rsidRPr="00816DE1">
              <w:rPr>
                <w:rFonts w:ascii="Arial" w:hAnsi="Arial" w:cs="Arial"/>
                <w:sz w:val="20"/>
                <w:szCs w:val="20"/>
              </w:rPr>
              <w:lastRenderedPageBreak/>
              <w:t>house</w:t>
            </w:r>
            <w:r w:rsidRPr="00816DE1">
              <w:rPr>
                <w:rFonts w:ascii="Arial" w:hAnsi="Arial" w:cs="Arial"/>
                <w:sz w:val="20"/>
                <w:szCs w:val="20"/>
                <w:vertAlign w:val="superscript"/>
              </w:rPr>
              <w:t>(</w:t>
            </w:r>
            <w:hyperlink r:id="rId3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r w:rsidRPr="00816DE1">
              <w:rPr>
                <w:rFonts w:ascii="Arial" w:hAnsi="Arial" w:cs="Arial"/>
                <w:sz w:val="20"/>
                <w:szCs w:val="20"/>
              </w:rPr>
              <w:t> and secondary dwelling on the lot.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rHeight w:val="120"/>
                <w:tblCellSpacing w:w="15" w:type="dxa"/>
              </w:trPr>
              <w:tc>
                <w:tcPr>
                  <w:tcW w:w="858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qualitative standard that relates to matters identified in Schedule 9, Part 3, Division 2, Table of Regulation</w:t>
                  </w:r>
                  <w:r w:rsidRPr="00816DE1">
                    <w:rPr>
                      <w:rFonts w:ascii="Arial" w:hAnsi="Arial" w:cs="Arial"/>
                      <w:sz w:val="20"/>
                      <w:szCs w:val="20"/>
                    </w:rPr>
                    <w:t>.</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E21.1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siting and design of dwellings ensures that the secondary dwelling is:</w:t>
            </w:r>
          </w:p>
          <w:p w:rsidR="00816DE1" w:rsidRPr="00816DE1" w:rsidRDefault="00816DE1" w:rsidP="0069586D">
            <w:pPr>
              <w:pStyle w:val="NormalWeb"/>
              <w:numPr>
                <w:ilvl w:val="0"/>
                <w:numId w:val="34"/>
              </w:numPr>
              <w:rPr>
                <w:rFonts w:ascii="Arial" w:hAnsi="Arial" w:cs="Arial"/>
                <w:sz w:val="20"/>
                <w:szCs w:val="20"/>
              </w:rPr>
            </w:pPr>
            <w:r w:rsidRPr="00816DE1">
              <w:rPr>
                <w:rFonts w:ascii="Arial" w:hAnsi="Arial" w:cs="Arial"/>
                <w:sz w:val="20"/>
                <w:szCs w:val="20"/>
              </w:rPr>
              <w:t>not located in front of the primary dwelling;</w:t>
            </w:r>
          </w:p>
          <w:p w:rsidR="00816DE1" w:rsidRPr="00816DE1" w:rsidRDefault="00816DE1" w:rsidP="0069586D">
            <w:pPr>
              <w:pStyle w:val="NormalWeb"/>
              <w:numPr>
                <w:ilvl w:val="0"/>
                <w:numId w:val="34"/>
              </w:numPr>
              <w:rPr>
                <w:rFonts w:ascii="Arial" w:hAnsi="Arial" w:cs="Arial"/>
                <w:sz w:val="20"/>
                <w:szCs w:val="20"/>
              </w:rPr>
            </w:pPr>
            <w:r w:rsidRPr="00816DE1">
              <w:rPr>
                <w:rFonts w:ascii="Arial" w:hAnsi="Arial" w:cs="Arial"/>
                <w:sz w:val="20"/>
                <w:szCs w:val="20"/>
              </w:rPr>
              <w:t>annexed to (adjoining, below or above) or located within 10.0m of the primary dwelling (excluding domestic outbuildings).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The requirements to locate a Secondary dwelling within 10m of the primary dwelling is measured from the outermost projection of the primary dwelling (being the main house, excluding domestic outbuildings) to the outermost projection of the Secondary dwelling. The entire Secondary dwelling does not need to be contained within the specified distance.</w:t>
                  </w:r>
                </w:p>
              </w:tc>
            </w:tr>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Residential design for details and examples.</w:t>
                  </w:r>
                </w:p>
              </w:tc>
            </w:tr>
          </w:tbl>
          <w:p w:rsidR="00816DE1" w:rsidRPr="00C64A89" w:rsidRDefault="00816DE1" w:rsidP="00E257BD">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lastRenderedPageBreak/>
                    <w:t> 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4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vMerge/>
            <w:tcBorders>
              <w:top w:val="single" w:sz="4" w:space="0" w:color="000000"/>
              <w:left w:val="single" w:sz="4" w:space="0" w:color="000000"/>
              <w:bottom w:val="single" w:sz="4" w:space="0" w:color="000000"/>
              <w:right w:val="single" w:sz="4" w:space="0" w:color="000000"/>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E21.2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more than 1 secondary dwelling is located on an allotment.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4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2595"/>
          <w:tblCellSpacing w:w="15" w:type="dxa"/>
        </w:trPr>
        <w:tc>
          <w:tcPr>
            <w:tcW w:w="1432" w:type="pct"/>
            <w:vMerge/>
            <w:tcBorders>
              <w:top w:val="single" w:sz="4" w:space="0" w:color="000000"/>
              <w:left w:val="single" w:sz="4" w:space="0" w:color="000000"/>
              <w:bottom w:val="single" w:sz="4" w:space="0" w:color="000000"/>
              <w:right w:val="single" w:sz="4" w:space="0" w:color="000000"/>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E21.3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GFA of the secondary dwelling does not exceed:</w:t>
            </w:r>
          </w:p>
          <w:p w:rsidR="00816DE1" w:rsidRPr="00816DE1" w:rsidRDefault="00816DE1" w:rsidP="0069586D">
            <w:pPr>
              <w:pStyle w:val="NormalWeb"/>
              <w:numPr>
                <w:ilvl w:val="0"/>
                <w:numId w:val="35"/>
              </w:numPr>
              <w:rPr>
                <w:rFonts w:ascii="Arial" w:hAnsi="Arial" w:cs="Arial"/>
                <w:sz w:val="20"/>
                <w:szCs w:val="20"/>
              </w:rPr>
            </w:pPr>
            <w:r w:rsidRPr="00816DE1">
              <w:rPr>
                <w:rFonts w:ascii="Arial" w:hAnsi="Arial" w:cs="Arial"/>
                <w:sz w:val="20"/>
                <w:szCs w:val="20"/>
              </w:rPr>
              <w:t>45m</w:t>
            </w:r>
            <w:r w:rsidRPr="00816DE1">
              <w:rPr>
                <w:rFonts w:ascii="Arial" w:hAnsi="Arial" w:cs="Arial"/>
                <w:sz w:val="20"/>
                <w:szCs w:val="20"/>
                <w:vertAlign w:val="superscript"/>
              </w:rPr>
              <w:t>2</w:t>
            </w:r>
            <w:r w:rsidRPr="00816DE1">
              <w:rPr>
                <w:rFonts w:ascii="Arial" w:hAnsi="Arial" w:cs="Arial"/>
                <w:sz w:val="20"/>
                <w:szCs w:val="20"/>
              </w:rPr>
              <w:t xml:space="preserve"> GFA for a lot with a primary frontage less than 15m; or</w:t>
            </w:r>
          </w:p>
          <w:p w:rsidR="00816DE1" w:rsidRPr="00816DE1" w:rsidRDefault="00816DE1" w:rsidP="0069586D">
            <w:pPr>
              <w:pStyle w:val="NormalWeb"/>
              <w:numPr>
                <w:ilvl w:val="0"/>
                <w:numId w:val="35"/>
              </w:numPr>
              <w:rPr>
                <w:rFonts w:ascii="Arial" w:hAnsi="Arial" w:cs="Arial"/>
                <w:sz w:val="20"/>
                <w:szCs w:val="20"/>
              </w:rPr>
            </w:pPr>
            <w:r w:rsidRPr="00816DE1">
              <w:rPr>
                <w:rFonts w:ascii="Arial" w:hAnsi="Arial" w:cs="Arial"/>
                <w:sz w:val="20"/>
                <w:szCs w:val="20"/>
              </w:rPr>
              <w:t>55m</w:t>
            </w:r>
            <w:r w:rsidRPr="00816DE1">
              <w:rPr>
                <w:rFonts w:ascii="Arial" w:hAnsi="Arial" w:cs="Arial"/>
                <w:sz w:val="20"/>
                <w:szCs w:val="20"/>
                <w:vertAlign w:val="superscript"/>
              </w:rPr>
              <w:t>2</w:t>
            </w:r>
            <w:r w:rsidRPr="00816DE1">
              <w:rPr>
                <w:rFonts w:ascii="Arial" w:hAnsi="Arial" w:cs="Arial"/>
                <w:sz w:val="20"/>
                <w:szCs w:val="20"/>
              </w:rPr>
              <w:t xml:space="preserve"> GFA for a lot with a primary frontage of 15m or more.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4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rHeight w:val="2100"/>
          <w:tblCellSpacing w:w="15" w:type="dxa"/>
        </w:trPr>
        <w:tc>
          <w:tcPr>
            <w:tcW w:w="1432" w:type="pct"/>
            <w:vMerge/>
            <w:tcBorders>
              <w:top w:val="single" w:sz="4" w:space="0" w:color="000000"/>
              <w:left w:val="single" w:sz="4" w:space="0" w:color="000000"/>
              <w:bottom w:val="single" w:sz="4" w:space="0" w:color="000000"/>
              <w:right w:val="single" w:sz="4" w:space="0" w:color="000000"/>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E21.4</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Provide a minimum of one designated car parking space for the Secondary dwelling (in addition to those required for the dwelling house). This car parking space(s) is to be co-located with the parking space(s) for the primary dwelling to appear as a single dwelling from the street.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The requirement for co-locating secondary dwelling parking space(s) with the car parking space(s) for the primary dwelling does not apply to corner lots where the primary and secondary dwellings address different street frontages and are accessed via separate driveways.</w:t>
                  </w:r>
                </w:p>
              </w:tc>
            </w:tr>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4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tc>
            </w:tr>
          </w:tbl>
          <w:p w:rsidR="00816DE1" w:rsidRPr="00C64A89" w:rsidRDefault="00816DE1" w:rsidP="00E257BD">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18"/>
            </w:tblGrid>
            <w:tr w:rsidR="00816DE1" w:rsidRPr="00C64A89"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Residential design for details and examples.</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3195" w:type="pct"/>
            <w:gridSpan w:val="2"/>
            <w:tcBorders>
              <w:top w:val="single" w:sz="4" w:space="0" w:color="000000"/>
              <w:left w:val="single" w:sz="4" w:space="0" w:color="000000"/>
              <w:bottom w:val="single" w:sz="4" w:space="0" w:color="000000"/>
              <w:right w:val="single" w:sz="4" w:space="0" w:color="000000"/>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Domestic outbuildings </w:t>
            </w:r>
          </w:p>
        </w:tc>
        <w:tc>
          <w:tcPr>
            <w:tcW w:w="801"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CCCCCC"/>
          </w:tcPr>
          <w:p w:rsidR="00816DE1" w:rsidRPr="00816DE1" w:rsidRDefault="00816DE1" w:rsidP="00E257BD">
            <w:pPr>
              <w:pStyle w:val="NormalWeb"/>
              <w:rPr>
                <w:rStyle w:val="Strong"/>
                <w:rFonts w:ascii="Arial" w:hAnsi="Arial" w:cs="Arial"/>
                <w:sz w:val="20"/>
                <w:szCs w:val="20"/>
              </w:rPr>
            </w:pPr>
          </w:p>
        </w:tc>
      </w:tr>
      <w:tr w:rsidR="00E257BD" w:rsidRPr="00816DE1" w:rsidTr="003D5BCB">
        <w:trPr>
          <w:trHeight w:val="3482"/>
          <w:tblCellSpacing w:w="15" w:type="dxa"/>
        </w:trPr>
        <w:tc>
          <w:tcPr>
            <w:tcW w:w="1432"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PO22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Domestic outbuildings and car ports:</w:t>
            </w:r>
          </w:p>
          <w:p w:rsidR="00816DE1" w:rsidRPr="00816DE1" w:rsidRDefault="00816DE1" w:rsidP="0069586D">
            <w:pPr>
              <w:pStyle w:val="NormalWeb"/>
              <w:numPr>
                <w:ilvl w:val="0"/>
                <w:numId w:val="36"/>
              </w:numPr>
              <w:rPr>
                <w:rFonts w:ascii="Arial" w:hAnsi="Arial" w:cs="Arial"/>
                <w:sz w:val="20"/>
                <w:szCs w:val="20"/>
              </w:rPr>
            </w:pPr>
            <w:r w:rsidRPr="00816DE1">
              <w:rPr>
                <w:rFonts w:ascii="Arial" w:hAnsi="Arial" w:cs="Arial"/>
                <w:sz w:val="20"/>
                <w:szCs w:val="20"/>
              </w:rPr>
              <w:t>are of a height that does not negatively impact the visual amenity of adjoining properties;</w:t>
            </w:r>
          </w:p>
          <w:p w:rsidR="00816DE1" w:rsidRPr="00816DE1" w:rsidRDefault="00816DE1" w:rsidP="0069586D">
            <w:pPr>
              <w:pStyle w:val="NormalWeb"/>
              <w:numPr>
                <w:ilvl w:val="0"/>
                <w:numId w:val="36"/>
              </w:numPr>
              <w:rPr>
                <w:rFonts w:ascii="Arial" w:hAnsi="Arial" w:cs="Arial"/>
                <w:sz w:val="20"/>
                <w:szCs w:val="20"/>
              </w:rPr>
            </w:pPr>
            <w:r w:rsidRPr="00816DE1">
              <w:rPr>
                <w:rFonts w:ascii="Arial" w:hAnsi="Arial" w:cs="Arial"/>
                <w:sz w:val="20"/>
                <w:szCs w:val="20"/>
              </w:rPr>
              <w:t>where visible from the street or public place are of a scale, location and built form that is consistent with the existing streetscape and character of the precinct and avoids dominating or otherwise negatively impacting the streetscape or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2"/>
            </w:tblGrid>
            <w:tr w:rsidR="00E257BD" w:rsidRPr="00816DE1" w:rsidTr="00816DE1">
              <w:trPr>
                <w:tblCellSpacing w:w="15" w:type="dxa"/>
              </w:trPr>
              <w:tc>
                <w:tcPr>
                  <w:tcW w:w="858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qualitative standard that relates to matters identified in Schedule 9, Part 3, Division 2, Table of Regulation.</w:t>
                  </w:r>
                </w:p>
              </w:tc>
            </w:tr>
          </w:tbl>
          <w:p w:rsidR="00816DE1" w:rsidRPr="00816DE1" w:rsidRDefault="00816DE1" w:rsidP="00E257BD">
            <w:pPr>
              <w:rPr>
                <w:rFonts w:ascii="Arial" w:eastAsia="Times New Roman" w:hAnsi="Arial" w:cs="Arial"/>
                <w:sz w:val="20"/>
                <w:szCs w:val="20"/>
              </w:rPr>
            </w:pPr>
          </w:p>
        </w:tc>
        <w:tc>
          <w:tcPr>
            <w:tcW w:w="1753" w:type="pct"/>
            <w:tcBorders>
              <w:top w:val="single" w:sz="4" w:space="0" w:color="000000"/>
              <w:left w:val="single" w:sz="4" w:space="0" w:color="000000"/>
              <w:bottom w:val="single" w:sz="4" w:space="0" w:color="000000"/>
              <w:right w:val="single" w:sz="4" w:space="0" w:color="000000"/>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E22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Domestic outbuildings:</w:t>
            </w:r>
          </w:p>
          <w:p w:rsidR="00816DE1" w:rsidRPr="00816DE1" w:rsidRDefault="00816DE1" w:rsidP="0069586D">
            <w:pPr>
              <w:pStyle w:val="NormalWeb"/>
              <w:numPr>
                <w:ilvl w:val="0"/>
                <w:numId w:val="37"/>
              </w:numPr>
              <w:rPr>
                <w:rFonts w:ascii="Arial" w:hAnsi="Arial" w:cs="Arial"/>
                <w:sz w:val="20"/>
                <w:szCs w:val="20"/>
              </w:rPr>
            </w:pPr>
            <w:r w:rsidRPr="00816DE1">
              <w:rPr>
                <w:rFonts w:ascii="Arial" w:hAnsi="Arial" w:cs="Arial"/>
                <w:sz w:val="20"/>
                <w:szCs w:val="20"/>
              </w:rPr>
              <w:t>have a total combined maximum roofed area as outlined in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703"/>
              <w:gridCol w:w="2599"/>
            </w:tblGrid>
            <w:tr w:rsidR="00816DE1" w:rsidRPr="00816DE1" w:rsidTr="00816DE1">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Size of lot</w:t>
                  </w:r>
                </w:p>
              </w:tc>
              <w:tc>
                <w:tcPr>
                  <w:tcW w:w="2550" w:type="pct"/>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Maximum roofed area</w:t>
                  </w:r>
                </w:p>
              </w:tc>
            </w:tr>
            <w:tr w:rsidR="00816DE1" w:rsidRPr="00816DE1" w:rsidTr="00816DE1">
              <w:trPr>
                <w:tblCellSpacing w:w="15" w:type="dxa"/>
              </w:trPr>
              <w:tc>
                <w:tcPr>
                  <w:tcW w:w="2350"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Less than 600m</w:t>
                  </w:r>
                  <w:r w:rsidRPr="00816DE1">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50m</w:t>
                  </w:r>
                  <w:r w:rsidRPr="00816DE1">
                    <w:rPr>
                      <w:rFonts w:ascii="Arial" w:hAnsi="Arial" w:cs="Arial"/>
                      <w:sz w:val="20"/>
                      <w:szCs w:val="20"/>
                      <w:vertAlign w:val="superscript"/>
                    </w:rPr>
                    <w:t>2</w:t>
                  </w:r>
                </w:p>
              </w:tc>
            </w:tr>
            <w:tr w:rsidR="00816DE1" w:rsidRPr="00816DE1" w:rsidTr="00816DE1">
              <w:trPr>
                <w:tblCellSpacing w:w="15" w:type="dxa"/>
              </w:trPr>
              <w:tc>
                <w:tcPr>
                  <w:tcW w:w="2350"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600m</w:t>
                  </w:r>
                  <w:r w:rsidRPr="00816DE1">
                    <w:rPr>
                      <w:rFonts w:ascii="Arial" w:hAnsi="Arial" w:cs="Arial"/>
                      <w:sz w:val="20"/>
                      <w:szCs w:val="20"/>
                      <w:vertAlign w:val="superscript"/>
                    </w:rPr>
                    <w:t xml:space="preserve">2 </w:t>
                  </w:r>
                  <w:r w:rsidRPr="00816DE1">
                    <w:rPr>
                      <w:rFonts w:ascii="Arial" w:hAnsi="Arial" w:cs="Arial"/>
                      <w:sz w:val="20"/>
                      <w:szCs w:val="20"/>
                    </w:rPr>
                    <w:t>- 1000m</w:t>
                  </w:r>
                  <w:r w:rsidRPr="00816DE1">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70m</w:t>
                  </w:r>
                  <w:r w:rsidRPr="00816DE1">
                    <w:rPr>
                      <w:rFonts w:ascii="Arial" w:hAnsi="Arial" w:cs="Arial"/>
                      <w:sz w:val="20"/>
                      <w:szCs w:val="20"/>
                      <w:vertAlign w:val="superscript"/>
                    </w:rPr>
                    <w:t>2</w:t>
                  </w:r>
                </w:p>
              </w:tc>
            </w:tr>
            <w:tr w:rsidR="00816DE1" w:rsidRPr="00816DE1" w:rsidTr="00816DE1">
              <w:trPr>
                <w:tblCellSpacing w:w="15" w:type="dxa"/>
              </w:trPr>
              <w:tc>
                <w:tcPr>
                  <w:tcW w:w="2350"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&gt;1000m</w:t>
                  </w:r>
                  <w:r w:rsidRPr="00816DE1">
                    <w:rPr>
                      <w:rFonts w:ascii="Arial" w:hAnsi="Arial" w:cs="Arial"/>
                      <w:sz w:val="20"/>
                      <w:szCs w:val="20"/>
                      <w:vertAlign w:val="superscript"/>
                    </w:rPr>
                    <w:t>2</w:t>
                  </w:r>
                  <w:r w:rsidRPr="00816DE1">
                    <w:rPr>
                      <w:rFonts w:ascii="Arial" w:hAnsi="Arial" w:cs="Arial"/>
                      <w:sz w:val="20"/>
                      <w:szCs w:val="20"/>
                    </w:rPr>
                    <w:t xml:space="preserve"> – 2000m</w:t>
                  </w:r>
                  <w:r w:rsidRPr="00816DE1">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80m</w:t>
                  </w:r>
                  <w:r w:rsidRPr="00816DE1">
                    <w:rPr>
                      <w:rFonts w:ascii="Arial" w:hAnsi="Arial" w:cs="Arial"/>
                      <w:sz w:val="20"/>
                      <w:szCs w:val="20"/>
                      <w:vertAlign w:val="superscript"/>
                    </w:rPr>
                    <w:t>2</w:t>
                  </w:r>
                </w:p>
              </w:tc>
            </w:tr>
            <w:tr w:rsidR="00816DE1" w:rsidRPr="00816DE1" w:rsidTr="00816DE1">
              <w:trPr>
                <w:tblCellSpacing w:w="15" w:type="dxa"/>
              </w:trPr>
              <w:tc>
                <w:tcPr>
                  <w:tcW w:w="2350"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Greater than 2000m</w:t>
                  </w:r>
                  <w:r w:rsidRPr="00816DE1">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150m</w:t>
                  </w:r>
                  <w:r w:rsidRPr="00816DE1">
                    <w:rPr>
                      <w:rFonts w:ascii="Arial" w:hAnsi="Arial" w:cs="Arial"/>
                      <w:sz w:val="20"/>
                      <w:szCs w:val="20"/>
                      <w:vertAlign w:val="superscript"/>
                    </w:rPr>
                    <w:t>2</w:t>
                  </w:r>
                </w:p>
              </w:tc>
            </w:tr>
          </w:tbl>
          <w:p w:rsidR="00816DE1" w:rsidRPr="00816DE1" w:rsidRDefault="00816DE1" w:rsidP="0069586D">
            <w:pPr>
              <w:pStyle w:val="NormalWeb"/>
              <w:numPr>
                <w:ilvl w:val="0"/>
                <w:numId w:val="38"/>
              </w:numPr>
              <w:rPr>
                <w:rFonts w:ascii="Arial" w:hAnsi="Arial" w:cs="Arial"/>
                <w:sz w:val="20"/>
                <w:szCs w:val="20"/>
              </w:rPr>
            </w:pPr>
            <w:r w:rsidRPr="00816DE1">
              <w:rPr>
                <w:rFonts w:ascii="Arial" w:hAnsi="Arial" w:cs="Arial"/>
                <w:sz w:val="20"/>
                <w:szCs w:val="20"/>
              </w:rPr>
              <w:t>have a maximum and mean building height as follows:</w:t>
            </w:r>
          </w:p>
          <w:p w:rsidR="00816DE1" w:rsidRPr="00816DE1" w:rsidRDefault="00816DE1" w:rsidP="0069586D">
            <w:pPr>
              <w:numPr>
                <w:ilvl w:val="1"/>
                <w:numId w:val="38"/>
              </w:numPr>
              <w:spacing w:before="100" w:beforeAutospacing="1" w:after="100" w:afterAutospacing="1"/>
              <w:rPr>
                <w:rFonts w:ascii="Arial" w:hAnsi="Arial" w:cs="Arial"/>
                <w:sz w:val="20"/>
                <w:szCs w:val="20"/>
              </w:rPr>
            </w:pPr>
            <w:r w:rsidRPr="00816DE1">
              <w:rPr>
                <w:rFonts w:ascii="Arial" w:hAnsi="Arial" w:cs="Arial"/>
                <w:sz w:val="20"/>
                <w:szCs w:val="20"/>
              </w:rPr>
              <w:t xml:space="preserve">where in front of the main building line for a carport - have a maximum building height </w:t>
            </w:r>
            <w:r w:rsidRPr="00816DE1">
              <w:rPr>
                <w:rFonts w:ascii="Arial" w:hAnsi="Arial" w:cs="Arial"/>
                <w:sz w:val="20"/>
                <w:szCs w:val="20"/>
              </w:rPr>
              <w:lastRenderedPageBreak/>
              <w:t>of 3.3m and a mean height not exceeding 2.7m; or</w:t>
            </w:r>
          </w:p>
          <w:p w:rsidR="00816DE1" w:rsidRPr="00816DE1" w:rsidRDefault="00816DE1" w:rsidP="0069586D">
            <w:pPr>
              <w:numPr>
                <w:ilvl w:val="1"/>
                <w:numId w:val="38"/>
              </w:numPr>
              <w:spacing w:before="100" w:beforeAutospacing="1" w:after="100" w:afterAutospacing="1"/>
              <w:rPr>
                <w:rFonts w:ascii="Arial" w:hAnsi="Arial" w:cs="Arial"/>
                <w:sz w:val="20"/>
                <w:szCs w:val="20"/>
              </w:rPr>
            </w:pPr>
            <w:r w:rsidRPr="00816DE1">
              <w:rPr>
                <w:rFonts w:ascii="Arial" w:hAnsi="Arial" w:cs="Arial"/>
                <w:sz w:val="20"/>
                <w:szCs w:val="20"/>
              </w:rPr>
              <w:t>for all other instances - have a maximum building height of 4m and a mean height not exceeding 3.5m;</w:t>
            </w:r>
          </w:p>
          <w:p w:rsidR="00816DE1" w:rsidRPr="00816DE1" w:rsidRDefault="00816DE1" w:rsidP="0069586D">
            <w:pPr>
              <w:pStyle w:val="NormalWeb"/>
              <w:numPr>
                <w:ilvl w:val="0"/>
                <w:numId w:val="38"/>
              </w:numPr>
              <w:rPr>
                <w:rFonts w:ascii="Arial" w:hAnsi="Arial" w:cs="Arial"/>
                <w:sz w:val="20"/>
                <w:szCs w:val="20"/>
              </w:rPr>
            </w:pPr>
            <w:r w:rsidRPr="00816DE1">
              <w:rPr>
                <w:rFonts w:ascii="Arial" w:hAnsi="Arial" w:cs="Arial"/>
                <w:sz w:val="20"/>
                <w:szCs w:val="20"/>
              </w:rPr>
              <w:t>are located behind the main building line and not within the primary frontage, secondary frontage or trafficable water body setbacks except where for a carport and complying with the front setback for carports specified in this code.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8"/>
            </w:tblGrid>
            <w:tr w:rsidR="00816DE1" w:rsidRPr="00816DE1"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for c. above to determine the main building line a trafficable water body boundary is to be treated the same as a secondary frontage.</w:t>
                  </w:r>
                </w:p>
              </w:tc>
            </w:tr>
            <w:tr w:rsidR="00816DE1" w:rsidRPr="00816DE1" w:rsidTr="00816DE1">
              <w:trPr>
                <w:tblCellSpacing w:w="15" w:type="dxa"/>
              </w:trPr>
              <w:tc>
                <w:tcPr>
                  <w:tcW w:w="620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 Note - This is a quantifiable standard that relates to matters identified in Schedule 9, Part 3, Division 2, Table of Regulation. Non-compliance with this provision for a Dwelling house</w:t>
                  </w:r>
                  <w:r w:rsidRPr="00C64A89">
                    <w:rPr>
                      <w:rFonts w:ascii="Arial" w:hAnsi="Arial" w:cs="Arial"/>
                      <w:sz w:val="18"/>
                      <w:szCs w:val="20"/>
                      <w:vertAlign w:val="superscript"/>
                    </w:rPr>
                    <w:t>(</w:t>
                  </w:r>
                  <w:hyperlink r:id="rId44"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C64A89">
                      <w:rPr>
                        <w:rStyle w:val="Hyperlink"/>
                        <w:rFonts w:ascii="Arial" w:hAnsi="Arial" w:cs="Arial"/>
                        <w:sz w:val="18"/>
                        <w:szCs w:val="20"/>
                        <w:vertAlign w:val="superscript"/>
                      </w:rPr>
                      <w:t>22</w:t>
                    </w:r>
                  </w:hyperlink>
                  <w:r w:rsidRPr="00C64A89">
                    <w:rPr>
                      <w:rFonts w:ascii="Arial" w:hAnsi="Arial" w:cs="Arial"/>
                      <w:sz w:val="18"/>
                      <w:szCs w:val="20"/>
                      <w:vertAlign w:val="superscript"/>
                    </w:rPr>
                    <w:t>)</w:t>
                  </w:r>
                  <w:r w:rsidRPr="00C64A89">
                    <w:rPr>
                      <w:rFonts w:ascii="Arial" w:hAnsi="Arial" w:cs="Arial"/>
                      <w:sz w:val="18"/>
                      <w:szCs w:val="20"/>
                    </w:rPr>
                    <w:t xml:space="preserve"> requires a concurrence agency response from Council.</w:t>
                  </w:r>
                </w:p>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This is a quantifiable standard that is an alternative provision to the QDC, part MP1.1, A4 and part MP1.2, A4. Non-compliance with this provision for a Dwelling house requires a concurrence agency response from Council.</w:t>
                  </w:r>
                </w:p>
                <w:p w:rsidR="00816DE1" w:rsidRPr="00C64A89" w:rsidRDefault="00816DE1" w:rsidP="00E257BD">
                  <w:pPr>
                    <w:pStyle w:val="NormalWeb"/>
                    <w:rPr>
                      <w:rFonts w:ascii="Arial" w:hAnsi="Arial" w:cs="Arial"/>
                      <w:sz w:val="18"/>
                      <w:szCs w:val="20"/>
                    </w:rPr>
                  </w:pPr>
                  <w:r w:rsidRPr="00C64A89">
                    <w:rPr>
                      <w:rFonts w:ascii="Arial" w:hAnsi="Arial" w:cs="Arial"/>
                      <w:sz w:val="18"/>
                      <w:szCs w:val="20"/>
                    </w:rPr>
                    <w:t xml:space="preserve">Note - This is a quantifiable standard that is an alternative provision to the QDC, part MP1.1, A1 (a), (b) and (c), A2 (a), (b) and (d) and part MP1.2, A1 (a), (b) and (c), A2 (a), (b) and (d). Non-compliance with this provision for a Dwelling </w:t>
                  </w:r>
                  <w:proofErr w:type="spellStart"/>
                  <w:r w:rsidRPr="00C64A89">
                    <w:rPr>
                      <w:rFonts w:ascii="Arial" w:hAnsi="Arial" w:cs="Arial"/>
                      <w:sz w:val="18"/>
                      <w:szCs w:val="20"/>
                    </w:rPr>
                    <w:t>houserequires</w:t>
                  </w:r>
                  <w:proofErr w:type="spellEnd"/>
                  <w:r w:rsidRPr="00C64A89">
                    <w:rPr>
                      <w:rFonts w:ascii="Arial" w:hAnsi="Arial" w:cs="Arial"/>
                      <w:sz w:val="18"/>
                      <w:szCs w:val="20"/>
                    </w:rPr>
                    <w:t xml:space="preserve"> a concurrence agency response from Council. Note - Greater setbacks may be required if the lot adjoins an environmental corridor or area (Refer to values and constraints for details).</w:t>
                  </w:r>
                </w:p>
                <w:p w:rsidR="00816DE1" w:rsidRPr="00C64A89" w:rsidRDefault="00816DE1" w:rsidP="003D5BCB">
                  <w:pPr>
                    <w:rPr>
                      <w:rFonts w:ascii="Arial" w:hAnsi="Arial" w:cs="Arial"/>
                      <w:sz w:val="18"/>
                      <w:szCs w:val="20"/>
                    </w:rPr>
                  </w:pPr>
                  <w:r w:rsidRPr="00C64A89">
                    <w:rPr>
                      <w:rFonts w:ascii="Arial" w:hAnsi="Arial" w:cs="Arial"/>
                      <w:sz w:val="18"/>
                      <w:szCs w:val="20"/>
                    </w:rPr>
                    <w:t>Editor's note - The calculation for mean height is defined in the QDC.</w:t>
                  </w:r>
                </w:p>
              </w:tc>
            </w:tr>
          </w:tbl>
          <w:p w:rsidR="00816DE1" w:rsidRPr="00816DE1" w:rsidRDefault="00816DE1" w:rsidP="00E257BD">
            <w:pPr>
              <w:rPr>
                <w:rFonts w:ascii="Arial" w:eastAsia="Times New Roman" w:hAnsi="Arial" w:cs="Arial"/>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257BD" w:rsidRPr="00816DE1" w:rsidRDefault="00E257BD" w:rsidP="00E257BD">
            <w:pPr>
              <w:pStyle w:val="NormalWeb"/>
              <w:jc w:val="center"/>
              <w:rPr>
                <w:rFonts w:ascii="Arial" w:hAnsi="Arial" w:cs="Arial"/>
                <w:sz w:val="20"/>
                <w:szCs w:val="20"/>
              </w:rPr>
            </w:pPr>
            <w:r w:rsidRPr="00816DE1">
              <w:rPr>
                <w:rStyle w:val="Strong"/>
                <w:rFonts w:ascii="Arial" w:hAnsi="Arial" w:cs="Arial"/>
                <w:sz w:val="20"/>
                <w:szCs w:val="20"/>
              </w:rPr>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257BD" w:rsidRPr="00816DE1" w:rsidTr="00816DE1">
              <w:trPr>
                <w:tblCellSpacing w:w="15" w:type="dxa"/>
                <w:jc w:val="center"/>
              </w:trPr>
              <w:tc>
                <w:tcPr>
                  <w:tcW w:w="14944" w:type="dxa"/>
                  <w:shd w:val="clear" w:color="auto" w:fill="CCCCCC"/>
                  <w:vAlign w:val="center"/>
                  <w:hideMark/>
                </w:tcPr>
                <w:p w:rsidR="00E257BD" w:rsidRPr="00816DE1" w:rsidRDefault="00E257BD" w:rsidP="00E257BD">
                  <w:pPr>
                    <w:pStyle w:val="NormalWeb"/>
                    <w:rPr>
                      <w:rFonts w:ascii="Arial" w:hAnsi="Arial" w:cs="Arial"/>
                      <w:sz w:val="20"/>
                      <w:szCs w:val="20"/>
                    </w:rPr>
                  </w:pPr>
                  <w:r w:rsidRPr="00816DE1">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E257BD" w:rsidRPr="00816DE1" w:rsidRDefault="00E257BD" w:rsidP="00E257BD">
            <w:pPr>
              <w:pStyle w:val="NormalWeb"/>
              <w:jc w:val="center"/>
              <w:rPr>
                <w:rStyle w:val="Strong"/>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257BD" w:rsidRPr="00816DE1" w:rsidRDefault="00E257BD" w:rsidP="00E257BD">
            <w:pPr>
              <w:pStyle w:val="NormalWeb"/>
              <w:rPr>
                <w:rFonts w:ascii="Arial" w:hAnsi="Arial" w:cs="Arial"/>
                <w:sz w:val="20"/>
                <w:szCs w:val="20"/>
              </w:rPr>
            </w:pPr>
            <w:r w:rsidRPr="00816DE1">
              <w:rPr>
                <w:rStyle w:val="Strong"/>
                <w:rFonts w:ascii="Arial" w:hAnsi="Arial" w:cs="Arial"/>
                <w:sz w:val="20"/>
                <w:szCs w:val="20"/>
              </w:rPr>
              <w:t xml:space="preserve">Acid </w:t>
            </w:r>
            <w:proofErr w:type="spellStart"/>
            <w:r w:rsidRPr="00816DE1">
              <w:rPr>
                <w:rStyle w:val="Strong"/>
                <w:rFonts w:ascii="Arial" w:hAnsi="Arial" w:cs="Arial"/>
                <w:sz w:val="20"/>
                <w:szCs w:val="20"/>
              </w:rPr>
              <w:t>sulfate</w:t>
            </w:r>
            <w:proofErr w:type="spellEnd"/>
            <w:r w:rsidRPr="00816DE1">
              <w:rPr>
                <w:rStyle w:val="Strong"/>
                <w:rFonts w:ascii="Arial" w:hAnsi="Arial" w:cs="Arial"/>
                <w:sz w:val="20"/>
                <w:szCs w:val="20"/>
              </w:rPr>
              <w:t xml:space="preserve"> soils - (refer Overlay map - Acid </w:t>
            </w:r>
            <w:proofErr w:type="spellStart"/>
            <w:r w:rsidRPr="00816DE1">
              <w:rPr>
                <w:rStyle w:val="Strong"/>
                <w:rFonts w:ascii="Arial" w:hAnsi="Arial" w:cs="Arial"/>
                <w:sz w:val="20"/>
                <w:szCs w:val="20"/>
              </w:rPr>
              <w:t>sulfate</w:t>
            </w:r>
            <w:proofErr w:type="spellEnd"/>
            <w:r w:rsidRPr="00816DE1">
              <w:rPr>
                <w:rStyle w:val="Strong"/>
                <w:rFonts w:ascii="Arial" w:hAnsi="Arial" w:cs="Arial"/>
                <w:sz w:val="20"/>
                <w:szCs w:val="20"/>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257BD" w:rsidRPr="00816DE1" w:rsidTr="00816DE1">
              <w:trPr>
                <w:tblCellSpacing w:w="15" w:type="dxa"/>
              </w:trPr>
              <w:tc>
                <w:tcPr>
                  <w:tcW w:w="14944" w:type="dxa"/>
                  <w:shd w:val="clear" w:color="auto" w:fill="CCCCCC"/>
                  <w:vAlign w:val="center"/>
                  <w:hideMark/>
                </w:tcPr>
                <w:p w:rsidR="00E257BD" w:rsidRPr="00816DE1" w:rsidRDefault="00E257BD" w:rsidP="00E257BD">
                  <w:pPr>
                    <w:pStyle w:val="NormalWeb"/>
                    <w:rPr>
                      <w:rFonts w:ascii="Arial" w:hAnsi="Arial" w:cs="Arial"/>
                      <w:sz w:val="20"/>
                      <w:szCs w:val="20"/>
                    </w:rPr>
                  </w:pPr>
                  <w:r w:rsidRPr="00816DE1">
                    <w:rPr>
                      <w:rFonts w:ascii="Arial" w:hAnsi="Arial" w:cs="Arial"/>
                      <w:sz w:val="20"/>
                      <w:szCs w:val="20"/>
                    </w:rPr>
                    <w:lastRenderedPageBreak/>
                    <w:t xml:space="preserve">Note - To demonstrate achievement of the performance outcome, an Acid </w:t>
                  </w:r>
                  <w:proofErr w:type="spellStart"/>
                  <w:r w:rsidRPr="00816DE1">
                    <w:rPr>
                      <w:rFonts w:ascii="Arial" w:hAnsi="Arial" w:cs="Arial"/>
                      <w:sz w:val="20"/>
                      <w:szCs w:val="20"/>
                    </w:rPr>
                    <w:t>sulfate</w:t>
                  </w:r>
                  <w:proofErr w:type="spellEnd"/>
                  <w:r w:rsidRPr="00816DE1">
                    <w:rPr>
                      <w:rFonts w:ascii="Arial" w:hAnsi="Arial" w:cs="Arial"/>
                      <w:sz w:val="20"/>
                      <w:szCs w:val="20"/>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816DE1">
                    <w:rPr>
                      <w:rFonts w:ascii="Arial" w:hAnsi="Arial" w:cs="Arial"/>
                      <w:sz w:val="20"/>
                      <w:szCs w:val="20"/>
                    </w:rPr>
                    <w:t>sulfate</w:t>
                  </w:r>
                  <w:proofErr w:type="spellEnd"/>
                  <w:r w:rsidRPr="00816DE1">
                    <w:rPr>
                      <w:rFonts w:ascii="Arial" w:hAnsi="Arial" w:cs="Arial"/>
                      <w:sz w:val="20"/>
                      <w:szCs w:val="20"/>
                    </w:rPr>
                    <w:t xml:space="preserve"> soils.</w:t>
                  </w:r>
                </w:p>
              </w:tc>
            </w:tr>
          </w:tbl>
          <w:p w:rsidR="00E257BD" w:rsidRPr="00816DE1" w:rsidRDefault="00E257BD"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PO23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Development avoids disturbing acid </w:t>
            </w:r>
            <w:proofErr w:type="spellStart"/>
            <w:r w:rsidRPr="00816DE1">
              <w:rPr>
                <w:rFonts w:ascii="Arial" w:hAnsi="Arial" w:cs="Arial"/>
                <w:sz w:val="20"/>
                <w:szCs w:val="20"/>
              </w:rPr>
              <w:t>sulfate</w:t>
            </w:r>
            <w:proofErr w:type="spellEnd"/>
            <w:r w:rsidRPr="00816DE1">
              <w:rPr>
                <w:rFonts w:ascii="Arial" w:hAnsi="Arial" w:cs="Arial"/>
                <w:sz w:val="20"/>
                <w:szCs w:val="20"/>
              </w:rPr>
              <w:t xml:space="preserve"> soils. Where development disturbs acid </w:t>
            </w:r>
            <w:proofErr w:type="spellStart"/>
            <w:r w:rsidRPr="00816DE1">
              <w:rPr>
                <w:rFonts w:ascii="Arial" w:hAnsi="Arial" w:cs="Arial"/>
                <w:sz w:val="20"/>
                <w:szCs w:val="20"/>
              </w:rPr>
              <w:t>sulfate</w:t>
            </w:r>
            <w:proofErr w:type="spellEnd"/>
            <w:r w:rsidRPr="00816DE1">
              <w:rPr>
                <w:rFonts w:ascii="Arial" w:hAnsi="Arial" w:cs="Arial"/>
                <w:sz w:val="20"/>
                <w:szCs w:val="20"/>
              </w:rPr>
              <w:t xml:space="preserve"> soils, development:</w:t>
            </w:r>
          </w:p>
          <w:p w:rsidR="00816DE1" w:rsidRPr="00816DE1" w:rsidRDefault="00816DE1" w:rsidP="0069586D">
            <w:pPr>
              <w:numPr>
                <w:ilvl w:val="0"/>
                <w:numId w:val="3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is managed to avoid or minimise the release of surface or groundwater flows containing acid and metal contaminants into the environment;</w:t>
            </w:r>
          </w:p>
          <w:p w:rsidR="00816DE1" w:rsidRPr="00816DE1" w:rsidRDefault="00816DE1" w:rsidP="0069586D">
            <w:pPr>
              <w:numPr>
                <w:ilvl w:val="0"/>
                <w:numId w:val="3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protects the environmental and ecological values and health of receiving waters;</w:t>
            </w:r>
          </w:p>
          <w:p w:rsidR="00816DE1" w:rsidRPr="00816DE1" w:rsidRDefault="00816DE1" w:rsidP="0069586D">
            <w:pPr>
              <w:numPr>
                <w:ilvl w:val="0"/>
                <w:numId w:val="3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protects buildings and infrastructure from the effects of acid </w:t>
            </w:r>
            <w:proofErr w:type="spellStart"/>
            <w:r w:rsidRPr="00816DE1">
              <w:rPr>
                <w:rFonts w:ascii="Arial" w:eastAsia="Times New Roman" w:hAnsi="Arial" w:cs="Arial"/>
                <w:sz w:val="20"/>
                <w:szCs w:val="20"/>
              </w:rPr>
              <w:t>sulfate</w:t>
            </w:r>
            <w:proofErr w:type="spellEnd"/>
            <w:r w:rsidRPr="00816DE1">
              <w:rPr>
                <w:rFonts w:ascii="Arial" w:eastAsia="Times New Roman" w:hAnsi="Arial" w:cs="Arial"/>
                <w:sz w:val="20"/>
                <w:szCs w:val="20"/>
              </w:rPr>
              <w:t xml:space="preserve"> soils.</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E23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does not involve:</w:t>
            </w:r>
          </w:p>
          <w:p w:rsidR="00816DE1" w:rsidRPr="00816DE1" w:rsidRDefault="00816DE1" w:rsidP="0069586D">
            <w:pPr>
              <w:numPr>
                <w:ilvl w:val="0"/>
                <w:numId w:val="4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excavation or otherwise removing of more than 100m</w:t>
            </w:r>
            <w:r w:rsidRPr="00816DE1">
              <w:rPr>
                <w:rFonts w:ascii="Arial" w:eastAsia="Times New Roman" w:hAnsi="Arial" w:cs="Arial"/>
                <w:sz w:val="20"/>
                <w:szCs w:val="20"/>
                <w:vertAlign w:val="superscript"/>
              </w:rPr>
              <w:t>3</w:t>
            </w:r>
            <w:r w:rsidRPr="00816DE1">
              <w:rPr>
                <w:rFonts w:ascii="Arial" w:eastAsia="Times New Roman" w:hAnsi="Arial" w:cs="Arial"/>
                <w:sz w:val="20"/>
                <w:szCs w:val="20"/>
              </w:rPr>
              <w:t xml:space="preserve"> of soil or sediment where below than 5m Australian Height datum AHD; or</w:t>
            </w:r>
          </w:p>
          <w:p w:rsidR="00816DE1" w:rsidRPr="00816DE1" w:rsidRDefault="00816DE1" w:rsidP="0069586D">
            <w:pPr>
              <w:numPr>
                <w:ilvl w:val="0"/>
                <w:numId w:val="4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filling of land of more than 500m</w:t>
            </w:r>
            <w:r w:rsidRPr="00816DE1">
              <w:rPr>
                <w:rFonts w:ascii="Arial" w:eastAsia="Times New Roman" w:hAnsi="Arial" w:cs="Arial"/>
                <w:sz w:val="20"/>
                <w:szCs w:val="20"/>
                <w:vertAlign w:val="superscript"/>
              </w:rPr>
              <w:t>3</w:t>
            </w:r>
            <w:r w:rsidRPr="00816DE1">
              <w:rPr>
                <w:rFonts w:ascii="Arial" w:eastAsia="Times New Roman" w:hAnsi="Arial" w:cs="Arial"/>
                <w:sz w:val="20"/>
                <w:szCs w:val="20"/>
              </w:rPr>
              <w:t xml:space="preserve"> of material with an average depth of 0.5m or greater where below the 5m Australian Height datum AHD.</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257BD" w:rsidRPr="00816DE1" w:rsidRDefault="00E257BD" w:rsidP="00E257BD">
            <w:pPr>
              <w:pStyle w:val="NormalWeb"/>
              <w:rPr>
                <w:rFonts w:ascii="Arial" w:hAnsi="Arial" w:cs="Arial"/>
                <w:sz w:val="20"/>
                <w:szCs w:val="20"/>
              </w:rPr>
            </w:pPr>
            <w:r w:rsidRPr="00816DE1">
              <w:rPr>
                <w:rStyle w:val="Strong"/>
                <w:rFonts w:ascii="Arial" w:hAnsi="Arial" w:cs="Arial"/>
                <w:sz w:val="20"/>
                <w:szCs w:val="20"/>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257BD" w:rsidRPr="00816DE1" w:rsidTr="00816DE1">
              <w:trPr>
                <w:tblCellSpacing w:w="15" w:type="dxa"/>
              </w:trPr>
              <w:tc>
                <w:tcPr>
                  <w:tcW w:w="14944" w:type="dxa"/>
                  <w:shd w:val="clear" w:color="auto" w:fill="CCCCCC"/>
                  <w:vAlign w:val="center"/>
                  <w:hideMark/>
                </w:tcPr>
                <w:p w:rsidR="00E257BD" w:rsidRPr="00816DE1" w:rsidRDefault="00E257BD" w:rsidP="00E257BD">
                  <w:pPr>
                    <w:pStyle w:val="NormalWeb"/>
                    <w:rPr>
                      <w:rFonts w:ascii="Arial" w:hAnsi="Arial" w:cs="Arial"/>
                      <w:sz w:val="20"/>
                      <w:szCs w:val="20"/>
                    </w:rPr>
                  </w:pPr>
                  <w:r w:rsidRPr="00816DE1">
                    <w:rPr>
                      <w:rFonts w:ascii="Arial" w:hAnsi="Arial" w:cs="Arial"/>
                      <w:sz w:val="20"/>
                      <w:szCs w:val="20"/>
                    </w:rPr>
                    <w:t>Note – The following are excluded from the native vegetation clearing provisions of this planning scheme:</w:t>
                  </w:r>
                </w:p>
                <w:p w:rsidR="00E257BD" w:rsidRPr="00816DE1" w:rsidRDefault="00E257BD" w:rsidP="0069586D">
                  <w:pPr>
                    <w:pStyle w:val="NormalWeb"/>
                    <w:numPr>
                      <w:ilvl w:val="0"/>
                      <w:numId w:val="41"/>
                    </w:numPr>
                    <w:rPr>
                      <w:rFonts w:ascii="Arial" w:hAnsi="Arial" w:cs="Arial"/>
                      <w:sz w:val="20"/>
                      <w:szCs w:val="20"/>
                    </w:rPr>
                  </w:pPr>
                  <w:r w:rsidRPr="00816DE1">
                    <w:rPr>
                      <w:rFonts w:ascii="Arial" w:hAnsi="Arial" w:cs="Arial"/>
                      <w:sz w:val="20"/>
                      <w:szCs w:val="20"/>
                    </w:rPr>
                    <w:t>Clearing of native vegetation located within an approved development footprint;</w:t>
                  </w:r>
                </w:p>
                <w:p w:rsidR="00E257BD" w:rsidRPr="00816DE1" w:rsidRDefault="00E257BD" w:rsidP="0069586D">
                  <w:pPr>
                    <w:pStyle w:val="NormalWeb"/>
                    <w:numPr>
                      <w:ilvl w:val="0"/>
                      <w:numId w:val="41"/>
                    </w:numPr>
                    <w:rPr>
                      <w:rFonts w:ascii="Arial" w:hAnsi="Arial" w:cs="Arial"/>
                      <w:sz w:val="20"/>
                      <w:szCs w:val="20"/>
                    </w:rPr>
                  </w:pPr>
                  <w:r w:rsidRPr="00816DE1">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E257BD" w:rsidRPr="00816DE1" w:rsidRDefault="00E257BD" w:rsidP="0069586D">
                  <w:pPr>
                    <w:pStyle w:val="NormalWeb"/>
                    <w:numPr>
                      <w:ilvl w:val="0"/>
                      <w:numId w:val="41"/>
                    </w:numPr>
                    <w:rPr>
                      <w:rFonts w:ascii="Arial" w:hAnsi="Arial" w:cs="Arial"/>
                      <w:sz w:val="20"/>
                      <w:szCs w:val="20"/>
                    </w:rPr>
                  </w:pPr>
                  <w:r w:rsidRPr="00816DE1">
                    <w:rPr>
                      <w:rFonts w:ascii="Arial" w:hAnsi="Arial" w:cs="Arial"/>
                      <w:sz w:val="20"/>
                      <w:szCs w:val="20"/>
                    </w:rPr>
                    <w:t>Clearing of native vegetation reasonably necessary to remove or reduce the risk vegetation poses to serious personal injury or damage to infrastructure;</w:t>
                  </w:r>
                </w:p>
                <w:p w:rsidR="00E257BD" w:rsidRPr="00816DE1" w:rsidRDefault="00E257BD" w:rsidP="0069586D">
                  <w:pPr>
                    <w:pStyle w:val="NormalWeb"/>
                    <w:numPr>
                      <w:ilvl w:val="0"/>
                      <w:numId w:val="41"/>
                    </w:numPr>
                    <w:rPr>
                      <w:rFonts w:ascii="Arial" w:hAnsi="Arial" w:cs="Arial"/>
                      <w:sz w:val="20"/>
                      <w:szCs w:val="20"/>
                    </w:rPr>
                  </w:pPr>
                  <w:r w:rsidRPr="00816DE1">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E257BD" w:rsidRPr="00816DE1" w:rsidRDefault="00E257BD" w:rsidP="0069586D">
                  <w:pPr>
                    <w:pStyle w:val="NormalWeb"/>
                    <w:numPr>
                      <w:ilvl w:val="0"/>
                      <w:numId w:val="41"/>
                    </w:numPr>
                    <w:rPr>
                      <w:rFonts w:ascii="Arial" w:hAnsi="Arial" w:cs="Arial"/>
                      <w:sz w:val="20"/>
                      <w:szCs w:val="20"/>
                    </w:rPr>
                  </w:pPr>
                  <w:r w:rsidRPr="00816DE1">
                    <w:rPr>
                      <w:rFonts w:ascii="Arial" w:hAnsi="Arial" w:cs="Arial"/>
                      <w:sz w:val="20"/>
                      <w:szCs w:val="20"/>
                    </w:rPr>
                    <w:t>Clearing of native vegetation reasonably necessary for the purpose of maintenance or works within a registered easement for public infrastructure or drainage purposes;</w:t>
                  </w:r>
                </w:p>
                <w:p w:rsidR="00E257BD" w:rsidRPr="00816DE1" w:rsidRDefault="00E257BD" w:rsidP="0069586D">
                  <w:pPr>
                    <w:pStyle w:val="NormalWeb"/>
                    <w:numPr>
                      <w:ilvl w:val="0"/>
                      <w:numId w:val="41"/>
                    </w:numPr>
                    <w:rPr>
                      <w:rFonts w:ascii="Arial" w:hAnsi="Arial" w:cs="Arial"/>
                      <w:sz w:val="20"/>
                      <w:szCs w:val="20"/>
                    </w:rPr>
                  </w:pPr>
                  <w:r w:rsidRPr="00816DE1">
                    <w:rPr>
                      <w:rFonts w:ascii="Arial" w:hAnsi="Arial" w:cs="Arial"/>
                      <w:sz w:val="20"/>
                      <w:szCs w:val="20"/>
                    </w:rPr>
                    <w:t>Clearing of native vegetation in accordance with a bushfire management plan prepared by a suitably qualified person, submitted to and accepted by Council;</w:t>
                  </w:r>
                </w:p>
                <w:p w:rsidR="00E257BD" w:rsidRPr="00816DE1" w:rsidRDefault="00E257BD" w:rsidP="0069586D">
                  <w:pPr>
                    <w:pStyle w:val="NormalWeb"/>
                    <w:numPr>
                      <w:ilvl w:val="0"/>
                      <w:numId w:val="41"/>
                    </w:numPr>
                    <w:rPr>
                      <w:rFonts w:ascii="Arial" w:hAnsi="Arial" w:cs="Arial"/>
                      <w:sz w:val="20"/>
                      <w:szCs w:val="20"/>
                    </w:rPr>
                  </w:pPr>
                  <w:r w:rsidRPr="00816DE1">
                    <w:rPr>
                      <w:rFonts w:ascii="Arial" w:hAnsi="Arial" w:cs="Arial"/>
                      <w:sz w:val="20"/>
                      <w:szCs w:val="20"/>
                    </w:rPr>
                    <w:t>Clearing of native vegetation associated with removal of recognised weed species, maintaining existing open pastures and cropping land, windbreaks, lawns or created gardens;</w:t>
                  </w:r>
                </w:p>
                <w:p w:rsidR="00E257BD" w:rsidRPr="00816DE1" w:rsidRDefault="00E257BD" w:rsidP="0069586D">
                  <w:pPr>
                    <w:pStyle w:val="NormalWeb"/>
                    <w:numPr>
                      <w:ilvl w:val="0"/>
                      <w:numId w:val="41"/>
                    </w:numPr>
                    <w:rPr>
                      <w:rFonts w:ascii="Arial" w:hAnsi="Arial" w:cs="Arial"/>
                      <w:sz w:val="20"/>
                      <w:szCs w:val="20"/>
                    </w:rPr>
                  </w:pPr>
                  <w:r w:rsidRPr="00816DE1">
                    <w:rPr>
                      <w:rFonts w:ascii="Arial" w:hAnsi="Arial" w:cs="Arial"/>
                      <w:sz w:val="20"/>
                      <w:szCs w:val="20"/>
                    </w:rPr>
                    <w:t>Grazing of native pasture by stock;</w:t>
                  </w:r>
                </w:p>
                <w:p w:rsidR="00E257BD" w:rsidRPr="00816DE1" w:rsidRDefault="00E257BD" w:rsidP="0069586D">
                  <w:pPr>
                    <w:pStyle w:val="NormalWeb"/>
                    <w:numPr>
                      <w:ilvl w:val="0"/>
                      <w:numId w:val="41"/>
                    </w:numPr>
                    <w:rPr>
                      <w:rFonts w:ascii="Arial" w:hAnsi="Arial" w:cs="Arial"/>
                      <w:sz w:val="20"/>
                      <w:szCs w:val="20"/>
                    </w:rPr>
                  </w:pPr>
                  <w:r w:rsidRPr="00816DE1">
                    <w:rPr>
                      <w:rFonts w:ascii="Arial" w:hAnsi="Arial" w:cs="Arial"/>
                      <w:sz w:val="20"/>
                      <w:szCs w:val="20"/>
                    </w:rPr>
                    <w:t>Native forest practice where accepted development under Part 1, 1.7.7 Accepted development</w:t>
                  </w:r>
                </w:p>
              </w:tc>
            </w:tr>
            <w:tr w:rsidR="00E257BD" w:rsidRPr="00816DE1" w:rsidTr="00816DE1">
              <w:trPr>
                <w:tblCellSpacing w:w="15" w:type="dxa"/>
              </w:trPr>
              <w:tc>
                <w:tcPr>
                  <w:tcW w:w="14944" w:type="dxa"/>
                  <w:shd w:val="clear" w:color="auto" w:fill="CCCCCC"/>
                  <w:vAlign w:val="center"/>
                  <w:hideMark/>
                </w:tcPr>
                <w:p w:rsidR="00E257BD" w:rsidRPr="00816DE1" w:rsidRDefault="00E257BD" w:rsidP="00E257BD">
                  <w:pPr>
                    <w:pStyle w:val="NormalWeb"/>
                    <w:rPr>
                      <w:rFonts w:ascii="Arial" w:hAnsi="Arial" w:cs="Arial"/>
                      <w:sz w:val="20"/>
                      <w:szCs w:val="20"/>
                    </w:rPr>
                  </w:pPr>
                  <w:r w:rsidRPr="00816DE1">
                    <w:rPr>
                      <w:rFonts w:ascii="Arial" w:hAnsi="Arial" w:cs="Arial"/>
                      <w:sz w:val="20"/>
                      <w:szCs w:val="20"/>
                    </w:rPr>
                    <w:t xml:space="preserve">Note - Definition for native vegetation </w:t>
                  </w:r>
                  <w:proofErr w:type="gramStart"/>
                  <w:r w:rsidRPr="00816DE1">
                    <w:rPr>
                      <w:rFonts w:ascii="Arial" w:hAnsi="Arial" w:cs="Arial"/>
                      <w:sz w:val="20"/>
                      <w:szCs w:val="20"/>
                    </w:rPr>
                    <w:t>is located in</w:t>
                  </w:r>
                  <w:proofErr w:type="gramEnd"/>
                  <w:r w:rsidRPr="00816DE1">
                    <w:rPr>
                      <w:rFonts w:ascii="Arial" w:hAnsi="Arial" w:cs="Arial"/>
                      <w:sz w:val="20"/>
                      <w:szCs w:val="20"/>
                    </w:rPr>
                    <w:t xml:space="preserve"> Schedule 1 Definitions.</w:t>
                  </w:r>
                </w:p>
                <w:p w:rsidR="00E257BD" w:rsidRPr="00816DE1" w:rsidRDefault="00E257BD" w:rsidP="00E257BD">
                  <w:pPr>
                    <w:pStyle w:val="NormalWeb"/>
                    <w:rPr>
                      <w:rFonts w:ascii="Arial" w:hAnsi="Arial" w:cs="Arial"/>
                      <w:sz w:val="20"/>
                      <w:szCs w:val="20"/>
                    </w:rPr>
                  </w:pPr>
                  <w:r w:rsidRPr="00816DE1">
                    <w:rPr>
                      <w:rFonts w:ascii="Arial" w:hAnsi="Arial" w:cs="Arial"/>
                      <w:sz w:val="20"/>
                      <w:szCs w:val="20"/>
                    </w:rPr>
                    <w:lastRenderedPageBreak/>
                    <w:t xml:space="preserve">Note - Native vegetation subject to </w:t>
                  </w:r>
                  <w:proofErr w:type="gramStart"/>
                  <w:r w:rsidRPr="00816DE1">
                    <w:rPr>
                      <w:rFonts w:ascii="Arial" w:hAnsi="Arial" w:cs="Arial"/>
                      <w:sz w:val="20"/>
                      <w:szCs w:val="20"/>
                    </w:rPr>
                    <w:t>this criteria</w:t>
                  </w:r>
                  <w:proofErr w:type="gramEnd"/>
                  <w:r w:rsidRPr="00816DE1">
                    <w:rPr>
                      <w:rFonts w:ascii="Arial" w:hAnsi="Arial" w:cs="Arial"/>
                      <w:sz w:val="20"/>
                      <w:szCs w:val="20"/>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E257BD" w:rsidRPr="00816DE1" w:rsidRDefault="00E257BD" w:rsidP="00E257BD">
                  <w:pPr>
                    <w:pStyle w:val="NormalWeb"/>
                    <w:rPr>
                      <w:rFonts w:ascii="Arial" w:hAnsi="Arial" w:cs="Arial"/>
                      <w:sz w:val="20"/>
                      <w:szCs w:val="20"/>
                    </w:rPr>
                  </w:pPr>
                  <w:r w:rsidRPr="00816DE1">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E257BD" w:rsidRPr="00816DE1" w:rsidRDefault="00E257BD" w:rsidP="00E257BD">
            <w:pPr>
              <w:rPr>
                <w:rFonts w:ascii="Arial" w:eastAsia="Times New Roman"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257BD" w:rsidRPr="00816DE1" w:rsidTr="00816DE1">
              <w:trPr>
                <w:tblCellSpacing w:w="15" w:type="dxa"/>
              </w:trPr>
              <w:tc>
                <w:tcPr>
                  <w:tcW w:w="14944" w:type="dxa"/>
                  <w:shd w:val="clear" w:color="auto" w:fill="CCCCCC"/>
                  <w:vAlign w:val="center"/>
                  <w:hideMark/>
                </w:tcPr>
                <w:p w:rsidR="00E257BD" w:rsidRPr="00816DE1" w:rsidRDefault="00E257BD" w:rsidP="00E257BD">
                  <w:pPr>
                    <w:pStyle w:val="NormalWeb"/>
                    <w:rPr>
                      <w:rFonts w:ascii="Arial" w:hAnsi="Arial" w:cs="Arial"/>
                      <w:sz w:val="20"/>
                      <w:szCs w:val="20"/>
                    </w:rPr>
                  </w:pPr>
                  <w:r w:rsidRPr="00816DE1">
                    <w:rPr>
                      <w:rFonts w:ascii="Arial" w:hAnsi="Arial" w:cs="Arial"/>
                      <w:sz w:val="20"/>
                      <w:szCs w:val="20"/>
                    </w:rPr>
                    <w:t xml:space="preserve">Note - To demonstrate achievement of the performance outcome, an ecological assessment, vegetation management plan and fauna management plan, as required, are prepared by a suitably qualified person.  Guidance for the preparation of </w:t>
                  </w:r>
                  <w:proofErr w:type="gramStart"/>
                  <w:r w:rsidRPr="00816DE1">
                    <w:rPr>
                      <w:rFonts w:ascii="Arial" w:hAnsi="Arial" w:cs="Arial"/>
                      <w:sz w:val="20"/>
                      <w:szCs w:val="20"/>
                    </w:rPr>
                    <w:t>above mentioned</w:t>
                  </w:r>
                  <w:proofErr w:type="gramEnd"/>
                  <w:r w:rsidRPr="00816DE1">
                    <w:rPr>
                      <w:rFonts w:ascii="Arial" w:hAnsi="Arial" w:cs="Arial"/>
                      <w:sz w:val="20"/>
                      <w:szCs w:val="20"/>
                    </w:rPr>
                    <w:t xml:space="preserve"> reports is provided in Planning scheme policy - Environmental areas.</w:t>
                  </w:r>
                </w:p>
              </w:tc>
            </w:tr>
          </w:tbl>
          <w:p w:rsidR="00E257BD" w:rsidRPr="00816DE1" w:rsidRDefault="00E257BD" w:rsidP="00E257BD">
            <w:pPr>
              <w:pStyle w:val="NormalWeb"/>
              <w:rPr>
                <w:rStyle w:val="Strong"/>
                <w:rFonts w:ascii="Arial" w:hAnsi="Arial" w:cs="Arial"/>
                <w:sz w:val="20"/>
                <w:szCs w:val="20"/>
              </w:rPr>
            </w:pPr>
          </w:p>
        </w:tc>
      </w:tr>
      <w:tr w:rsidR="00E257BD" w:rsidRPr="00816DE1" w:rsidTr="00E257BD">
        <w:trPr>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Vegetation clearing, ecological value and connectivity</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PO24</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avoids locating in a High Value Area or a Value Offset Area.  Where it is not practicable or reasonable for development to avoid establishing in these areas, development must ensure that:</w:t>
            </w:r>
          </w:p>
          <w:p w:rsidR="00816DE1" w:rsidRPr="00816DE1" w:rsidRDefault="00816DE1" w:rsidP="0069586D">
            <w:pPr>
              <w:numPr>
                <w:ilvl w:val="0"/>
                <w:numId w:val="4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the quality and integrity of the biodiversity and ecological values inherent to a High Value Area and a Value Offset Area is maintained and not lost or degraded;</w:t>
            </w:r>
          </w:p>
          <w:p w:rsidR="00816DE1" w:rsidRPr="00816DE1" w:rsidRDefault="00816DE1" w:rsidP="0069586D">
            <w:pPr>
              <w:numPr>
                <w:ilvl w:val="0"/>
                <w:numId w:val="4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w:t>
            </w:r>
            <w:proofErr w:type="gramStart"/>
            <w:r w:rsidRPr="00816DE1">
              <w:rPr>
                <w:rFonts w:ascii="Arial" w:eastAsia="Times New Roman" w:hAnsi="Arial" w:cs="Arial"/>
                <w:sz w:val="20"/>
                <w:szCs w:val="20"/>
              </w:rPr>
              <w:t>covenant,  the</w:t>
            </w:r>
            <w:proofErr w:type="gramEnd"/>
            <w:r w:rsidRPr="00816DE1">
              <w:rPr>
                <w:rFonts w:ascii="Arial" w:eastAsia="Times New Roman" w:hAnsi="Arial" w:cs="Arial"/>
                <w:sz w:val="20"/>
                <w:szCs w:val="20"/>
              </w:rPr>
              <w:t xml:space="preserve"> development of a Vegetation Management Plan,  a Fauna Management Plan, and any other on-site mitigation options identified in the Planning scheme policy - Environmental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816DE1" w:rsidTr="00816DE1">
              <w:trPr>
                <w:tblCellSpacing w:w="15" w:type="dxa"/>
              </w:trPr>
              <w:tc>
                <w:tcPr>
                  <w:tcW w:w="8572" w:type="dxa"/>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lastRenderedPageBreak/>
                    <w:t xml:space="preserve">* </w:t>
                  </w:r>
                  <w:r w:rsidRPr="00C64A89">
                    <w:rPr>
                      <w:rFonts w:ascii="Arial" w:eastAsia="Times New Roman" w:hAnsi="Arial" w:cs="Arial"/>
                      <w:sz w:val="18"/>
                      <w:szCs w:val="20"/>
                    </w:rPr>
                    <w:t>Editor's note - This is not a requirement for an environmental offset under the Environmental Offsets Act 2014.</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PO25</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provides for safe, unimpeded, convenient and ongoing wildlife movement and establishes and maintains habitat connectivity by:</w:t>
            </w:r>
          </w:p>
          <w:p w:rsidR="00816DE1" w:rsidRPr="00816DE1" w:rsidRDefault="00816DE1" w:rsidP="0069586D">
            <w:pPr>
              <w:numPr>
                <w:ilvl w:val="0"/>
                <w:numId w:val="4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retaining habitat trees;</w:t>
            </w:r>
          </w:p>
          <w:p w:rsidR="00816DE1" w:rsidRPr="00816DE1" w:rsidRDefault="00816DE1" w:rsidP="0069586D">
            <w:pPr>
              <w:numPr>
                <w:ilvl w:val="0"/>
                <w:numId w:val="4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providing contiguous patches of habitat;</w:t>
            </w:r>
          </w:p>
          <w:p w:rsidR="00816DE1" w:rsidRPr="00816DE1" w:rsidRDefault="00816DE1" w:rsidP="0069586D">
            <w:pPr>
              <w:numPr>
                <w:ilvl w:val="0"/>
                <w:numId w:val="4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provide replacement and rehabilitation planting to improve connectivity;</w:t>
            </w:r>
          </w:p>
          <w:p w:rsidR="00816DE1" w:rsidRPr="00816DE1" w:rsidRDefault="00816DE1" w:rsidP="0069586D">
            <w:pPr>
              <w:numPr>
                <w:ilvl w:val="0"/>
                <w:numId w:val="4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avoiding the creation of fragmented and isolated patches of habitat;</w:t>
            </w:r>
          </w:p>
          <w:p w:rsidR="00816DE1" w:rsidRPr="00816DE1" w:rsidRDefault="00816DE1" w:rsidP="0069586D">
            <w:pPr>
              <w:numPr>
                <w:ilvl w:val="0"/>
                <w:numId w:val="4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816DE1" w:rsidTr="00816DE1">
              <w:trPr>
                <w:tblCellSpacing w:w="15" w:type="dxa"/>
              </w:trPr>
              <w:tc>
                <w:tcPr>
                  <w:tcW w:w="8572" w:type="dxa"/>
                  <w:vAlign w:val="center"/>
                  <w:hideMark/>
                </w:tcPr>
                <w:p w:rsidR="00816DE1" w:rsidRPr="00816DE1" w:rsidRDefault="00816DE1" w:rsidP="00E257BD">
                  <w:pPr>
                    <w:pStyle w:val="NormalWeb"/>
                    <w:rPr>
                      <w:rFonts w:ascii="Arial" w:hAnsi="Arial" w:cs="Arial"/>
                      <w:sz w:val="20"/>
                      <w:szCs w:val="20"/>
                    </w:rPr>
                  </w:pPr>
                  <w:r w:rsidRPr="00C64A89">
                    <w:rPr>
                      <w:rFonts w:ascii="Arial" w:hAnsi="Arial" w:cs="Arial"/>
                      <w:sz w:val="18"/>
                      <w:szCs w:val="20"/>
                    </w:rPr>
                    <w:t xml:space="preserve">Editor's note - Wildlife movement infrastructure may include refuge poles, tree </w:t>
                  </w:r>
                  <w:proofErr w:type="spellStart"/>
                  <w:r w:rsidRPr="00C64A89">
                    <w:rPr>
                      <w:rFonts w:ascii="Arial" w:hAnsi="Arial" w:cs="Arial"/>
                      <w:sz w:val="18"/>
                      <w:szCs w:val="20"/>
                    </w:rPr>
                    <w:t>boulevarding</w:t>
                  </w:r>
                  <w:proofErr w:type="spellEnd"/>
                  <w:r w:rsidRPr="00C64A89">
                    <w:rPr>
                      <w:rFonts w:ascii="Arial" w:hAnsi="Arial" w:cs="Arial"/>
                      <w:sz w:val="18"/>
                      <w:szCs w:val="20"/>
                    </w:rPr>
                    <w:t>, ‘stepping stone’ vegetation plantings, tunnels, appropriate wildlife fencing; culverts with ledges, underpasses, overpasses, land bridges and rope bridges. Further information is provided in Planning scheme policy – Environmental areas.</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Vegetation clearing and habitat protection</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PO26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ensures that the biodiversity quality and integrity of habitats is not adversely impacted upon but maintained and protected.</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PO27</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Development does not result in the net loss or degradation of habitat value in a High Value Area or a Value Offset Area.  Where </w:t>
            </w:r>
            <w:r w:rsidRPr="00816DE1">
              <w:rPr>
                <w:rFonts w:ascii="Arial" w:hAnsi="Arial" w:cs="Arial"/>
                <w:sz w:val="20"/>
                <w:szCs w:val="20"/>
              </w:rPr>
              <w:lastRenderedPageBreak/>
              <w:t>development does result in the loss or degradation of habitat value, development will:</w:t>
            </w:r>
          </w:p>
          <w:p w:rsidR="00816DE1" w:rsidRPr="00816DE1" w:rsidRDefault="00816DE1" w:rsidP="0069586D">
            <w:pPr>
              <w:numPr>
                <w:ilvl w:val="0"/>
                <w:numId w:val="4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rehabilitate, revegetate, restore and enhance an area to ensure it continues to function as a viable and healthy habitat area;</w:t>
            </w:r>
          </w:p>
          <w:p w:rsidR="00816DE1" w:rsidRPr="00816DE1" w:rsidRDefault="00816DE1" w:rsidP="0069586D">
            <w:pPr>
              <w:numPr>
                <w:ilvl w:val="0"/>
                <w:numId w:val="4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provide replacement fauna nesting boxes in the event of habitat tree loss in accordance with Planning scheme policy - Environmental areas;</w:t>
            </w:r>
          </w:p>
          <w:p w:rsidR="00816DE1" w:rsidRPr="00816DE1" w:rsidRDefault="00816DE1" w:rsidP="0069586D">
            <w:pPr>
              <w:numPr>
                <w:ilvl w:val="0"/>
                <w:numId w:val="4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undertake rehabilitation, revegetation and restoration in accordance with the South East Queensland Ecological Restoration Framework.</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PO28</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ensures safe, unimpeded, convenient and ongoing wildlife movement and habitat connectivity by:</w:t>
            </w:r>
          </w:p>
          <w:p w:rsidR="00816DE1" w:rsidRPr="00816DE1" w:rsidRDefault="00816DE1" w:rsidP="0069586D">
            <w:pPr>
              <w:numPr>
                <w:ilvl w:val="0"/>
                <w:numId w:val="4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providing contiguous patches of habitat;</w:t>
            </w:r>
          </w:p>
          <w:p w:rsidR="00816DE1" w:rsidRPr="00816DE1" w:rsidRDefault="00816DE1" w:rsidP="0069586D">
            <w:pPr>
              <w:numPr>
                <w:ilvl w:val="0"/>
                <w:numId w:val="4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avoiding the creation of fragmented and isolated patches of habitat;</w:t>
            </w:r>
          </w:p>
          <w:p w:rsidR="00816DE1" w:rsidRPr="00816DE1" w:rsidRDefault="00816DE1" w:rsidP="0069586D">
            <w:pPr>
              <w:numPr>
                <w:ilvl w:val="0"/>
                <w:numId w:val="4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providing wildlife movement infrastructure;</w:t>
            </w:r>
          </w:p>
          <w:p w:rsidR="00816DE1" w:rsidRPr="00816DE1" w:rsidRDefault="00816DE1" w:rsidP="0069586D">
            <w:pPr>
              <w:numPr>
                <w:ilvl w:val="0"/>
                <w:numId w:val="4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providing replacement and rehabilitation planting to improve connectivity.</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C64A89">
        <w:trPr>
          <w:trHeight w:val="336"/>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Vegetation clearing and soil resource stability</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PO29</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does not:</w:t>
            </w:r>
          </w:p>
          <w:p w:rsidR="00816DE1" w:rsidRPr="00816DE1" w:rsidRDefault="00816DE1" w:rsidP="0069586D">
            <w:pPr>
              <w:numPr>
                <w:ilvl w:val="0"/>
                <w:numId w:val="4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result in soil erosion or land degradation;</w:t>
            </w:r>
          </w:p>
          <w:p w:rsidR="00816DE1" w:rsidRPr="00816DE1" w:rsidRDefault="00816DE1" w:rsidP="0069586D">
            <w:pPr>
              <w:numPr>
                <w:ilvl w:val="0"/>
                <w:numId w:val="4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lastRenderedPageBreak/>
              <w:t xml:space="preserve">leave cleared land exposed for an unreasonable </w:t>
            </w:r>
            <w:proofErr w:type="gramStart"/>
            <w:r w:rsidRPr="00816DE1">
              <w:rPr>
                <w:rFonts w:ascii="Arial" w:eastAsia="Times New Roman" w:hAnsi="Arial" w:cs="Arial"/>
                <w:sz w:val="20"/>
                <w:szCs w:val="20"/>
              </w:rPr>
              <w:t>period of time</w:t>
            </w:r>
            <w:proofErr w:type="gramEnd"/>
            <w:r w:rsidRPr="00816DE1">
              <w:rPr>
                <w:rFonts w:ascii="Arial" w:eastAsia="Times New Roman" w:hAnsi="Arial" w:cs="Arial"/>
                <w:sz w:val="20"/>
                <w:szCs w:val="20"/>
              </w:rPr>
              <w:t xml:space="preserve"> but is rehabilitated in a timely manner.</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Vegetation clearing and water quality</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PO30</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maintains or improves the quality of groundwater and surface water within, and downstream, of a site by:</w:t>
            </w:r>
          </w:p>
          <w:p w:rsidR="00816DE1" w:rsidRPr="00816DE1" w:rsidRDefault="00816DE1" w:rsidP="0069586D">
            <w:pPr>
              <w:numPr>
                <w:ilvl w:val="0"/>
                <w:numId w:val="4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ensuring an effective vegetated buffers and setbacks from waterbodies is retained to achieve natural filtration and reduce sediment loads;</w:t>
            </w:r>
          </w:p>
          <w:p w:rsidR="00816DE1" w:rsidRPr="00816DE1" w:rsidRDefault="00816DE1" w:rsidP="0069586D">
            <w:pPr>
              <w:numPr>
                <w:ilvl w:val="0"/>
                <w:numId w:val="4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avoiding or minimising changes to landforms to maintain hydrological water flows;</w:t>
            </w:r>
          </w:p>
          <w:p w:rsidR="00816DE1" w:rsidRPr="00816DE1" w:rsidRDefault="00816DE1" w:rsidP="0069586D">
            <w:pPr>
              <w:numPr>
                <w:ilvl w:val="0"/>
                <w:numId w:val="4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adopting suitable measures to exclude livestock from entering a waterbody where a site is being used for animal husbandry</w:t>
            </w:r>
            <w:r w:rsidRPr="00816DE1">
              <w:rPr>
                <w:rFonts w:ascii="Arial" w:eastAsia="Times New Roman" w:hAnsi="Arial" w:cs="Arial"/>
                <w:sz w:val="20"/>
                <w:szCs w:val="20"/>
                <w:vertAlign w:val="superscript"/>
              </w:rPr>
              <w:t>(</w:t>
            </w:r>
            <w:hyperlink r:id="rId45" w:anchor="target-d768251e570522" w:tooltip="Animal husbandry - Premises used for production of animals or animal products on either native or improved pastures or vegetation.  The use includes ancillary yards, stables and temporary holding facilities and the repair and servicing of machinery." w:history="1">
              <w:r w:rsidRPr="00816DE1">
                <w:rPr>
                  <w:rStyle w:val="Hyperlink"/>
                  <w:rFonts w:ascii="Arial" w:eastAsia="Times New Roman" w:hAnsi="Arial" w:cs="Arial"/>
                  <w:sz w:val="20"/>
                  <w:szCs w:val="20"/>
                  <w:vertAlign w:val="superscript"/>
                </w:rPr>
                <w:t>4</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 xml:space="preserve"> and animal keeping</w:t>
            </w:r>
            <w:r w:rsidRPr="00816DE1">
              <w:rPr>
                <w:rFonts w:ascii="Arial" w:eastAsia="Times New Roman" w:hAnsi="Arial" w:cs="Arial"/>
                <w:sz w:val="20"/>
                <w:szCs w:val="20"/>
                <w:vertAlign w:val="superscript"/>
              </w:rPr>
              <w:t>(</w:t>
            </w:r>
            <w:hyperlink r:id="rId46" w:anchor="target-d768251e570545" w:tooltip="Animal keeping - Premises used for boarding, breeding or training of animals.  The use may include ancillary temporary or permanent holding facilities on the same site and ancillary repair and servicing of machinery." w:history="1">
              <w:r w:rsidRPr="00816DE1">
                <w:rPr>
                  <w:rStyle w:val="Hyperlink"/>
                  <w:rFonts w:ascii="Arial" w:eastAsia="Times New Roman" w:hAnsi="Arial" w:cs="Arial"/>
                  <w:sz w:val="20"/>
                  <w:szCs w:val="20"/>
                  <w:vertAlign w:val="superscript"/>
                </w:rPr>
                <w:t>5</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 xml:space="preserve"> activities.</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minimises adverse impacts of stormwater run-off on water quality by:</w:t>
            </w:r>
          </w:p>
          <w:p w:rsidR="00816DE1" w:rsidRPr="00816DE1" w:rsidRDefault="00816DE1" w:rsidP="0069586D">
            <w:pPr>
              <w:numPr>
                <w:ilvl w:val="0"/>
                <w:numId w:val="4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minimising flow velocity to reduce erosion;</w:t>
            </w:r>
          </w:p>
          <w:p w:rsidR="00816DE1" w:rsidRPr="00816DE1" w:rsidRDefault="00816DE1" w:rsidP="0069586D">
            <w:pPr>
              <w:numPr>
                <w:ilvl w:val="0"/>
                <w:numId w:val="4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minimising hard surface areas;</w:t>
            </w:r>
          </w:p>
          <w:p w:rsidR="00816DE1" w:rsidRPr="00816DE1" w:rsidRDefault="00816DE1" w:rsidP="0069586D">
            <w:pPr>
              <w:numPr>
                <w:ilvl w:val="0"/>
                <w:numId w:val="4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maximising the use of permeable surfaces;</w:t>
            </w:r>
          </w:p>
          <w:p w:rsidR="00816DE1" w:rsidRPr="00816DE1" w:rsidRDefault="00816DE1" w:rsidP="0069586D">
            <w:pPr>
              <w:numPr>
                <w:ilvl w:val="0"/>
                <w:numId w:val="4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incorporating sediment retention devices;</w:t>
            </w:r>
          </w:p>
          <w:p w:rsidR="00816DE1" w:rsidRPr="00816DE1" w:rsidRDefault="00816DE1" w:rsidP="0069586D">
            <w:pPr>
              <w:numPr>
                <w:ilvl w:val="0"/>
                <w:numId w:val="4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minimising channelled flow.</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Vegetation clearing and access, edge effects and urban heat island effects</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retains safe and convenient public access in a manner that does not result in the adverse edge effects or the loss or degradation of biodiversity values within the environment.</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minimises potential adverse ‘edge effects’ on ecological values by:</w:t>
            </w:r>
          </w:p>
          <w:p w:rsidR="00816DE1" w:rsidRPr="00816DE1" w:rsidRDefault="00816DE1" w:rsidP="0069586D">
            <w:pPr>
              <w:numPr>
                <w:ilvl w:val="0"/>
                <w:numId w:val="4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providing dense planting buffers of native vegetation between a development and environmental areas;</w:t>
            </w:r>
          </w:p>
          <w:p w:rsidR="00816DE1" w:rsidRPr="00816DE1" w:rsidRDefault="00816DE1" w:rsidP="0069586D">
            <w:pPr>
              <w:numPr>
                <w:ilvl w:val="0"/>
                <w:numId w:val="4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retaining patches of native vegetation of greatest possible size where located between a development and environmental </w:t>
            </w:r>
            <w:proofErr w:type="gramStart"/>
            <w:r w:rsidRPr="00816DE1">
              <w:rPr>
                <w:rFonts w:ascii="Arial" w:eastAsia="Times New Roman" w:hAnsi="Arial" w:cs="Arial"/>
                <w:sz w:val="20"/>
                <w:szCs w:val="20"/>
              </w:rPr>
              <w:t>areas ;</w:t>
            </w:r>
            <w:proofErr w:type="gramEnd"/>
          </w:p>
          <w:p w:rsidR="00816DE1" w:rsidRPr="00816DE1" w:rsidRDefault="00816DE1" w:rsidP="0069586D">
            <w:pPr>
              <w:numPr>
                <w:ilvl w:val="0"/>
                <w:numId w:val="4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restoring, rehabilitating and increasing the size of existing patches of native vegetation;</w:t>
            </w:r>
          </w:p>
          <w:p w:rsidR="00816DE1" w:rsidRPr="00816DE1" w:rsidRDefault="00816DE1" w:rsidP="0069586D">
            <w:pPr>
              <w:numPr>
                <w:ilvl w:val="0"/>
                <w:numId w:val="4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ensuring that buildings and access (public and vehicle) are setback as far as possible from environmental areas and corridors;</w:t>
            </w:r>
          </w:p>
          <w:p w:rsidR="00816DE1" w:rsidRPr="00816DE1" w:rsidRDefault="00816DE1" w:rsidP="0069586D">
            <w:pPr>
              <w:numPr>
                <w:ilvl w:val="0"/>
                <w:numId w:val="4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816DE1" w:rsidTr="00816DE1">
              <w:trPr>
                <w:tblCellSpacing w:w="15" w:type="dxa"/>
              </w:trPr>
              <w:tc>
                <w:tcPr>
                  <w:tcW w:w="8572" w:type="dxa"/>
                  <w:shd w:val="clear" w:color="auto" w:fill="FFFFFF"/>
                  <w:vAlign w:val="center"/>
                  <w:hideMark/>
                </w:tcPr>
                <w:p w:rsidR="00816DE1" w:rsidRPr="00816DE1" w:rsidRDefault="00816DE1" w:rsidP="00E257BD">
                  <w:pPr>
                    <w:rPr>
                      <w:rFonts w:ascii="Arial" w:eastAsia="Times New Roman" w:hAnsi="Arial" w:cs="Arial"/>
                      <w:sz w:val="20"/>
                      <w:szCs w:val="20"/>
                    </w:rPr>
                  </w:pPr>
                  <w:r w:rsidRPr="00C64A89">
                    <w:rPr>
                      <w:rFonts w:ascii="Arial" w:eastAsia="Times New Roman" w:hAnsi="Arial" w:cs="Arial"/>
                      <w:sz w:val="18"/>
                      <w:szCs w:val="20"/>
                    </w:rPr>
                    <w:t>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PO34</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Development avoids adverse microclimate change and does not result in increased urban heat island effects.  Adverse urban heat island effects are minimised by:</w:t>
            </w:r>
          </w:p>
          <w:p w:rsidR="00816DE1" w:rsidRPr="00816DE1" w:rsidRDefault="00816DE1" w:rsidP="0069586D">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pervious surfaces;</w:t>
            </w:r>
          </w:p>
          <w:p w:rsidR="00816DE1" w:rsidRPr="00816DE1" w:rsidRDefault="00816DE1" w:rsidP="0069586D">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providing deeply planted vegetation buffers and green linkage opportunities;</w:t>
            </w:r>
          </w:p>
          <w:p w:rsidR="00816DE1" w:rsidRPr="00816DE1" w:rsidRDefault="00816DE1" w:rsidP="0069586D">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landscaping with local native plant species to achieve well-shaded urban places;</w:t>
            </w:r>
          </w:p>
          <w:p w:rsidR="00816DE1" w:rsidRPr="00816DE1" w:rsidRDefault="00816DE1" w:rsidP="0069586D">
            <w:pPr>
              <w:numPr>
                <w:ilvl w:val="0"/>
                <w:numId w:val="5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increasing the service extent of the urban forest canopy.</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Vegetation clearing and Matters of Local Environmental Significance (MLES) environmental offsets</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shd w:val="clear" w:color="auto" w:fill="FFFFFF"/>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PO35</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816DE1" w:rsidTr="00816DE1">
              <w:trPr>
                <w:tblCellSpacing w:w="15" w:type="dxa"/>
              </w:trPr>
              <w:tc>
                <w:tcPr>
                  <w:tcW w:w="8572" w:type="dxa"/>
                  <w:vAlign w:val="center"/>
                  <w:hideMark/>
                </w:tcPr>
                <w:p w:rsidR="00816DE1" w:rsidRPr="00816DE1" w:rsidRDefault="00816DE1" w:rsidP="00E257BD">
                  <w:pPr>
                    <w:rPr>
                      <w:rFonts w:ascii="Arial" w:eastAsia="Times New Roman" w:hAnsi="Arial" w:cs="Arial"/>
                      <w:sz w:val="20"/>
                      <w:szCs w:val="20"/>
                    </w:rPr>
                  </w:pPr>
                  <w:r w:rsidRPr="00C64A89">
                    <w:rPr>
                      <w:rFonts w:ascii="Arial" w:eastAsia="Times New Roman" w:hAnsi="Arial" w:cs="Arial"/>
                      <w:sz w:val="18"/>
                      <w:szCs w:val="20"/>
                    </w:rPr>
                    <w:t>Editor's note - For MSES Koala Offsets, the environmental offset provisions in Schedule 11 of the Regulation, in combination with the requirements of the Environmental Offsets Act 2014, apply.</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257BD" w:rsidRPr="00816DE1" w:rsidRDefault="00E257BD" w:rsidP="00E257BD">
            <w:pPr>
              <w:pStyle w:val="NormalWeb"/>
              <w:rPr>
                <w:rFonts w:ascii="Arial" w:hAnsi="Arial" w:cs="Arial"/>
                <w:sz w:val="20"/>
                <w:szCs w:val="20"/>
              </w:rPr>
            </w:pPr>
            <w:r w:rsidRPr="00816DE1">
              <w:rPr>
                <w:rStyle w:val="Strong"/>
                <w:rFonts w:ascii="Arial" w:hAnsi="Arial" w:cs="Arial"/>
                <w:sz w:val="20"/>
                <w:szCs w:val="20"/>
              </w:rPr>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257BD" w:rsidRPr="00816DE1" w:rsidTr="00816DE1">
              <w:trPr>
                <w:tblCellSpacing w:w="15" w:type="dxa"/>
              </w:trPr>
              <w:tc>
                <w:tcPr>
                  <w:tcW w:w="14944" w:type="dxa"/>
                  <w:shd w:val="clear" w:color="auto" w:fill="CCCCCC"/>
                  <w:vAlign w:val="center"/>
                  <w:hideMark/>
                </w:tcPr>
                <w:p w:rsidR="00E257BD" w:rsidRPr="00816DE1" w:rsidRDefault="00E257BD" w:rsidP="00E257BD">
                  <w:pPr>
                    <w:rPr>
                      <w:rFonts w:ascii="Arial" w:eastAsia="Times New Roman" w:hAnsi="Arial" w:cs="Arial"/>
                      <w:sz w:val="20"/>
                      <w:szCs w:val="20"/>
                    </w:rPr>
                  </w:pPr>
                  <w:r w:rsidRPr="00816DE1">
                    <w:rPr>
                      <w:rFonts w:ascii="Arial" w:eastAsia="Times New Roman" w:hAnsi="Arial" w:cs="Arial"/>
                      <w:sz w:val="20"/>
                      <w:szCs w:val="20"/>
                    </w:rPr>
                    <w:t>Note - To demonstrate achievement of the performance outcomes, a noise impact assessment report is prepared by a suitably qualified person. Guidance to preparing noise impact assessment report is provided in Planning scheme policy – Noise.</w:t>
                  </w:r>
                </w:p>
              </w:tc>
            </w:tr>
          </w:tbl>
          <w:p w:rsidR="00E257BD" w:rsidRPr="00816DE1" w:rsidRDefault="00E257BD"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Development does not increase the number of people living in the Extractive Resources separation area.</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E36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One dwelling house</w:t>
            </w:r>
            <w:r w:rsidRPr="00816DE1">
              <w:rPr>
                <w:rFonts w:ascii="Arial" w:hAnsi="Arial" w:cs="Arial"/>
                <w:sz w:val="20"/>
                <w:szCs w:val="20"/>
                <w:vertAlign w:val="superscript"/>
              </w:rPr>
              <w:t>(</w:t>
            </w:r>
            <w:hyperlink r:id="rId4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hAnsi="Arial" w:cs="Arial"/>
                  <w:sz w:val="20"/>
                  <w:szCs w:val="20"/>
                  <w:vertAlign w:val="superscript"/>
                </w:rPr>
                <w:t>22</w:t>
              </w:r>
            </w:hyperlink>
            <w:r w:rsidRPr="00816DE1">
              <w:rPr>
                <w:rFonts w:ascii="Arial" w:hAnsi="Arial" w:cs="Arial"/>
                <w:sz w:val="20"/>
                <w:szCs w:val="20"/>
                <w:vertAlign w:val="superscript"/>
              </w:rPr>
              <w:t>)</w:t>
            </w:r>
            <w:r w:rsidRPr="00816DE1">
              <w:rPr>
                <w:rFonts w:ascii="Arial" w:hAnsi="Arial" w:cs="Arial"/>
                <w:sz w:val="20"/>
                <w:szCs w:val="20"/>
              </w:rPr>
              <w:t xml:space="preserve"> permitted per lot within separation area.</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PO37</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w:t>
            </w:r>
          </w:p>
          <w:p w:rsidR="00816DE1" w:rsidRPr="00816DE1" w:rsidRDefault="00816DE1" w:rsidP="0069586D">
            <w:pPr>
              <w:numPr>
                <w:ilvl w:val="0"/>
                <w:numId w:val="5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introduce or increase uses that are sensitive to the impacts of an Extractive industry</w:t>
            </w:r>
            <w:r w:rsidRPr="00816DE1">
              <w:rPr>
                <w:rFonts w:ascii="Arial" w:eastAsia="Times New Roman" w:hAnsi="Arial" w:cs="Arial"/>
                <w:sz w:val="20"/>
                <w:szCs w:val="20"/>
                <w:vertAlign w:val="superscript"/>
              </w:rPr>
              <w:t>(</w:t>
            </w:r>
            <w:hyperlink r:id="rId48" w:anchor="target-d768251e570999" w:tooltip="Extractive industry - Premises used for the extraction or processing of extractive resources and associated activities, including their transportation to market." w:history="1">
              <w:r w:rsidRPr="00816DE1">
                <w:rPr>
                  <w:rStyle w:val="Hyperlink"/>
                  <w:rFonts w:ascii="Arial" w:eastAsia="Times New Roman" w:hAnsi="Arial" w:cs="Arial"/>
                  <w:sz w:val="20"/>
                  <w:szCs w:val="20"/>
                  <w:vertAlign w:val="superscript"/>
                </w:rPr>
                <w:t>27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is compatible with the operation of an Extractive industry</w:t>
            </w:r>
            <w:r w:rsidRPr="00816DE1">
              <w:rPr>
                <w:rFonts w:ascii="Arial" w:eastAsia="Times New Roman" w:hAnsi="Arial" w:cs="Arial"/>
                <w:sz w:val="20"/>
                <w:szCs w:val="20"/>
                <w:vertAlign w:val="superscript"/>
              </w:rPr>
              <w:t>(</w:t>
            </w:r>
            <w:hyperlink r:id="rId49" w:anchor="target-d768251e570999" w:tooltip="Extractive industry - Premises used for the extraction or processing of extractive resources and associated activities, including their transportation to market." w:history="1">
              <w:r w:rsidRPr="00816DE1">
                <w:rPr>
                  <w:rStyle w:val="Hyperlink"/>
                  <w:rFonts w:ascii="Arial" w:eastAsia="Times New Roman" w:hAnsi="Arial" w:cs="Arial"/>
                  <w:sz w:val="20"/>
                  <w:szCs w:val="20"/>
                  <w:vertAlign w:val="superscript"/>
                </w:rPr>
                <w:t>27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comprise or undermine the function and integrity of the separation area in providing a buffer between key extractive and processing activities and sensitive, incompatible uses outside the separation area.</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E37</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within the separation area does not include the following activities:</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Caretaker's accommodation</w:t>
            </w:r>
            <w:r w:rsidRPr="00816DE1">
              <w:rPr>
                <w:rFonts w:ascii="Arial" w:eastAsia="Times New Roman" w:hAnsi="Arial" w:cs="Arial"/>
                <w:sz w:val="20"/>
                <w:szCs w:val="20"/>
                <w:vertAlign w:val="superscript"/>
              </w:rPr>
              <w:t>(</w:t>
            </w:r>
            <w:hyperlink r:id="rId50" w:anchor="target-d768251e570643" w:tooltip="Caretaker’s accommodation - A dwelling provided for a caretaker of a non-residential use on the same premises." w:history="1">
              <w:r w:rsidRPr="00816DE1">
                <w:rPr>
                  <w:rStyle w:val="Hyperlink"/>
                  <w:rFonts w:ascii="Arial" w:eastAsia="Times New Roman" w:hAnsi="Arial" w:cs="Arial"/>
                  <w:sz w:val="20"/>
                  <w:szCs w:val="20"/>
                  <w:vertAlign w:val="superscript"/>
                </w:rPr>
                <w:t>10</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Community residence</w:t>
            </w:r>
            <w:r w:rsidRPr="00816DE1">
              <w:rPr>
                <w:rFonts w:ascii="Arial" w:eastAsia="Times New Roman" w:hAnsi="Arial" w:cs="Arial"/>
                <w:sz w:val="20"/>
                <w:szCs w:val="20"/>
                <w:vertAlign w:val="superscript"/>
              </w:rPr>
              <w:t>(</w:t>
            </w:r>
            <w:hyperlink r:id="rId51"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816DE1">
                <w:rPr>
                  <w:rStyle w:val="Hyperlink"/>
                  <w:rFonts w:ascii="Arial" w:eastAsia="Times New Roman" w:hAnsi="Arial" w:cs="Arial"/>
                  <w:sz w:val="20"/>
                  <w:szCs w:val="20"/>
                  <w:vertAlign w:val="superscript"/>
                </w:rPr>
                <w:t>16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Dual occupancy</w:t>
            </w:r>
            <w:r w:rsidRPr="00816DE1">
              <w:rPr>
                <w:rFonts w:ascii="Arial" w:eastAsia="Times New Roman" w:hAnsi="Arial" w:cs="Arial"/>
                <w:sz w:val="20"/>
                <w:szCs w:val="20"/>
                <w:vertAlign w:val="superscript"/>
              </w:rPr>
              <w:t>(</w:t>
            </w:r>
            <w:hyperlink r:id="rId52"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816DE1">
                <w:rPr>
                  <w:rStyle w:val="Hyperlink"/>
                  <w:rFonts w:ascii="Arial" w:eastAsia="Times New Roman" w:hAnsi="Arial" w:cs="Arial"/>
                  <w:sz w:val="20"/>
                  <w:szCs w:val="20"/>
                  <w:vertAlign w:val="superscript"/>
                </w:rPr>
                <w:t>21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Dwelling unit</w:t>
            </w:r>
            <w:r w:rsidRPr="00816DE1">
              <w:rPr>
                <w:rFonts w:ascii="Arial" w:eastAsia="Times New Roman" w:hAnsi="Arial" w:cs="Arial"/>
                <w:sz w:val="20"/>
                <w:szCs w:val="20"/>
                <w:vertAlign w:val="superscript"/>
              </w:rPr>
              <w:t>(</w:t>
            </w:r>
            <w:hyperlink r:id="rId53" w:anchor="target-d768251e570919" w:tooltip="Dwelling unit - A single dwelling within a premises containing non residential use(s)." w:history="1">
              <w:r w:rsidRPr="00816DE1">
                <w:rPr>
                  <w:rStyle w:val="Hyperlink"/>
                  <w:rFonts w:ascii="Arial" w:eastAsia="Times New Roman" w:hAnsi="Arial" w:cs="Arial"/>
                  <w:sz w:val="20"/>
                  <w:szCs w:val="20"/>
                  <w:vertAlign w:val="superscript"/>
                </w:rPr>
                <w:t>23</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Hospital</w:t>
            </w:r>
            <w:r w:rsidRPr="00816DE1">
              <w:rPr>
                <w:rFonts w:ascii="Arial" w:eastAsia="Times New Roman" w:hAnsi="Arial" w:cs="Arial"/>
                <w:sz w:val="20"/>
                <w:szCs w:val="20"/>
                <w:vertAlign w:val="superscript"/>
              </w:rPr>
              <w:t>(</w:t>
            </w:r>
            <w:hyperlink r:id="rId54"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816DE1">
                <w:rPr>
                  <w:rStyle w:val="Hyperlink"/>
                  <w:rFonts w:ascii="Arial" w:eastAsia="Times New Roman" w:hAnsi="Arial" w:cs="Arial"/>
                  <w:sz w:val="20"/>
                  <w:szCs w:val="20"/>
                  <w:vertAlign w:val="superscript"/>
                </w:rPr>
                <w:t>36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Rooming accommodation</w:t>
            </w:r>
            <w:r w:rsidRPr="00816DE1">
              <w:rPr>
                <w:rFonts w:ascii="Arial" w:eastAsia="Times New Roman" w:hAnsi="Arial" w:cs="Arial"/>
                <w:sz w:val="20"/>
                <w:szCs w:val="20"/>
                <w:vertAlign w:val="superscript"/>
              </w:rPr>
              <w:t>(</w:t>
            </w:r>
            <w:hyperlink r:id="rId55" w:anchor="target-d768251e572066" w:tooltip="Rooming accommodation - Premises used for the accommodation of more than one household where each resident:" w:history="1">
              <w:r w:rsidRPr="00816DE1">
                <w:rPr>
                  <w:rStyle w:val="Hyperlink"/>
                  <w:rFonts w:ascii="Arial" w:eastAsia="Times New Roman" w:hAnsi="Arial" w:cs="Arial"/>
                  <w:sz w:val="20"/>
                  <w:szCs w:val="20"/>
                  <w:vertAlign w:val="superscript"/>
                </w:rPr>
                <w:t>69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Multiple dwelling</w:t>
            </w:r>
            <w:r w:rsidRPr="00816DE1">
              <w:rPr>
                <w:rFonts w:ascii="Arial" w:eastAsia="Times New Roman" w:hAnsi="Arial" w:cs="Arial"/>
                <w:sz w:val="20"/>
                <w:szCs w:val="20"/>
                <w:vertAlign w:val="superscript"/>
              </w:rPr>
              <w:t>(</w:t>
            </w:r>
            <w:hyperlink r:id="rId56" w:anchor="target-d768251e571524" w:tooltip="Multiple dwelling - Premises containing three or more dwellings for separate households." w:history="1">
              <w:r w:rsidRPr="00816DE1">
                <w:rPr>
                  <w:rStyle w:val="Hyperlink"/>
                  <w:rFonts w:ascii="Arial" w:eastAsia="Times New Roman" w:hAnsi="Arial" w:cs="Arial"/>
                  <w:sz w:val="20"/>
                  <w:szCs w:val="20"/>
                  <w:vertAlign w:val="superscript"/>
                </w:rPr>
                <w:t>49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Non-resident workforce accommodation</w:t>
            </w:r>
            <w:r w:rsidRPr="00816DE1">
              <w:rPr>
                <w:rFonts w:ascii="Arial" w:eastAsia="Times New Roman" w:hAnsi="Arial" w:cs="Arial"/>
                <w:sz w:val="20"/>
                <w:szCs w:val="20"/>
                <w:vertAlign w:val="superscript"/>
              </w:rPr>
              <w:t>(</w:t>
            </w:r>
            <w:hyperlink r:id="rId57"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816DE1">
                <w:rPr>
                  <w:rStyle w:val="Hyperlink"/>
                  <w:rFonts w:ascii="Arial" w:eastAsia="Times New Roman" w:hAnsi="Arial" w:cs="Arial"/>
                  <w:sz w:val="20"/>
                  <w:szCs w:val="20"/>
                  <w:vertAlign w:val="superscript"/>
                </w:rPr>
                <w:t>52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Relocatable home park</w:t>
            </w:r>
            <w:r w:rsidRPr="00816DE1">
              <w:rPr>
                <w:rFonts w:ascii="Arial" w:eastAsia="Times New Roman" w:hAnsi="Arial" w:cs="Arial"/>
                <w:sz w:val="20"/>
                <w:szCs w:val="20"/>
                <w:vertAlign w:val="superscript"/>
              </w:rPr>
              <w:t>(</w:t>
            </w:r>
            <w:hyperlink r:id="rId58"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816DE1">
                <w:rPr>
                  <w:rStyle w:val="Hyperlink"/>
                  <w:rFonts w:ascii="Arial" w:eastAsia="Times New Roman" w:hAnsi="Arial" w:cs="Arial"/>
                  <w:sz w:val="20"/>
                  <w:szCs w:val="20"/>
                  <w:vertAlign w:val="superscript"/>
                </w:rPr>
                <w:t>62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Residential care facility</w:t>
            </w:r>
            <w:r w:rsidRPr="00816DE1">
              <w:rPr>
                <w:rFonts w:ascii="Arial" w:eastAsia="Times New Roman" w:hAnsi="Arial" w:cs="Arial"/>
                <w:sz w:val="20"/>
                <w:szCs w:val="20"/>
                <w:vertAlign w:val="superscript"/>
              </w:rPr>
              <w:t>(</w:t>
            </w:r>
            <w:hyperlink r:id="rId59"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816DE1">
                <w:rPr>
                  <w:rStyle w:val="Hyperlink"/>
                  <w:rFonts w:ascii="Arial" w:eastAsia="Times New Roman" w:hAnsi="Arial" w:cs="Arial"/>
                  <w:sz w:val="20"/>
                  <w:szCs w:val="20"/>
                  <w:vertAlign w:val="superscript"/>
                </w:rPr>
                <w:t>65</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Resort complex</w:t>
            </w:r>
            <w:r w:rsidRPr="00816DE1">
              <w:rPr>
                <w:rFonts w:ascii="Arial" w:eastAsia="Times New Roman" w:hAnsi="Arial" w:cs="Arial"/>
                <w:sz w:val="20"/>
                <w:szCs w:val="20"/>
                <w:vertAlign w:val="superscript"/>
              </w:rPr>
              <w:t>(</w:t>
            </w:r>
            <w:hyperlink r:id="rId60" w:anchor="target-d768251e571954" w:tooltip="Resort complex - Premises used for tourist and visitor short-term accommodation that include integrated leisure facilities including:" w:history="1">
              <w:r w:rsidRPr="00816DE1">
                <w:rPr>
                  <w:rStyle w:val="Hyperlink"/>
                  <w:rFonts w:ascii="Arial" w:eastAsia="Times New Roman" w:hAnsi="Arial" w:cs="Arial"/>
                  <w:sz w:val="20"/>
                  <w:szCs w:val="20"/>
                  <w:vertAlign w:val="superscript"/>
                </w:rPr>
                <w:t>66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Retirement facility</w:t>
            </w:r>
            <w:r w:rsidRPr="00816DE1">
              <w:rPr>
                <w:rFonts w:ascii="Arial" w:eastAsia="Times New Roman" w:hAnsi="Arial" w:cs="Arial"/>
                <w:sz w:val="20"/>
                <w:szCs w:val="20"/>
                <w:vertAlign w:val="superscript"/>
              </w:rPr>
              <w:t>(</w:t>
            </w:r>
            <w:hyperlink r:id="rId61"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816DE1">
                <w:rPr>
                  <w:rStyle w:val="Hyperlink"/>
                  <w:rFonts w:ascii="Arial" w:eastAsia="Times New Roman" w:hAnsi="Arial" w:cs="Arial"/>
                  <w:sz w:val="20"/>
                  <w:szCs w:val="20"/>
                  <w:vertAlign w:val="superscript"/>
                </w:rPr>
                <w:t>67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Rural workers’ accommodation</w:t>
            </w:r>
            <w:r w:rsidRPr="00816DE1">
              <w:rPr>
                <w:rFonts w:ascii="Arial" w:eastAsia="Times New Roman" w:hAnsi="Arial" w:cs="Arial"/>
                <w:sz w:val="20"/>
                <w:szCs w:val="20"/>
                <w:vertAlign w:val="superscript"/>
              </w:rPr>
              <w:t>(</w:t>
            </w:r>
            <w:hyperlink r:id="rId62"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816DE1">
                <w:rPr>
                  <w:rStyle w:val="Hyperlink"/>
                  <w:rFonts w:ascii="Arial" w:eastAsia="Times New Roman" w:hAnsi="Arial" w:cs="Arial"/>
                  <w:sz w:val="20"/>
                  <w:szCs w:val="20"/>
                  <w:vertAlign w:val="superscript"/>
                </w:rPr>
                <w:t>71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Short-term accommodation</w:t>
            </w:r>
            <w:r w:rsidRPr="00816DE1">
              <w:rPr>
                <w:rFonts w:ascii="Arial" w:eastAsia="Times New Roman" w:hAnsi="Arial" w:cs="Arial"/>
                <w:sz w:val="20"/>
                <w:szCs w:val="20"/>
                <w:vertAlign w:val="superscript"/>
              </w:rPr>
              <w:t>(</w:t>
            </w:r>
            <w:hyperlink r:id="rId63"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16DE1">
                <w:rPr>
                  <w:rStyle w:val="Hyperlink"/>
                  <w:rFonts w:ascii="Arial" w:eastAsia="Times New Roman" w:hAnsi="Arial" w:cs="Arial"/>
                  <w:sz w:val="20"/>
                  <w:szCs w:val="20"/>
                  <w:vertAlign w:val="superscript"/>
                </w:rPr>
                <w:t>77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Tourist park</w:t>
            </w:r>
            <w:r w:rsidRPr="00816DE1">
              <w:rPr>
                <w:rFonts w:ascii="Arial" w:eastAsia="Times New Roman" w:hAnsi="Arial" w:cs="Arial"/>
                <w:sz w:val="20"/>
                <w:szCs w:val="20"/>
                <w:vertAlign w:val="superscript"/>
              </w:rPr>
              <w:t>(</w:t>
            </w:r>
            <w:hyperlink r:id="rId64"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16DE1">
                <w:rPr>
                  <w:rStyle w:val="Hyperlink"/>
                  <w:rFonts w:ascii="Arial" w:eastAsia="Times New Roman" w:hAnsi="Arial" w:cs="Arial"/>
                  <w:sz w:val="20"/>
                  <w:szCs w:val="20"/>
                  <w:vertAlign w:val="superscript"/>
                </w:rPr>
                <w:t>84</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PO38</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Habitable rooms achieve the noise levels listed in Schedule 1 Acoustic Quality Objectives, Environmental Protection (Noise) Policy 2008 and provides a safe, healthy and disturbance free living environment.</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E38</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All habitable rooms within the separation area are:</w:t>
            </w:r>
          </w:p>
          <w:p w:rsidR="00816DE1" w:rsidRPr="00816DE1" w:rsidRDefault="00816DE1" w:rsidP="0069586D">
            <w:pPr>
              <w:numPr>
                <w:ilvl w:val="0"/>
                <w:numId w:val="5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acoustically insulated to achieve the noise levels listed in Schedule 1 Acoustic Quality Objectives, Environmental Protection (Noise) Policy 2008;</w:t>
            </w:r>
          </w:p>
          <w:p w:rsidR="00816DE1" w:rsidRPr="00816DE1" w:rsidRDefault="00816DE1" w:rsidP="0069586D">
            <w:pPr>
              <w:numPr>
                <w:ilvl w:val="0"/>
                <w:numId w:val="5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provided with mechanical ventilation.</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PO39</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provides open space areas for passive recreation in a manner where impacts from key extractive/processing activities, particularly noise, is minimised.</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E39</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Private open space areas are separated from the resource processing area by buildings or a 1.8m high solid structure.</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257BD" w:rsidRPr="00816DE1" w:rsidRDefault="00E257BD" w:rsidP="00E257BD">
            <w:pPr>
              <w:pStyle w:val="NormalWeb"/>
              <w:rPr>
                <w:rFonts w:ascii="Arial" w:hAnsi="Arial" w:cs="Arial"/>
                <w:sz w:val="20"/>
                <w:szCs w:val="20"/>
              </w:rPr>
            </w:pPr>
            <w:r w:rsidRPr="00816DE1">
              <w:rPr>
                <w:rStyle w:val="Strong"/>
                <w:rFonts w:ascii="Arial" w:hAnsi="Arial" w:cs="Arial"/>
                <w:sz w:val="20"/>
                <w:szCs w:val="20"/>
              </w:rPr>
              <w:lastRenderedPageBreak/>
              <w:t>Extractive resources transport route (refer Overlay map - Extractive resources (transport route and buffer) to determine if the following assessment criteria apply)</w:t>
            </w:r>
          </w:p>
          <w:p w:rsidR="00E257BD" w:rsidRPr="00816DE1" w:rsidRDefault="00E257BD"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PO40</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w:t>
            </w:r>
          </w:p>
          <w:p w:rsidR="00816DE1" w:rsidRPr="00816DE1" w:rsidRDefault="00816DE1" w:rsidP="0069586D">
            <w:pPr>
              <w:numPr>
                <w:ilvl w:val="0"/>
                <w:numId w:val="5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does not increase in the number of people living </w:t>
            </w:r>
            <w:proofErr w:type="gramStart"/>
            <w:r w:rsidRPr="00816DE1">
              <w:rPr>
                <w:rFonts w:ascii="Arial" w:eastAsia="Times New Roman" w:hAnsi="Arial" w:cs="Arial"/>
                <w:sz w:val="20"/>
                <w:szCs w:val="20"/>
              </w:rPr>
              <w:t>in close proximity to</w:t>
            </w:r>
            <w:proofErr w:type="gramEnd"/>
            <w:r w:rsidRPr="00816DE1">
              <w:rPr>
                <w:rFonts w:ascii="Arial" w:eastAsia="Times New Roman" w:hAnsi="Arial" w:cs="Arial"/>
                <w:sz w:val="20"/>
                <w:szCs w:val="20"/>
              </w:rPr>
              <w:t xml:space="preserve"> a transport route and being subject to the adverse effects from the transportation route;</w:t>
            </w:r>
          </w:p>
          <w:p w:rsidR="00816DE1" w:rsidRPr="00816DE1" w:rsidRDefault="00816DE1" w:rsidP="0069586D">
            <w:pPr>
              <w:numPr>
                <w:ilvl w:val="0"/>
                <w:numId w:val="5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result in the establishment of uses that are incompatible with the operation of Extractive resources transport routes;</w:t>
            </w:r>
          </w:p>
          <w:p w:rsidR="00816DE1" w:rsidRPr="00816DE1" w:rsidRDefault="00816DE1" w:rsidP="0069586D">
            <w:pPr>
              <w:numPr>
                <w:ilvl w:val="0"/>
                <w:numId w:val="5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adopts design and location measures to satisfactorily mitigate the potential adverse impacts associated with transportation routes on sensitive land uses.  Such measures include, but are not limited to:</w:t>
            </w:r>
          </w:p>
          <w:p w:rsidR="00816DE1" w:rsidRPr="00816DE1" w:rsidRDefault="00816DE1" w:rsidP="0069586D">
            <w:pPr>
              <w:numPr>
                <w:ilvl w:val="1"/>
                <w:numId w:val="5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locating the furthest distance possible from the transportation route;</w:t>
            </w:r>
          </w:p>
          <w:p w:rsidR="00816DE1" w:rsidRPr="00816DE1" w:rsidRDefault="00816DE1" w:rsidP="0069586D">
            <w:pPr>
              <w:numPr>
                <w:ilvl w:val="1"/>
                <w:numId w:val="5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habitable rooms being located the furthest from the transportation route;</w:t>
            </w:r>
          </w:p>
          <w:p w:rsidR="00816DE1" w:rsidRPr="00816DE1" w:rsidRDefault="00816DE1" w:rsidP="0069586D">
            <w:pPr>
              <w:numPr>
                <w:ilvl w:val="1"/>
                <w:numId w:val="5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shielding and screening private outdoor recreation space from the transportation routes.</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E40</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following uses are not located within the 100m wide transport route buffer:</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Caretaker’s accommodation</w:t>
            </w:r>
            <w:r w:rsidRPr="00816DE1">
              <w:rPr>
                <w:rFonts w:ascii="Arial" w:eastAsia="Times New Roman" w:hAnsi="Arial" w:cs="Arial"/>
                <w:sz w:val="20"/>
                <w:szCs w:val="20"/>
                <w:vertAlign w:val="superscript"/>
              </w:rPr>
              <w:t>(</w:t>
            </w:r>
            <w:hyperlink r:id="rId65" w:anchor="target-d768251e570643" w:tooltip="Caretaker’s accommodation - A dwelling provided for a caretaker of a non-residential use on the same premises." w:history="1">
              <w:r w:rsidRPr="00816DE1">
                <w:rPr>
                  <w:rStyle w:val="Hyperlink"/>
                  <w:rFonts w:ascii="Arial" w:eastAsia="Times New Roman" w:hAnsi="Arial" w:cs="Arial"/>
                  <w:sz w:val="20"/>
                  <w:szCs w:val="20"/>
                  <w:vertAlign w:val="superscript"/>
                </w:rPr>
                <w:t>10</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 except where located in the Extractive industry zone;</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Community residence</w:t>
            </w:r>
            <w:r w:rsidRPr="00816DE1">
              <w:rPr>
                <w:rFonts w:ascii="Arial" w:eastAsia="Times New Roman" w:hAnsi="Arial" w:cs="Arial"/>
                <w:sz w:val="20"/>
                <w:szCs w:val="20"/>
                <w:vertAlign w:val="superscript"/>
              </w:rPr>
              <w:t>(</w:t>
            </w:r>
            <w:hyperlink r:id="rId66"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816DE1">
                <w:rPr>
                  <w:rStyle w:val="Hyperlink"/>
                  <w:rFonts w:ascii="Arial" w:eastAsia="Times New Roman" w:hAnsi="Arial" w:cs="Arial"/>
                  <w:sz w:val="20"/>
                  <w:szCs w:val="20"/>
                  <w:vertAlign w:val="superscript"/>
                </w:rPr>
                <w:t>16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Dual occupancy</w:t>
            </w:r>
            <w:r w:rsidRPr="00816DE1">
              <w:rPr>
                <w:rFonts w:ascii="Arial" w:eastAsia="Times New Roman" w:hAnsi="Arial" w:cs="Arial"/>
                <w:sz w:val="20"/>
                <w:szCs w:val="20"/>
                <w:vertAlign w:val="superscript"/>
              </w:rPr>
              <w:t>(</w:t>
            </w:r>
            <w:hyperlink r:id="rId67"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816DE1">
                <w:rPr>
                  <w:rStyle w:val="Hyperlink"/>
                  <w:rFonts w:ascii="Arial" w:eastAsia="Times New Roman" w:hAnsi="Arial" w:cs="Arial"/>
                  <w:sz w:val="20"/>
                  <w:szCs w:val="20"/>
                  <w:vertAlign w:val="superscript"/>
                </w:rPr>
                <w:t>21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Dwelling house</w:t>
            </w:r>
            <w:r w:rsidRPr="00816DE1">
              <w:rPr>
                <w:rFonts w:ascii="Arial" w:eastAsia="Times New Roman" w:hAnsi="Arial" w:cs="Arial"/>
                <w:sz w:val="20"/>
                <w:szCs w:val="20"/>
                <w:vertAlign w:val="superscript"/>
              </w:rPr>
              <w:t>(</w:t>
            </w:r>
            <w:hyperlink r:id="rId6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eastAsia="Times New Roman" w:hAnsi="Arial" w:cs="Arial"/>
                  <w:sz w:val="20"/>
                  <w:szCs w:val="20"/>
                  <w:vertAlign w:val="superscript"/>
                </w:rPr>
                <w:t>22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Dwelling unit</w:t>
            </w:r>
            <w:r w:rsidRPr="00816DE1">
              <w:rPr>
                <w:rFonts w:ascii="Arial" w:eastAsia="Times New Roman" w:hAnsi="Arial" w:cs="Arial"/>
                <w:sz w:val="20"/>
                <w:szCs w:val="20"/>
                <w:vertAlign w:val="superscript"/>
              </w:rPr>
              <w:t>(</w:t>
            </w:r>
            <w:hyperlink r:id="rId69" w:anchor="target-d768251e570919" w:tooltip="Dwelling unit - A single dwelling within a premises containing non residential use(s)." w:history="1">
              <w:r w:rsidRPr="00816DE1">
                <w:rPr>
                  <w:rStyle w:val="Hyperlink"/>
                  <w:rFonts w:ascii="Arial" w:eastAsia="Times New Roman" w:hAnsi="Arial" w:cs="Arial"/>
                  <w:sz w:val="20"/>
                  <w:szCs w:val="20"/>
                  <w:vertAlign w:val="superscript"/>
                </w:rPr>
                <w:t>23</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Hospital</w:t>
            </w:r>
            <w:r w:rsidRPr="00816DE1">
              <w:rPr>
                <w:rFonts w:ascii="Arial" w:eastAsia="Times New Roman" w:hAnsi="Arial" w:cs="Arial"/>
                <w:sz w:val="20"/>
                <w:szCs w:val="20"/>
                <w:vertAlign w:val="superscript"/>
              </w:rPr>
              <w:t>(</w:t>
            </w:r>
            <w:hyperlink r:id="rId70"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816DE1">
                <w:rPr>
                  <w:rStyle w:val="Hyperlink"/>
                  <w:rFonts w:ascii="Arial" w:eastAsia="Times New Roman" w:hAnsi="Arial" w:cs="Arial"/>
                  <w:sz w:val="20"/>
                  <w:szCs w:val="20"/>
                  <w:vertAlign w:val="superscript"/>
                </w:rPr>
                <w:t>36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Rooming accommodation</w:t>
            </w:r>
            <w:r w:rsidRPr="00816DE1">
              <w:rPr>
                <w:rFonts w:ascii="Arial" w:eastAsia="Times New Roman" w:hAnsi="Arial" w:cs="Arial"/>
                <w:sz w:val="20"/>
                <w:szCs w:val="20"/>
                <w:vertAlign w:val="superscript"/>
              </w:rPr>
              <w:t>(</w:t>
            </w:r>
            <w:hyperlink r:id="rId71" w:anchor="target-d768251e572066" w:tooltip="Rooming accommodation - Premises used for the accommodation of more than one household where each resident:" w:history="1">
              <w:r w:rsidRPr="00816DE1">
                <w:rPr>
                  <w:rStyle w:val="Hyperlink"/>
                  <w:rFonts w:ascii="Arial" w:eastAsia="Times New Roman" w:hAnsi="Arial" w:cs="Arial"/>
                  <w:sz w:val="20"/>
                  <w:szCs w:val="20"/>
                  <w:vertAlign w:val="superscript"/>
                </w:rPr>
                <w:t>69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Multiple dwelling</w:t>
            </w:r>
            <w:r w:rsidRPr="00816DE1">
              <w:rPr>
                <w:rFonts w:ascii="Arial" w:eastAsia="Times New Roman" w:hAnsi="Arial" w:cs="Arial"/>
                <w:sz w:val="20"/>
                <w:szCs w:val="20"/>
                <w:vertAlign w:val="superscript"/>
              </w:rPr>
              <w:t>(</w:t>
            </w:r>
            <w:hyperlink r:id="rId72" w:anchor="target-d768251e571524" w:tooltip="Multiple dwelling - Premises containing three or more dwellings for separate households." w:history="1">
              <w:r w:rsidRPr="00816DE1">
                <w:rPr>
                  <w:rStyle w:val="Hyperlink"/>
                  <w:rFonts w:ascii="Arial" w:eastAsia="Times New Roman" w:hAnsi="Arial" w:cs="Arial"/>
                  <w:sz w:val="20"/>
                  <w:szCs w:val="20"/>
                  <w:vertAlign w:val="superscript"/>
                </w:rPr>
                <w:t>49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Non-resident workforce accommodation</w:t>
            </w:r>
            <w:r w:rsidRPr="00816DE1">
              <w:rPr>
                <w:rFonts w:ascii="Arial" w:eastAsia="Times New Roman" w:hAnsi="Arial" w:cs="Arial"/>
                <w:sz w:val="20"/>
                <w:szCs w:val="20"/>
                <w:vertAlign w:val="superscript"/>
              </w:rPr>
              <w:t>(</w:t>
            </w:r>
            <w:hyperlink r:id="rId73"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816DE1">
                <w:rPr>
                  <w:rStyle w:val="Hyperlink"/>
                  <w:rFonts w:ascii="Arial" w:eastAsia="Times New Roman" w:hAnsi="Arial" w:cs="Arial"/>
                  <w:sz w:val="20"/>
                  <w:szCs w:val="20"/>
                  <w:vertAlign w:val="superscript"/>
                </w:rPr>
                <w:t>52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Relocatable home park</w:t>
            </w:r>
            <w:r w:rsidRPr="00816DE1">
              <w:rPr>
                <w:rFonts w:ascii="Arial" w:eastAsia="Times New Roman" w:hAnsi="Arial" w:cs="Arial"/>
                <w:sz w:val="20"/>
                <w:szCs w:val="20"/>
                <w:vertAlign w:val="superscript"/>
              </w:rPr>
              <w:t>(</w:t>
            </w:r>
            <w:hyperlink r:id="rId74"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816DE1">
                <w:rPr>
                  <w:rStyle w:val="Hyperlink"/>
                  <w:rFonts w:ascii="Arial" w:eastAsia="Times New Roman" w:hAnsi="Arial" w:cs="Arial"/>
                  <w:sz w:val="20"/>
                  <w:szCs w:val="20"/>
                  <w:vertAlign w:val="superscript"/>
                </w:rPr>
                <w:t>62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Residential care facility</w:t>
            </w:r>
            <w:r w:rsidRPr="00816DE1">
              <w:rPr>
                <w:rFonts w:ascii="Arial" w:eastAsia="Times New Roman" w:hAnsi="Arial" w:cs="Arial"/>
                <w:sz w:val="20"/>
                <w:szCs w:val="20"/>
                <w:vertAlign w:val="superscript"/>
              </w:rPr>
              <w:t>(</w:t>
            </w:r>
            <w:hyperlink r:id="rId75"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816DE1">
                <w:rPr>
                  <w:rStyle w:val="Hyperlink"/>
                  <w:rFonts w:ascii="Arial" w:eastAsia="Times New Roman" w:hAnsi="Arial" w:cs="Arial"/>
                  <w:sz w:val="20"/>
                  <w:szCs w:val="20"/>
                  <w:vertAlign w:val="superscript"/>
                </w:rPr>
                <w:t>65</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Resort complex</w:t>
            </w:r>
            <w:r w:rsidRPr="00816DE1">
              <w:rPr>
                <w:rFonts w:ascii="Arial" w:eastAsia="Times New Roman" w:hAnsi="Arial" w:cs="Arial"/>
                <w:sz w:val="20"/>
                <w:szCs w:val="20"/>
                <w:vertAlign w:val="superscript"/>
              </w:rPr>
              <w:t>(</w:t>
            </w:r>
            <w:hyperlink r:id="rId76" w:anchor="target-d768251e571954" w:tooltip="Resort complex - Premises used for tourist and visitor short-term accommodation that include integrated leisure facilities including:" w:history="1">
              <w:r w:rsidRPr="00816DE1">
                <w:rPr>
                  <w:rStyle w:val="Hyperlink"/>
                  <w:rFonts w:ascii="Arial" w:eastAsia="Times New Roman" w:hAnsi="Arial" w:cs="Arial"/>
                  <w:sz w:val="20"/>
                  <w:szCs w:val="20"/>
                  <w:vertAlign w:val="superscript"/>
                </w:rPr>
                <w:t>66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Retirement facility</w:t>
            </w:r>
            <w:r w:rsidRPr="00816DE1">
              <w:rPr>
                <w:rFonts w:ascii="Arial" w:eastAsia="Times New Roman" w:hAnsi="Arial" w:cs="Arial"/>
                <w:sz w:val="20"/>
                <w:szCs w:val="20"/>
                <w:vertAlign w:val="superscript"/>
              </w:rPr>
              <w:t>(</w:t>
            </w:r>
            <w:hyperlink r:id="rId77"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816DE1">
                <w:rPr>
                  <w:rStyle w:val="Hyperlink"/>
                  <w:rFonts w:ascii="Arial" w:eastAsia="Times New Roman" w:hAnsi="Arial" w:cs="Arial"/>
                  <w:sz w:val="20"/>
                  <w:szCs w:val="20"/>
                  <w:vertAlign w:val="superscript"/>
                </w:rPr>
                <w:t>67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Rural workers’ accommodation</w:t>
            </w:r>
            <w:r w:rsidRPr="00816DE1">
              <w:rPr>
                <w:rFonts w:ascii="Arial" w:eastAsia="Times New Roman" w:hAnsi="Arial" w:cs="Arial"/>
                <w:sz w:val="20"/>
                <w:szCs w:val="20"/>
                <w:vertAlign w:val="superscript"/>
              </w:rPr>
              <w:t>(</w:t>
            </w:r>
            <w:hyperlink r:id="rId78"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816DE1">
                <w:rPr>
                  <w:rStyle w:val="Hyperlink"/>
                  <w:rFonts w:ascii="Arial" w:eastAsia="Times New Roman" w:hAnsi="Arial" w:cs="Arial"/>
                  <w:sz w:val="20"/>
                  <w:szCs w:val="20"/>
                  <w:vertAlign w:val="superscript"/>
                </w:rPr>
                <w:t>71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Short-term accommodation</w:t>
            </w:r>
            <w:r w:rsidRPr="00816DE1">
              <w:rPr>
                <w:rFonts w:ascii="Arial" w:eastAsia="Times New Roman" w:hAnsi="Arial" w:cs="Arial"/>
                <w:sz w:val="20"/>
                <w:szCs w:val="20"/>
                <w:vertAlign w:val="superscript"/>
              </w:rPr>
              <w:t>(</w:t>
            </w:r>
            <w:hyperlink r:id="rId79"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16DE1">
                <w:rPr>
                  <w:rStyle w:val="Hyperlink"/>
                  <w:rFonts w:ascii="Arial" w:eastAsia="Times New Roman" w:hAnsi="Arial" w:cs="Arial"/>
                  <w:sz w:val="20"/>
                  <w:szCs w:val="20"/>
                  <w:vertAlign w:val="superscript"/>
                </w:rPr>
                <w:t>77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5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Tourist park</w:t>
            </w:r>
            <w:r w:rsidRPr="00816DE1">
              <w:rPr>
                <w:rFonts w:ascii="Arial" w:eastAsia="Times New Roman" w:hAnsi="Arial" w:cs="Arial"/>
                <w:sz w:val="20"/>
                <w:szCs w:val="20"/>
                <w:vertAlign w:val="superscript"/>
              </w:rPr>
              <w:t>(</w:t>
            </w:r>
            <w:hyperlink r:id="rId80"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16DE1">
                <w:rPr>
                  <w:rStyle w:val="Hyperlink"/>
                  <w:rFonts w:ascii="Arial" w:eastAsia="Times New Roman" w:hAnsi="Arial" w:cs="Arial"/>
                  <w:sz w:val="20"/>
                  <w:szCs w:val="20"/>
                  <w:vertAlign w:val="superscript"/>
                </w:rPr>
                <w:t>84</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vMerge w:val="restar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PO41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w:t>
            </w:r>
          </w:p>
          <w:p w:rsidR="00816DE1" w:rsidRPr="00816DE1" w:rsidRDefault="00816DE1" w:rsidP="0069586D">
            <w:pPr>
              <w:numPr>
                <w:ilvl w:val="0"/>
                <w:numId w:val="5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adversely impact upon the efficient and effective transportation of extractive material along a transportation route;</w:t>
            </w:r>
          </w:p>
          <w:p w:rsidR="00816DE1" w:rsidRPr="00816DE1" w:rsidRDefault="00816DE1" w:rsidP="0069586D">
            <w:pPr>
              <w:numPr>
                <w:ilvl w:val="0"/>
                <w:numId w:val="5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lastRenderedPageBreak/>
              <w:t>ensures vehicle access and egress along transportation routes are designed and located to achieve a high degree of safety, having good visibility;</w:t>
            </w:r>
          </w:p>
          <w:p w:rsidR="00816DE1" w:rsidRPr="00816DE1" w:rsidRDefault="00816DE1" w:rsidP="0069586D">
            <w:pPr>
              <w:numPr>
                <w:ilvl w:val="0"/>
                <w:numId w:val="5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utilises existing vehicle access points and where existing vehicle access points are sub-standard or poorly formed, they are upgraded to an appropriate standard.</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E41.1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does not create a new vehicle access point onto an Extractive resources transport route.</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vMerge/>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E41.2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A vehicle access point is located, designed and constructed in accordance with Planning scheme policy - Integrated design.</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257BD" w:rsidRPr="00816DE1" w:rsidRDefault="00E257BD" w:rsidP="00E257BD">
            <w:pPr>
              <w:pStyle w:val="NormalWeb"/>
              <w:rPr>
                <w:rFonts w:ascii="Arial" w:hAnsi="Arial" w:cs="Arial"/>
                <w:sz w:val="20"/>
                <w:szCs w:val="20"/>
              </w:rPr>
            </w:pPr>
            <w:r w:rsidRPr="00816DE1">
              <w:rPr>
                <w:rStyle w:val="Strong"/>
                <w:rFonts w:ascii="Arial" w:hAnsi="Arial" w:cs="Arial"/>
                <w:sz w:val="20"/>
                <w:szCs w:val="20"/>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257BD" w:rsidRPr="00816DE1" w:rsidTr="00816DE1">
              <w:trPr>
                <w:tblCellSpacing w:w="15" w:type="dxa"/>
              </w:trPr>
              <w:tc>
                <w:tcPr>
                  <w:tcW w:w="14944" w:type="dxa"/>
                  <w:shd w:val="clear" w:color="auto" w:fill="CCCCCC"/>
                  <w:vAlign w:val="center"/>
                  <w:hideMark/>
                </w:tcPr>
                <w:p w:rsidR="00E257BD" w:rsidRPr="00816DE1" w:rsidRDefault="00E257BD" w:rsidP="00E257BD">
                  <w:pPr>
                    <w:pStyle w:val="NormalWeb"/>
                    <w:rPr>
                      <w:rFonts w:ascii="Arial" w:hAnsi="Arial" w:cs="Arial"/>
                      <w:sz w:val="20"/>
                      <w:szCs w:val="20"/>
                    </w:rPr>
                  </w:pPr>
                  <w:r w:rsidRPr="00816DE1">
                    <w:rPr>
                      <w:rFonts w:ascii="Arial" w:hAnsi="Arial" w:cs="Arial"/>
                      <w:sz w:val="20"/>
                      <w:szCs w:val="20"/>
                    </w:rPr>
                    <w:t>Note - To assist in demonstrating achievement of heritage performance outcomes, a Cultural heritage impact assessment report is prepared by a suitably qualified person verifying the proposed development is in accordance with The Australia ICOMOS Burra Charter.</w:t>
                  </w:r>
                </w:p>
                <w:p w:rsidR="00E257BD" w:rsidRPr="00816DE1" w:rsidRDefault="00E257BD" w:rsidP="00E257BD">
                  <w:pPr>
                    <w:pStyle w:val="NormalWeb"/>
                    <w:rPr>
                      <w:rFonts w:ascii="Arial" w:hAnsi="Arial" w:cs="Arial"/>
                      <w:sz w:val="20"/>
                      <w:szCs w:val="20"/>
                    </w:rPr>
                  </w:pPr>
                  <w:r w:rsidRPr="00816DE1">
                    <w:rPr>
                      <w:rFonts w:ascii="Arial" w:hAnsi="Arial" w:cs="Arial"/>
                      <w:sz w:val="20"/>
                      <w:szCs w:val="20"/>
                    </w:rPr>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rsidR="00E257BD" w:rsidRPr="00816DE1" w:rsidRDefault="00E257BD" w:rsidP="00E257BD">
                  <w:pPr>
                    <w:pStyle w:val="NormalWeb"/>
                    <w:rPr>
                      <w:rFonts w:ascii="Arial" w:hAnsi="Arial" w:cs="Arial"/>
                      <w:sz w:val="20"/>
                      <w:szCs w:val="20"/>
                    </w:rPr>
                  </w:pPr>
                  <w:r w:rsidRPr="00816DE1">
                    <w:rPr>
                      <w:rFonts w:ascii="Arial"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E257BD" w:rsidRPr="00816DE1" w:rsidRDefault="00E257BD"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PO42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will:</w:t>
            </w:r>
          </w:p>
          <w:p w:rsidR="00816DE1" w:rsidRPr="00816DE1" w:rsidRDefault="00816DE1" w:rsidP="0069586D">
            <w:pPr>
              <w:numPr>
                <w:ilvl w:val="0"/>
                <w:numId w:val="5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not diminish or cause irreversible damage to the cultural heritage values present on the site, and associated with a heritage site, object or building;</w:t>
            </w:r>
          </w:p>
          <w:p w:rsidR="00816DE1" w:rsidRPr="00816DE1" w:rsidRDefault="00816DE1" w:rsidP="0069586D">
            <w:pPr>
              <w:numPr>
                <w:ilvl w:val="0"/>
                <w:numId w:val="5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protect the fabric and setting of the heritage site, object or building;</w:t>
            </w:r>
          </w:p>
          <w:p w:rsidR="00816DE1" w:rsidRPr="00816DE1" w:rsidRDefault="00816DE1" w:rsidP="0069586D">
            <w:pPr>
              <w:numPr>
                <w:ilvl w:val="0"/>
                <w:numId w:val="5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be consistent with the form, scale and style of the heritage site, object or building;</w:t>
            </w:r>
          </w:p>
          <w:p w:rsidR="00816DE1" w:rsidRPr="00816DE1" w:rsidRDefault="00816DE1" w:rsidP="0069586D">
            <w:pPr>
              <w:numPr>
                <w:ilvl w:val="0"/>
                <w:numId w:val="5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utilise similar materials to those existing, or where this is not reasonable or practicable, neutral materials and finishes;</w:t>
            </w:r>
          </w:p>
          <w:p w:rsidR="00816DE1" w:rsidRPr="00816DE1" w:rsidRDefault="00816DE1" w:rsidP="0069586D">
            <w:pPr>
              <w:numPr>
                <w:ilvl w:val="0"/>
                <w:numId w:val="5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incorporate complementary elements, detailing and ornamentation to those </w:t>
            </w:r>
            <w:r w:rsidRPr="00816DE1">
              <w:rPr>
                <w:rFonts w:ascii="Arial" w:eastAsia="Times New Roman" w:hAnsi="Arial" w:cs="Arial"/>
                <w:sz w:val="20"/>
                <w:szCs w:val="20"/>
              </w:rPr>
              <w:lastRenderedPageBreak/>
              <w:t>present on the heritage site, object or building;</w:t>
            </w:r>
          </w:p>
          <w:p w:rsidR="00816DE1" w:rsidRPr="00816DE1" w:rsidRDefault="00816DE1" w:rsidP="0069586D">
            <w:pPr>
              <w:numPr>
                <w:ilvl w:val="0"/>
                <w:numId w:val="5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retain public access where this is currently provided.</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E42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is for the preservation, maintenance, repair and restoration of a site, object or building of cultural heritage value.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816DE1" w:rsidRPr="00816DE1" w:rsidTr="00816DE1">
              <w:trPr>
                <w:tblCellSpacing w:w="15" w:type="dxa"/>
              </w:trPr>
              <w:tc>
                <w:tcPr>
                  <w:tcW w:w="6192" w:type="dxa"/>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816DE1">
                    <w:rPr>
                      <w:rFonts w:ascii="Arial" w:eastAsia="Times New Roman" w:hAnsi="Arial" w:cs="Arial"/>
                      <w:sz w:val="20"/>
                      <w:szCs w:val="20"/>
                    </w:rPr>
                    <w:t>to, and</w:t>
                  </w:r>
                  <w:proofErr w:type="gramEnd"/>
                  <w:r w:rsidRPr="00816DE1">
                    <w:rPr>
                      <w:rFonts w:ascii="Arial" w:eastAsia="Times New Roman" w:hAnsi="Arial" w:cs="Arial"/>
                      <w:sz w:val="20"/>
                      <w:szCs w:val="20"/>
                    </w:rPr>
                    <w:t xml:space="preserve"> approved by Council prior to the commencement of any preservation, maintenance, repair and restoration works.</w:t>
                  </w:r>
                </w:p>
              </w:tc>
            </w:tr>
          </w:tbl>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PO43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Demolition and removal </w:t>
            </w:r>
            <w:proofErr w:type="gramStart"/>
            <w:r w:rsidRPr="00816DE1">
              <w:rPr>
                <w:rFonts w:ascii="Arial" w:hAnsi="Arial" w:cs="Arial"/>
                <w:sz w:val="20"/>
                <w:szCs w:val="20"/>
              </w:rPr>
              <w:t>is</w:t>
            </w:r>
            <w:proofErr w:type="gramEnd"/>
            <w:r w:rsidRPr="00816DE1">
              <w:rPr>
                <w:rFonts w:ascii="Arial" w:hAnsi="Arial" w:cs="Arial"/>
                <w:sz w:val="20"/>
                <w:szCs w:val="20"/>
              </w:rPr>
              <w:t xml:space="preserve"> only considered where:</w:t>
            </w:r>
          </w:p>
          <w:p w:rsidR="00816DE1" w:rsidRPr="00816DE1" w:rsidRDefault="00816DE1" w:rsidP="0069586D">
            <w:pPr>
              <w:numPr>
                <w:ilvl w:val="0"/>
                <w:numId w:val="5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 report prepared by a suitably qualified conservation architect or conservation engineer demonstrates that the building is structurally unsound and is not reasonably capable of economic repair; or</w:t>
            </w:r>
          </w:p>
          <w:p w:rsidR="00816DE1" w:rsidRPr="00816DE1" w:rsidRDefault="00816DE1" w:rsidP="0069586D">
            <w:pPr>
              <w:numPr>
                <w:ilvl w:val="0"/>
                <w:numId w:val="5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demolition is confined to the removal of outbuildings, extensions and alterations that are not part of the original structure; or</w:t>
            </w:r>
          </w:p>
          <w:p w:rsidR="00816DE1" w:rsidRPr="00816DE1" w:rsidRDefault="00816DE1" w:rsidP="0069586D">
            <w:pPr>
              <w:numPr>
                <w:ilvl w:val="0"/>
                <w:numId w:val="5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limited demolition is performed in the course of repairs, maintenance or restoration; or</w:t>
            </w:r>
          </w:p>
          <w:p w:rsidR="00816DE1" w:rsidRPr="00816DE1" w:rsidRDefault="00816DE1" w:rsidP="0069586D">
            <w:pPr>
              <w:numPr>
                <w:ilvl w:val="0"/>
                <w:numId w:val="5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demolition is performed following a catastrophic event which substantially destroys the building or object.</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PO44</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PO45</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Development does not adversely impact upon the health and vitality of significant trees. Where development occurs in proximity to a significant </w:t>
            </w:r>
            <w:r w:rsidRPr="00816DE1">
              <w:rPr>
                <w:rFonts w:ascii="Arial" w:hAnsi="Arial" w:cs="Arial"/>
                <w:sz w:val="20"/>
                <w:szCs w:val="20"/>
              </w:rPr>
              <w:lastRenderedPageBreak/>
              <w:t>tree, construction measures and techniques as detailed in AS 4970-2009 Protection of trees on development sites are adopted to ensure a significant tree's health, wellbeing and vitality.</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E45</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does:</w:t>
            </w:r>
          </w:p>
          <w:p w:rsidR="00816DE1" w:rsidRPr="00816DE1" w:rsidRDefault="00816DE1" w:rsidP="0069586D">
            <w:pPr>
              <w:numPr>
                <w:ilvl w:val="0"/>
                <w:numId w:val="5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lastRenderedPageBreak/>
              <w:t>not result in the removal of a significant tree;</w:t>
            </w:r>
          </w:p>
          <w:p w:rsidR="00816DE1" w:rsidRPr="00816DE1" w:rsidRDefault="00816DE1" w:rsidP="0069586D">
            <w:pPr>
              <w:numPr>
                <w:ilvl w:val="0"/>
                <w:numId w:val="5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not occur within 20m of a protected tree;</w:t>
            </w:r>
          </w:p>
          <w:p w:rsidR="00816DE1" w:rsidRPr="00816DE1" w:rsidRDefault="00816DE1" w:rsidP="0069586D">
            <w:pPr>
              <w:numPr>
                <w:ilvl w:val="0"/>
                <w:numId w:val="5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involve pruning of a tree in accordance with Australian Standard AS 4373-2007 – Pruning of Amenity Trees.</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257BD" w:rsidRPr="00816DE1" w:rsidRDefault="00E257BD" w:rsidP="00E257BD">
            <w:pPr>
              <w:pStyle w:val="NormalWeb"/>
              <w:rPr>
                <w:rFonts w:ascii="Arial" w:hAnsi="Arial" w:cs="Arial"/>
                <w:sz w:val="20"/>
                <w:szCs w:val="20"/>
              </w:rPr>
            </w:pPr>
            <w:r w:rsidRPr="00816DE1">
              <w:rPr>
                <w:rStyle w:val="Strong"/>
                <w:rFonts w:ascii="Arial" w:hAnsi="Arial" w:cs="Arial"/>
                <w:sz w:val="20"/>
                <w:szCs w:val="20"/>
              </w:rPr>
              <w:t>Infrastructure buffers (refer Overlay map - Infrastructure buffers to determine if the following assessment criteria apply)</w:t>
            </w:r>
          </w:p>
          <w:p w:rsidR="00E257BD" w:rsidRPr="00816DE1" w:rsidRDefault="00E257BD" w:rsidP="00E257BD">
            <w:pPr>
              <w:pStyle w:val="NormalWeb"/>
              <w:rPr>
                <w:rStyle w:val="Strong"/>
                <w:rFonts w:ascii="Arial" w:hAnsi="Arial" w:cs="Arial"/>
                <w:sz w:val="20"/>
                <w:szCs w:val="20"/>
              </w:rPr>
            </w:pPr>
          </w:p>
        </w:tc>
      </w:tr>
      <w:tr w:rsidR="00E257BD" w:rsidRPr="00816DE1" w:rsidTr="003D5BCB">
        <w:trPr>
          <w:trHeight w:val="5036"/>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PO46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Odour sensitive development is separated from Wastewater treatment </w:t>
            </w:r>
            <w:proofErr w:type="gramStart"/>
            <w:r w:rsidRPr="00816DE1">
              <w:rPr>
                <w:rFonts w:ascii="Arial" w:hAnsi="Arial" w:cs="Arial"/>
                <w:sz w:val="20"/>
                <w:szCs w:val="20"/>
              </w:rPr>
              <w:t>plants</w:t>
            </w:r>
            <w:proofErr w:type="gramEnd"/>
            <w:r w:rsidRPr="00816DE1">
              <w:rPr>
                <w:rFonts w:ascii="Arial" w:hAnsi="Arial" w:cs="Arial"/>
                <w:sz w:val="20"/>
                <w:szCs w:val="20"/>
              </w:rPr>
              <w:t xml:space="preserve"> so they are not adversely affected by odour emission or other air pollutant impacts.</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E46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following uses are not located within a wastewater treatment site buffer:</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Caretaker’s accommodation</w:t>
            </w:r>
            <w:r w:rsidRPr="00816DE1">
              <w:rPr>
                <w:rFonts w:ascii="Arial" w:eastAsia="Times New Roman" w:hAnsi="Arial" w:cs="Arial"/>
                <w:sz w:val="20"/>
                <w:szCs w:val="20"/>
                <w:vertAlign w:val="superscript"/>
              </w:rPr>
              <w:t>(</w:t>
            </w:r>
            <w:hyperlink r:id="rId81" w:anchor="target-d768251e570643" w:tooltip="Caretaker’s accommodation - A dwelling provided for a caretaker of a non-residential use on the same premises." w:history="1">
              <w:r w:rsidRPr="00816DE1">
                <w:rPr>
                  <w:rStyle w:val="Hyperlink"/>
                  <w:rFonts w:ascii="Arial" w:eastAsia="Times New Roman" w:hAnsi="Arial" w:cs="Arial"/>
                  <w:sz w:val="20"/>
                  <w:szCs w:val="20"/>
                  <w:vertAlign w:val="superscript"/>
                </w:rPr>
                <w:t>10</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Community residence</w:t>
            </w:r>
            <w:r w:rsidRPr="00816DE1">
              <w:rPr>
                <w:rFonts w:ascii="Arial" w:eastAsia="Times New Roman" w:hAnsi="Arial" w:cs="Arial"/>
                <w:sz w:val="20"/>
                <w:szCs w:val="20"/>
                <w:vertAlign w:val="superscript"/>
              </w:rPr>
              <w:t>(</w:t>
            </w:r>
            <w:hyperlink r:id="rId82"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816DE1">
                <w:rPr>
                  <w:rStyle w:val="Hyperlink"/>
                  <w:rFonts w:ascii="Arial" w:eastAsia="Times New Roman" w:hAnsi="Arial" w:cs="Arial"/>
                  <w:sz w:val="20"/>
                  <w:szCs w:val="20"/>
                  <w:vertAlign w:val="superscript"/>
                </w:rPr>
                <w:t>16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Dual occupancy</w:t>
            </w:r>
            <w:r w:rsidRPr="00816DE1">
              <w:rPr>
                <w:rFonts w:ascii="Arial" w:eastAsia="Times New Roman" w:hAnsi="Arial" w:cs="Arial"/>
                <w:sz w:val="20"/>
                <w:szCs w:val="20"/>
                <w:vertAlign w:val="superscript"/>
              </w:rPr>
              <w:t>(</w:t>
            </w:r>
            <w:hyperlink r:id="rId83"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816DE1">
                <w:rPr>
                  <w:rStyle w:val="Hyperlink"/>
                  <w:rFonts w:ascii="Arial" w:eastAsia="Times New Roman" w:hAnsi="Arial" w:cs="Arial"/>
                  <w:sz w:val="20"/>
                  <w:szCs w:val="20"/>
                  <w:vertAlign w:val="superscript"/>
                </w:rPr>
                <w:t>21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Dwelling house</w:t>
            </w:r>
            <w:r w:rsidRPr="00816DE1">
              <w:rPr>
                <w:rFonts w:ascii="Arial" w:eastAsia="Times New Roman" w:hAnsi="Arial" w:cs="Arial"/>
                <w:sz w:val="20"/>
                <w:szCs w:val="20"/>
                <w:vertAlign w:val="superscript"/>
              </w:rPr>
              <w:t>(</w:t>
            </w:r>
            <w:hyperlink r:id="rId84"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eastAsia="Times New Roman" w:hAnsi="Arial" w:cs="Arial"/>
                  <w:sz w:val="20"/>
                  <w:szCs w:val="20"/>
                  <w:vertAlign w:val="superscript"/>
                </w:rPr>
                <w:t>22</w:t>
              </w:r>
            </w:hyperlink>
            <w:r w:rsidRPr="00816DE1">
              <w:rPr>
                <w:rFonts w:ascii="Arial" w:eastAsia="Times New Roman" w:hAnsi="Arial" w:cs="Arial"/>
                <w:sz w:val="20"/>
                <w:szCs w:val="20"/>
                <w:vertAlign w:val="superscript"/>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Dwelling unit</w:t>
            </w:r>
            <w:r w:rsidRPr="00816DE1">
              <w:rPr>
                <w:rFonts w:ascii="Arial" w:eastAsia="Times New Roman" w:hAnsi="Arial" w:cs="Arial"/>
                <w:sz w:val="20"/>
                <w:szCs w:val="20"/>
                <w:vertAlign w:val="superscript"/>
              </w:rPr>
              <w:t>(</w:t>
            </w:r>
            <w:hyperlink r:id="rId85" w:anchor="target-d768251e570919" w:tooltip="Dwelling unit - A single dwelling within a premises containing non residential use(s)." w:history="1">
              <w:r w:rsidRPr="00816DE1">
                <w:rPr>
                  <w:rStyle w:val="Hyperlink"/>
                  <w:rFonts w:ascii="Arial" w:eastAsia="Times New Roman" w:hAnsi="Arial" w:cs="Arial"/>
                  <w:sz w:val="20"/>
                  <w:szCs w:val="20"/>
                  <w:vertAlign w:val="superscript"/>
                </w:rPr>
                <w:t>23</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Hospital</w:t>
            </w:r>
            <w:r w:rsidRPr="00816DE1">
              <w:rPr>
                <w:rFonts w:ascii="Arial" w:eastAsia="Times New Roman" w:hAnsi="Arial" w:cs="Arial"/>
                <w:sz w:val="20"/>
                <w:szCs w:val="20"/>
                <w:vertAlign w:val="superscript"/>
              </w:rPr>
              <w:t>(</w:t>
            </w:r>
            <w:hyperlink r:id="rId86"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816DE1">
                <w:rPr>
                  <w:rStyle w:val="Hyperlink"/>
                  <w:rFonts w:ascii="Arial" w:eastAsia="Times New Roman" w:hAnsi="Arial" w:cs="Arial"/>
                  <w:sz w:val="20"/>
                  <w:szCs w:val="20"/>
                  <w:vertAlign w:val="superscript"/>
                </w:rPr>
                <w:t>36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Rooming accommodation</w:t>
            </w:r>
            <w:r w:rsidRPr="00816DE1">
              <w:rPr>
                <w:rFonts w:ascii="Arial" w:eastAsia="Times New Roman" w:hAnsi="Arial" w:cs="Arial"/>
                <w:sz w:val="20"/>
                <w:szCs w:val="20"/>
                <w:vertAlign w:val="superscript"/>
              </w:rPr>
              <w:t>(</w:t>
            </w:r>
            <w:hyperlink r:id="rId87" w:anchor="target-d768251e572066" w:tooltip="Rooming accommodation - Premises used for the accommodation of more than one household where each resident:" w:history="1">
              <w:r w:rsidRPr="00816DE1">
                <w:rPr>
                  <w:rStyle w:val="Hyperlink"/>
                  <w:rFonts w:ascii="Arial" w:eastAsia="Times New Roman" w:hAnsi="Arial" w:cs="Arial"/>
                  <w:sz w:val="20"/>
                  <w:szCs w:val="20"/>
                  <w:vertAlign w:val="superscript"/>
                </w:rPr>
                <w:t>69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Multiple dwelling</w:t>
            </w:r>
            <w:r w:rsidRPr="00816DE1">
              <w:rPr>
                <w:rFonts w:ascii="Arial" w:eastAsia="Times New Roman" w:hAnsi="Arial" w:cs="Arial"/>
                <w:sz w:val="20"/>
                <w:szCs w:val="20"/>
                <w:vertAlign w:val="superscript"/>
              </w:rPr>
              <w:t>(</w:t>
            </w:r>
            <w:hyperlink r:id="rId88" w:anchor="target-d768251e571524" w:tooltip="Multiple dwelling - Premises containing three or more dwellings for separate households." w:history="1">
              <w:r w:rsidRPr="00816DE1">
                <w:rPr>
                  <w:rStyle w:val="Hyperlink"/>
                  <w:rFonts w:ascii="Arial" w:eastAsia="Times New Roman" w:hAnsi="Arial" w:cs="Arial"/>
                  <w:sz w:val="20"/>
                  <w:szCs w:val="20"/>
                  <w:vertAlign w:val="superscript"/>
                </w:rPr>
                <w:t>49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Non-resident workforce accommodation</w:t>
            </w:r>
            <w:r w:rsidRPr="00816DE1">
              <w:rPr>
                <w:rFonts w:ascii="Arial" w:eastAsia="Times New Roman" w:hAnsi="Arial" w:cs="Arial"/>
                <w:sz w:val="20"/>
                <w:szCs w:val="20"/>
                <w:vertAlign w:val="superscript"/>
              </w:rPr>
              <w:t>(</w:t>
            </w:r>
            <w:hyperlink r:id="rId89"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816DE1">
                <w:rPr>
                  <w:rStyle w:val="Hyperlink"/>
                  <w:rFonts w:ascii="Arial" w:eastAsia="Times New Roman" w:hAnsi="Arial" w:cs="Arial"/>
                  <w:sz w:val="20"/>
                  <w:szCs w:val="20"/>
                  <w:vertAlign w:val="superscript"/>
                </w:rPr>
                <w:t>52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Relocatable home park</w:t>
            </w:r>
            <w:r w:rsidRPr="00816DE1">
              <w:rPr>
                <w:rFonts w:ascii="Arial" w:eastAsia="Times New Roman" w:hAnsi="Arial" w:cs="Arial"/>
                <w:sz w:val="20"/>
                <w:szCs w:val="20"/>
                <w:vertAlign w:val="superscript"/>
              </w:rPr>
              <w:t>(</w:t>
            </w:r>
            <w:hyperlink r:id="rId90"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816DE1">
                <w:rPr>
                  <w:rStyle w:val="Hyperlink"/>
                  <w:rFonts w:ascii="Arial" w:eastAsia="Times New Roman" w:hAnsi="Arial" w:cs="Arial"/>
                  <w:sz w:val="20"/>
                  <w:szCs w:val="20"/>
                  <w:vertAlign w:val="superscript"/>
                </w:rPr>
                <w:t>62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Residential care facility</w:t>
            </w:r>
            <w:r w:rsidRPr="00816DE1">
              <w:rPr>
                <w:rFonts w:ascii="Arial" w:eastAsia="Times New Roman" w:hAnsi="Arial" w:cs="Arial"/>
                <w:sz w:val="20"/>
                <w:szCs w:val="20"/>
                <w:vertAlign w:val="superscript"/>
              </w:rPr>
              <w:t>(</w:t>
            </w:r>
            <w:hyperlink r:id="rId91"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816DE1">
                <w:rPr>
                  <w:rStyle w:val="Hyperlink"/>
                  <w:rFonts w:ascii="Arial" w:eastAsia="Times New Roman" w:hAnsi="Arial" w:cs="Arial"/>
                  <w:sz w:val="20"/>
                  <w:szCs w:val="20"/>
                  <w:vertAlign w:val="superscript"/>
                </w:rPr>
                <w:t>65</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Resort complex</w:t>
            </w:r>
            <w:r w:rsidRPr="00816DE1">
              <w:rPr>
                <w:rFonts w:ascii="Arial" w:eastAsia="Times New Roman" w:hAnsi="Arial" w:cs="Arial"/>
                <w:sz w:val="20"/>
                <w:szCs w:val="20"/>
                <w:vertAlign w:val="superscript"/>
              </w:rPr>
              <w:t>(</w:t>
            </w:r>
            <w:hyperlink r:id="rId92" w:anchor="target-d768251e571954" w:tooltip="Resort complex - Premises used for tourist and visitor short-term accommodation that include integrated leisure facilities including:" w:history="1">
              <w:r w:rsidRPr="00816DE1">
                <w:rPr>
                  <w:rStyle w:val="Hyperlink"/>
                  <w:rFonts w:ascii="Arial" w:eastAsia="Times New Roman" w:hAnsi="Arial" w:cs="Arial"/>
                  <w:sz w:val="20"/>
                  <w:szCs w:val="20"/>
                  <w:vertAlign w:val="superscript"/>
                </w:rPr>
                <w:t>66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Retirement facility</w:t>
            </w:r>
            <w:r w:rsidRPr="00816DE1">
              <w:rPr>
                <w:rFonts w:ascii="Arial" w:eastAsia="Times New Roman" w:hAnsi="Arial" w:cs="Arial"/>
                <w:sz w:val="20"/>
                <w:szCs w:val="20"/>
                <w:vertAlign w:val="superscript"/>
              </w:rPr>
              <w:t>(</w:t>
            </w:r>
            <w:hyperlink r:id="rId93"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816DE1">
                <w:rPr>
                  <w:rStyle w:val="Hyperlink"/>
                  <w:rFonts w:ascii="Arial" w:eastAsia="Times New Roman" w:hAnsi="Arial" w:cs="Arial"/>
                  <w:sz w:val="20"/>
                  <w:szCs w:val="20"/>
                  <w:vertAlign w:val="superscript"/>
                </w:rPr>
                <w:t>67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Rural workers’ accommodation</w:t>
            </w:r>
            <w:r w:rsidRPr="00816DE1">
              <w:rPr>
                <w:rFonts w:ascii="Arial" w:eastAsia="Times New Roman" w:hAnsi="Arial" w:cs="Arial"/>
                <w:sz w:val="20"/>
                <w:szCs w:val="20"/>
                <w:vertAlign w:val="superscript"/>
              </w:rPr>
              <w:t>(</w:t>
            </w:r>
            <w:hyperlink r:id="rId94"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816DE1">
                <w:rPr>
                  <w:rStyle w:val="Hyperlink"/>
                  <w:rFonts w:ascii="Arial" w:eastAsia="Times New Roman" w:hAnsi="Arial" w:cs="Arial"/>
                  <w:sz w:val="20"/>
                  <w:szCs w:val="20"/>
                  <w:vertAlign w:val="superscript"/>
                </w:rPr>
                <w:t>71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Short-term accommodation</w:t>
            </w:r>
            <w:r w:rsidRPr="00816DE1">
              <w:rPr>
                <w:rFonts w:ascii="Arial" w:eastAsia="Times New Roman" w:hAnsi="Arial" w:cs="Arial"/>
                <w:sz w:val="20"/>
                <w:szCs w:val="20"/>
                <w:vertAlign w:val="superscript"/>
              </w:rPr>
              <w:t>(</w:t>
            </w:r>
            <w:hyperlink r:id="rId95"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16DE1">
                <w:rPr>
                  <w:rStyle w:val="Hyperlink"/>
                  <w:rFonts w:ascii="Arial" w:eastAsia="Times New Roman" w:hAnsi="Arial" w:cs="Arial"/>
                  <w:sz w:val="20"/>
                  <w:szCs w:val="20"/>
                  <w:vertAlign w:val="superscript"/>
                </w:rPr>
                <w:t>77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Tourist park</w:t>
            </w:r>
            <w:r w:rsidRPr="00816DE1">
              <w:rPr>
                <w:rFonts w:ascii="Arial" w:eastAsia="Times New Roman" w:hAnsi="Arial" w:cs="Arial"/>
                <w:sz w:val="20"/>
                <w:szCs w:val="20"/>
                <w:vertAlign w:val="superscript"/>
              </w:rPr>
              <w:t>(</w:t>
            </w:r>
            <w:hyperlink r:id="rId96"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16DE1">
                <w:rPr>
                  <w:rStyle w:val="Hyperlink"/>
                  <w:rFonts w:ascii="Arial" w:eastAsia="Times New Roman" w:hAnsi="Arial" w:cs="Arial"/>
                  <w:sz w:val="20"/>
                  <w:szCs w:val="20"/>
                  <w:vertAlign w:val="superscript"/>
                </w:rPr>
                <w:t>84</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PO47</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Development within a Bulk water supply infrastructure buffer is located, designed and constructed to:</w:t>
            </w:r>
          </w:p>
          <w:p w:rsidR="00816DE1" w:rsidRPr="00816DE1" w:rsidRDefault="00816DE1" w:rsidP="0069586D">
            <w:pPr>
              <w:numPr>
                <w:ilvl w:val="0"/>
                <w:numId w:val="6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protect the integrity of the water supply pipeline;</w:t>
            </w:r>
          </w:p>
          <w:p w:rsidR="00816DE1" w:rsidRPr="00816DE1" w:rsidRDefault="00816DE1" w:rsidP="0069586D">
            <w:pPr>
              <w:numPr>
                <w:ilvl w:val="0"/>
                <w:numId w:val="6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maintain adequate access for any required maintenance or upgrading work to the water supply pipeline;</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E47</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w:t>
            </w:r>
          </w:p>
          <w:p w:rsidR="00816DE1" w:rsidRPr="00816DE1" w:rsidRDefault="00816DE1" w:rsidP="0069586D">
            <w:pPr>
              <w:numPr>
                <w:ilvl w:val="0"/>
                <w:numId w:val="6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lastRenderedPageBreak/>
              <w:t>does not involve the construction of any buildings or structures within a Bulk water supply infrastructure buffer;</w:t>
            </w:r>
          </w:p>
          <w:p w:rsidR="00816DE1" w:rsidRPr="00816DE1" w:rsidRDefault="00816DE1" w:rsidP="0069586D">
            <w:pPr>
              <w:numPr>
                <w:ilvl w:val="0"/>
                <w:numId w:val="6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involving a major hazard facility or environmentally relevant activity (ERA) is setback 30m from a Bulk water supply infrastructure buffer.</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PO48</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is located and designed to maintain required access to Bulk water supply infrastructure.</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E48</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does not restrict access to Bulk water supply infrastructure of any type or size, having regard to (among other things):</w:t>
            </w:r>
          </w:p>
          <w:p w:rsidR="00816DE1" w:rsidRPr="00816DE1" w:rsidRDefault="00816DE1" w:rsidP="0069586D">
            <w:pPr>
              <w:numPr>
                <w:ilvl w:val="0"/>
                <w:numId w:val="6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buildings or structures;</w:t>
            </w:r>
          </w:p>
          <w:p w:rsidR="00816DE1" w:rsidRPr="00816DE1" w:rsidRDefault="00816DE1" w:rsidP="0069586D">
            <w:pPr>
              <w:numPr>
                <w:ilvl w:val="0"/>
                <w:numId w:val="6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gates and fences;</w:t>
            </w:r>
          </w:p>
          <w:p w:rsidR="00816DE1" w:rsidRPr="00816DE1" w:rsidRDefault="00816DE1" w:rsidP="0069586D">
            <w:pPr>
              <w:numPr>
                <w:ilvl w:val="0"/>
                <w:numId w:val="6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storage of equipment or materials;</w:t>
            </w:r>
          </w:p>
          <w:p w:rsidR="00816DE1" w:rsidRPr="00816DE1" w:rsidRDefault="00816DE1" w:rsidP="0069586D">
            <w:pPr>
              <w:numPr>
                <w:ilvl w:val="0"/>
                <w:numId w:val="6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landscaping or earthworks or stormwater or other infrastructure.</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PO49</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within the Gas pipeline buffer:</w:t>
            </w:r>
          </w:p>
          <w:p w:rsidR="00816DE1" w:rsidRPr="00816DE1" w:rsidRDefault="00816DE1" w:rsidP="0069586D">
            <w:pPr>
              <w:numPr>
                <w:ilvl w:val="0"/>
                <w:numId w:val="6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avoids attracting people in large numbers to live, work or congregate;</w:t>
            </w:r>
          </w:p>
          <w:p w:rsidR="00816DE1" w:rsidRPr="00816DE1" w:rsidRDefault="00816DE1" w:rsidP="0069586D">
            <w:pPr>
              <w:numPr>
                <w:ilvl w:val="0"/>
                <w:numId w:val="6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avoids the storage of hazardous chemicals;</w:t>
            </w:r>
          </w:p>
          <w:p w:rsidR="00816DE1" w:rsidRPr="00816DE1" w:rsidRDefault="00816DE1" w:rsidP="0069586D">
            <w:pPr>
              <w:numPr>
                <w:ilvl w:val="0"/>
                <w:numId w:val="6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maintains adequate access for any required maintenance or upgrading work;</w:t>
            </w:r>
          </w:p>
          <w:p w:rsidR="00816DE1" w:rsidRPr="00816DE1" w:rsidRDefault="00816DE1" w:rsidP="0069586D">
            <w:pPr>
              <w:numPr>
                <w:ilvl w:val="0"/>
                <w:numId w:val="6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minimises risk of harm to people and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816DE1" w:rsidTr="00816DE1">
              <w:trPr>
                <w:trHeight w:val="390"/>
                <w:tblCellSpacing w:w="15" w:type="dxa"/>
              </w:trPr>
              <w:tc>
                <w:tcPr>
                  <w:tcW w:w="8572" w:type="dxa"/>
                  <w:vAlign w:val="center"/>
                  <w:hideMark/>
                </w:tcPr>
                <w:p w:rsidR="00816DE1" w:rsidRPr="00816DE1" w:rsidRDefault="00816DE1" w:rsidP="00E257BD">
                  <w:pPr>
                    <w:rPr>
                      <w:rFonts w:ascii="Arial" w:eastAsia="Times New Roman" w:hAnsi="Arial" w:cs="Arial"/>
                      <w:sz w:val="20"/>
                      <w:szCs w:val="20"/>
                    </w:rPr>
                  </w:pPr>
                  <w:r w:rsidRPr="00C64A89">
                    <w:rPr>
                      <w:rFonts w:ascii="Arial" w:eastAsia="Times New Roman" w:hAnsi="Arial" w:cs="Arial"/>
                      <w:sz w:val="18"/>
                      <w:szCs w:val="20"/>
                    </w:rPr>
                    <w:t xml:space="preserve">Editor's note - The </w:t>
                  </w:r>
                  <w:r w:rsidRPr="00C64A89">
                    <w:rPr>
                      <w:rStyle w:val="Emphasis"/>
                      <w:rFonts w:ascii="Arial" w:eastAsia="Times New Roman" w:hAnsi="Arial" w:cs="Arial"/>
                      <w:sz w:val="18"/>
                      <w:szCs w:val="20"/>
                    </w:rPr>
                    <w:t>Petroleum and Gas (Production and Safety) Act 2004</w:t>
                  </w:r>
                  <w:r w:rsidRPr="00C64A89">
                    <w:rPr>
                      <w:rFonts w:ascii="Arial" w:eastAsia="Times New Roman" w:hAnsi="Arial" w:cs="Arial"/>
                      <w:sz w:val="18"/>
                      <w:szCs w:val="20"/>
                    </w:rPr>
                    <w:t xml:space="preserve"> (sections 807 and 808) requires that building or changes in surface level on pipeline land must not occur unless all the pipeline licence </w:t>
                  </w:r>
                  <w:proofErr w:type="gramStart"/>
                  <w:r w:rsidRPr="00C64A89">
                    <w:rPr>
                      <w:rFonts w:ascii="Arial" w:eastAsia="Times New Roman" w:hAnsi="Arial" w:cs="Arial"/>
                      <w:sz w:val="18"/>
                      <w:szCs w:val="20"/>
                    </w:rPr>
                    <w:t>holders</w:t>
                  </w:r>
                  <w:proofErr w:type="gramEnd"/>
                  <w:r w:rsidRPr="00C64A89">
                    <w:rPr>
                      <w:rFonts w:ascii="Arial" w:eastAsia="Times New Roman" w:hAnsi="Arial" w:cs="Arial"/>
                      <w:sz w:val="18"/>
                      <w:szCs w:val="20"/>
                    </w:rPr>
                    <w:t xml:space="preserve"> consent</w:t>
                  </w:r>
                  <w:r w:rsidRPr="00816DE1">
                    <w:rPr>
                      <w:rFonts w:ascii="Arial" w:eastAsia="Times New Roman" w:hAnsi="Arial" w:cs="Arial"/>
                      <w:sz w:val="20"/>
                      <w:szCs w:val="20"/>
                    </w:rPr>
                    <w:t>.</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E49</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does not involve the construction of any buildings or structures within the Gas pipeline buffer.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816DE1" w:rsidRPr="00816DE1" w:rsidTr="00816DE1">
              <w:trPr>
                <w:tblCellSpacing w:w="15" w:type="dxa"/>
              </w:trPr>
              <w:tc>
                <w:tcPr>
                  <w:tcW w:w="6192" w:type="dxa"/>
                  <w:vAlign w:val="center"/>
                  <w:hideMark/>
                </w:tcPr>
                <w:p w:rsidR="00816DE1" w:rsidRPr="00816DE1" w:rsidRDefault="00816DE1" w:rsidP="00E257BD">
                  <w:pPr>
                    <w:rPr>
                      <w:rFonts w:ascii="Arial" w:eastAsia="Times New Roman" w:hAnsi="Arial" w:cs="Arial"/>
                      <w:sz w:val="20"/>
                      <w:szCs w:val="20"/>
                    </w:rPr>
                  </w:pPr>
                  <w:r w:rsidRPr="00C64A89">
                    <w:rPr>
                      <w:rFonts w:ascii="Arial" w:eastAsia="Times New Roman" w:hAnsi="Arial" w:cs="Arial"/>
                      <w:sz w:val="18"/>
                      <w:szCs w:val="20"/>
                    </w:rPr>
                    <w:t xml:space="preserve">Editor's note - The </w:t>
                  </w:r>
                  <w:r w:rsidRPr="00C64A89">
                    <w:rPr>
                      <w:rStyle w:val="Emphasis"/>
                      <w:rFonts w:ascii="Arial" w:eastAsia="Times New Roman" w:hAnsi="Arial" w:cs="Arial"/>
                      <w:sz w:val="18"/>
                      <w:szCs w:val="20"/>
                    </w:rPr>
                    <w:t>Petroleum and Gas (Production and Safety) Act 2004</w:t>
                  </w:r>
                  <w:r w:rsidRPr="00C64A89">
                    <w:rPr>
                      <w:rFonts w:ascii="Arial" w:eastAsia="Times New Roman" w:hAnsi="Arial" w:cs="Arial"/>
                      <w:sz w:val="18"/>
                      <w:szCs w:val="20"/>
                    </w:rPr>
                    <w:t xml:space="preserve"> (sections 807 and 808) requires that building or changes in surface level on pipeline land must not occur unless all the pipeline licence </w:t>
                  </w:r>
                  <w:proofErr w:type="gramStart"/>
                  <w:r w:rsidRPr="00C64A89">
                    <w:rPr>
                      <w:rFonts w:ascii="Arial" w:eastAsia="Times New Roman" w:hAnsi="Arial" w:cs="Arial"/>
                      <w:sz w:val="18"/>
                      <w:szCs w:val="20"/>
                    </w:rPr>
                    <w:t>holders</w:t>
                  </w:r>
                  <w:proofErr w:type="gramEnd"/>
                  <w:r w:rsidRPr="00C64A89">
                    <w:rPr>
                      <w:rFonts w:ascii="Arial" w:eastAsia="Times New Roman" w:hAnsi="Arial" w:cs="Arial"/>
                      <w:sz w:val="18"/>
                      <w:szCs w:val="20"/>
                    </w:rPr>
                    <w:t xml:space="preserve"> consent</w:t>
                  </w:r>
                  <w:r w:rsidRPr="00816DE1">
                    <w:rPr>
                      <w:rFonts w:ascii="Arial" w:eastAsia="Times New Roman" w:hAnsi="Arial" w:cs="Arial"/>
                      <w:sz w:val="20"/>
                      <w:szCs w:val="20"/>
                    </w:rPr>
                    <w:t>.</w:t>
                  </w:r>
                </w:p>
              </w:tc>
            </w:tr>
          </w:tbl>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PO50</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Odour sensitive development is separated from landfill </w:t>
            </w:r>
            <w:proofErr w:type="gramStart"/>
            <w:r w:rsidRPr="00816DE1">
              <w:rPr>
                <w:rFonts w:ascii="Arial" w:hAnsi="Arial" w:cs="Arial"/>
                <w:sz w:val="20"/>
                <w:szCs w:val="20"/>
              </w:rPr>
              <w:t>sites</w:t>
            </w:r>
            <w:proofErr w:type="gramEnd"/>
            <w:r w:rsidRPr="00816DE1">
              <w:rPr>
                <w:rFonts w:ascii="Arial" w:hAnsi="Arial" w:cs="Arial"/>
                <w:sz w:val="20"/>
                <w:szCs w:val="20"/>
              </w:rPr>
              <w:t xml:space="preserve"> so they are not adversely affected by odour emission or other air pollutant impacts.</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E50</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The following uses are not located within a Landfill buffer:</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Caretaker’s accommodation</w:t>
            </w:r>
            <w:r w:rsidRPr="00816DE1">
              <w:rPr>
                <w:rFonts w:ascii="Arial" w:eastAsia="Times New Roman" w:hAnsi="Arial" w:cs="Arial"/>
                <w:sz w:val="20"/>
                <w:szCs w:val="20"/>
                <w:vertAlign w:val="superscript"/>
              </w:rPr>
              <w:t>(</w:t>
            </w:r>
            <w:hyperlink r:id="rId97" w:anchor="target-d768251e570643" w:tooltip="Caretaker’s accommodation - A dwelling provided for a caretaker of a non-residential use on the same premises." w:history="1">
              <w:r w:rsidRPr="00816DE1">
                <w:rPr>
                  <w:rStyle w:val="Hyperlink"/>
                  <w:rFonts w:ascii="Arial" w:eastAsia="Times New Roman" w:hAnsi="Arial" w:cs="Arial"/>
                  <w:sz w:val="20"/>
                  <w:szCs w:val="20"/>
                  <w:vertAlign w:val="superscript"/>
                </w:rPr>
                <w:t>10</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Community residence</w:t>
            </w:r>
            <w:r w:rsidRPr="00816DE1">
              <w:rPr>
                <w:rFonts w:ascii="Arial" w:eastAsia="Times New Roman" w:hAnsi="Arial" w:cs="Arial"/>
                <w:sz w:val="20"/>
                <w:szCs w:val="20"/>
                <w:vertAlign w:val="superscript"/>
              </w:rPr>
              <w:t>(</w:t>
            </w:r>
            <w:hyperlink r:id="rId98"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816DE1">
                <w:rPr>
                  <w:rStyle w:val="Hyperlink"/>
                  <w:rFonts w:ascii="Arial" w:eastAsia="Times New Roman" w:hAnsi="Arial" w:cs="Arial"/>
                  <w:sz w:val="20"/>
                  <w:szCs w:val="20"/>
                  <w:vertAlign w:val="superscript"/>
                </w:rPr>
                <w:t>16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Dual occupancy</w:t>
            </w:r>
            <w:r w:rsidRPr="00816DE1">
              <w:rPr>
                <w:rFonts w:ascii="Arial" w:eastAsia="Times New Roman" w:hAnsi="Arial" w:cs="Arial"/>
                <w:sz w:val="20"/>
                <w:szCs w:val="20"/>
                <w:vertAlign w:val="superscript"/>
              </w:rPr>
              <w:t>(</w:t>
            </w:r>
            <w:hyperlink r:id="rId99"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816DE1">
                <w:rPr>
                  <w:rStyle w:val="Hyperlink"/>
                  <w:rFonts w:ascii="Arial" w:eastAsia="Times New Roman" w:hAnsi="Arial" w:cs="Arial"/>
                  <w:sz w:val="20"/>
                  <w:szCs w:val="20"/>
                  <w:vertAlign w:val="superscript"/>
                </w:rPr>
                <w:t>21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Dwelling house</w:t>
            </w:r>
            <w:r w:rsidRPr="00816DE1">
              <w:rPr>
                <w:rFonts w:ascii="Arial" w:eastAsia="Times New Roman" w:hAnsi="Arial" w:cs="Arial"/>
                <w:sz w:val="20"/>
                <w:szCs w:val="20"/>
                <w:vertAlign w:val="superscript"/>
              </w:rPr>
              <w:t>(</w:t>
            </w:r>
            <w:hyperlink r:id="rId10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816DE1">
                <w:rPr>
                  <w:rStyle w:val="Hyperlink"/>
                  <w:rFonts w:ascii="Arial" w:eastAsia="Times New Roman" w:hAnsi="Arial" w:cs="Arial"/>
                  <w:sz w:val="20"/>
                  <w:szCs w:val="20"/>
                  <w:vertAlign w:val="superscript"/>
                </w:rPr>
                <w:t>22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Dwelling unit</w:t>
            </w:r>
            <w:r w:rsidRPr="00816DE1">
              <w:rPr>
                <w:rFonts w:ascii="Arial" w:eastAsia="Times New Roman" w:hAnsi="Arial" w:cs="Arial"/>
                <w:sz w:val="20"/>
                <w:szCs w:val="20"/>
                <w:vertAlign w:val="superscript"/>
              </w:rPr>
              <w:t>(</w:t>
            </w:r>
            <w:hyperlink r:id="rId101" w:anchor="target-d768251e570919" w:tooltip="Dwelling unit - A single dwelling within a premises containing non residential use(s)." w:history="1">
              <w:r w:rsidRPr="00816DE1">
                <w:rPr>
                  <w:rStyle w:val="Hyperlink"/>
                  <w:rFonts w:ascii="Arial" w:eastAsia="Times New Roman" w:hAnsi="Arial" w:cs="Arial"/>
                  <w:sz w:val="20"/>
                  <w:szCs w:val="20"/>
                  <w:vertAlign w:val="superscript"/>
                </w:rPr>
                <w:t>23</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Hospital</w:t>
            </w:r>
            <w:r w:rsidRPr="00816DE1">
              <w:rPr>
                <w:rFonts w:ascii="Arial" w:eastAsia="Times New Roman" w:hAnsi="Arial" w:cs="Arial"/>
                <w:sz w:val="20"/>
                <w:szCs w:val="20"/>
                <w:vertAlign w:val="superscript"/>
              </w:rPr>
              <w:t>(</w:t>
            </w:r>
            <w:hyperlink r:id="rId102"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816DE1">
                <w:rPr>
                  <w:rStyle w:val="Hyperlink"/>
                  <w:rFonts w:ascii="Arial" w:eastAsia="Times New Roman" w:hAnsi="Arial" w:cs="Arial"/>
                  <w:sz w:val="20"/>
                  <w:szCs w:val="20"/>
                  <w:vertAlign w:val="superscript"/>
                </w:rPr>
                <w:t>36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Rooming accommodation</w:t>
            </w:r>
            <w:r w:rsidRPr="00816DE1">
              <w:rPr>
                <w:rFonts w:ascii="Arial" w:eastAsia="Times New Roman" w:hAnsi="Arial" w:cs="Arial"/>
                <w:sz w:val="20"/>
                <w:szCs w:val="20"/>
                <w:vertAlign w:val="superscript"/>
              </w:rPr>
              <w:t>(</w:t>
            </w:r>
            <w:hyperlink r:id="rId103" w:anchor="target-d768251e572066" w:tooltip="Rooming accommodation - Premises used for the accommodation of more than one household where each resident:" w:history="1">
              <w:r w:rsidRPr="00816DE1">
                <w:rPr>
                  <w:rStyle w:val="Hyperlink"/>
                  <w:rFonts w:ascii="Arial" w:eastAsia="Times New Roman" w:hAnsi="Arial" w:cs="Arial"/>
                  <w:sz w:val="20"/>
                  <w:szCs w:val="20"/>
                  <w:vertAlign w:val="superscript"/>
                </w:rPr>
                <w:t>69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Multiple dwelling</w:t>
            </w:r>
            <w:r w:rsidRPr="00816DE1">
              <w:rPr>
                <w:rFonts w:ascii="Arial" w:eastAsia="Times New Roman" w:hAnsi="Arial" w:cs="Arial"/>
                <w:sz w:val="20"/>
                <w:szCs w:val="20"/>
                <w:vertAlign w:val="superscript"/>
              </w:rPr>
              <w:t>(</w:t>
            </w:r>
            <w:hyperlink r:id="rId104" w:anchor="target-d768251e571524" w:tooltip="Multiple dwelling - Premises containing three or more dwellings for separate households." w:history="1">
              <w:r w:rsidRPr="00816DE1">
                <w:rPr>
                  <w:rStyle w:val="Hyperlink"/>
                  <w:rFonts w:ascii="Arial" w:eastAsia="Times New Roman" w:hAnsi="Arial" w:cs="Arial"/>
                  <w:sz w:val="20"/>
                  <w:szCs w:val="20"/>
                  <w:vertAlign w:val="superscript"/>
                </w:rPr>
                <w:t>49</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Non-resident workforce accommodation</w:t>
            </w:r>
            <w:r w:rsidRPr="00816DE1">
              <w:rPr>
                <w:rFonts w:ascii="Arial" w:eastAsia="Times New Roman" w:hAnsi="Arial" w:cs="Arial"/>
                <w:sz w:val="20"/>
                <w:szCs w:val="20"/>
                <w:vertAlign w:val="superscript"/>
              </w:rPr>
              <w:t>(</w:t>
            </w:r>
            <w:hyperlink r:id="rId105"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816DE1">
                <w:rPr>
                  <w:rStyle w:val="Hyperlink"/>
                  <w:rFonts w:ascii="Arial" w:eastAsia="Times New Roman" w:hAnsi="Arial" w:cs="Arial"/>
                  <w:sz w:val="20"/>
                  <w:szCs w:val="20"/>
                  <w:vertAlign w:val="superscript"/>
                </w:rPr>
                <w:t>52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Relocatable home park</w:t>
            </w:r>
            <w:r w:rsidRPr="00816DE1">
              <w:rPr>
                <w:rFonts w:ascii="Arial" w:eastAsia="Times New Roman" w:hAnsi="Arial" w:cs="Arial"/>
                <w:sz w:val="20"/>
                <w:szCs w:val="20"/>
                <w:vertAlign w:val="superscript"/>
              </w:rPr>
              <w:t>(</w:t>
            </w:r>
            <w:hyperlink r:id="rId106"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816DE1">
                <w:rPr>
                  <w:rStyle w:val="Hyperlink"/>
                  <w:rFonts w:ascii="Arial" w:eastAsia="Times New Roman" w:hAnsi="Arial" w:cs="Arial"/>
                  <w:sz w:val="20"/>
                  <w:szCs w:val="20"/>
                  <w:vertAlign w:val="superscript"/>
                </w:rPr>
                <w:t>62</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Residential care facility</w:t>
            </w:r>
            <w:r w:rsidRPr="00816DE1">
              <w:rPr>
                <w:rFonts w:ascii="Arial" w:eastAsia="Times New Roman" w:hAnsi="Arial" w:cs="Arial"/>
                <w:sz w:val="20"/>
                <w:szCs w:val="20"/>
                <w:vertAlign w:val="superscript"/>
              </w:rPr>
              <w:t>(</w:t>
            </w:r>
            <w:hyperlink r:id="rId107"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816DE1">
                <w:rPr>
                  <w:rStyle w:val="Hyperlink"/>
                  <w:rFonts w:ascii="Arial" w:eastAsia="Times New Roman" w:hAnsi="Arial" w:cs="Arial"/>
                  <w:sz w:val="20"/>
                  <w:szCs w:val="20"/>
                  <w:vertAlign w:val="superscript"/>
                </w:rPr>
                <w:t>65</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Resort complex</w:t>
            </w:r>
            <w:r w:rsidRPr="00816DE1">
              <w:rPr>
                <w:rFonts w:ascii="Arial" w:eastAsia="Times New Roman" w:hAnsi="Arial" w:cs="Arial"/>
                <w:sz w:val="20"/>
                <w:szCs w:val="20"/>
                <w:vertAlign w:val="superscript"/>
              </w:rPr>
              <w:t>(</w:t>
            </w:r>
            <w:hyperlink r:id="rId108" w:anchor="target-d768251e571954" w:tooltip="Resort complex - Premises used for tourist and visitor short-term accommodation that include integrated leisure facilities including:" w:history="1">
              <w:r w:rsidRPr="00816DE1">
                <w:rPr>
                  <w:rStyle w:val="Hyperlink"/>
                  <w:rFonts w:ascii="Arial" w:eastAsia="Times New Roman" w:hAnsi="Arial" w:cs="Arial"/>
                  <w:sz w:val="20"/>
                  <w:szCs w:val="20"/>
                  <w:vertAlign w:val="superscript"/>
                </w:rPr>
                <w:t>66</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Retirement facility</w:t>
            </w:r>
            <w:r w:rsidRPr="00816DE1">
              <w:rPr>
                <w:rFonts w:ascii="Arial" w:eastAsia="Times New Roman" w:hAnsi="Arial" w:cs="Arial"/>
                <w:sz w:val="20"/>
                <w:szCs w:val="20"/>
                <w:vertAlign w:val="superscript"/>
              </w:rPr>
              <w:t>(</w:t>
            </w:r>
            <w:hyperlink r:id="rId109"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816DE1">
                <w:rPr>
                  <w:rStyle w:val="Hyperlink"/>
                  <w:rFonts w:ascii="Arial" w:eastAsia="Times New Roman" w:hAnsi="Arial" w:cs="Arial"/>
                  <w:sz w:val="20"/>
                  <w:szCs w:val="20"/>
                  <w:vertAlign w:val="superscript"/>
                </w:rPr>
                <w:t>67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Rural workers’ accommodation</w:t>
            </w:r>
            <w:r w:rsidRPr="00816DE1">
              <w:rPr>
                <w:rFonts w:ascii="Arial" w:eastAsia="Times New Roman" w:hAnsi="Arial" w:cs="Arial"/>
                <w:sz w:val="20"/>
                <w:szCs w:val="20"/>
                <w:vertAlign w:val="superscript"/>
              </w:rPr>
              <w:t>(</w:t>
            </w:r>
            <w:hyperlink r:id="rId110"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816DE1">
                <w:rPr>
                  <w:rStyle w:val="Hyperlink"/>
                  <w:rFonts w:ascii="Arial" w:eastAsia="Times New Roman" w:hAnsi="Arial" w:cs="Arial"/>
                  <w:sz w:val="20"/>
                  <w:szCs w:val="20"/>
                  <w:vertAlign w:val="superscript"/>
                </w:rPr>
                <w:t>71</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Short-term accommodation</w:t>
            </w:r>
            <w:r w:rsidRPr="00816DE1">
              <w:rPr>
                <w:rFonts w:ascii="Arial" w:eastAsia="Times New Roman" w:hAnsi="Arial" w:cs="Arial"/>
                <w:sz w:val="20"/>
                <w:szCs w:val="20"/>
                <w:vertAlign w:val="superscript"/>
              </w:rPr>
              <w:t>(</w:t>
            </w:r>
            <w:hyperlink r:id="rId111"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16DE1">
                <w:rPr>
                  <w:rStyle w:val="Hyperlink"/>
                  <w:rFonts w:ascii="Arial" w:eastAsia="Times New Roman" w:hAnsi="Arial" w:cs="Arial"/>
                  <w:sz w:val="20"/>
                  <w:szCs w:val="20"/>
                  <w:vertAlign w:val="superscript"/>
                </w:rPr>
                <w:t>77</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p w:rsidR="00816DE1" w:rsidRPr="00816DE1" w:rsidRDefault="00816DE1" w:rsidP="0069586D">
            <w:pPr>
              <w:numPr>
                <w:ilvl w:val="0"/>
                <w:numId w:val="65"/>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Tourist park</w:t>
            </w:r>
            <w:r w:rsidRPr="00816DE1">
              <w:rPr>
                <w:rFonts w:ascii="Arial" w:eastAsia="Times New Roman" w:hAnsi="Arial" w:cs="Arial"/>
                <w:sz w:val="20"/>
                <w:szCs w:val="20"/>
                <w:vertAlign w:val="superscript"/>
              </w:rPr>
              <w:t>(</w:t>
            </w:r>
            <w:hyperlink r:id="rId112"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16DE1">
                <w:rPr>
                  <w:rStyle w:val="Hyperlink"/>
                  <w:rFonts w:ascii="Arial" w:eastAsia="Times New Roman" w:hAnsi="Arial" w:cs="Arial"/>
                  <w:sz w:val="20"/>
                  <w:szCs w:val="20"/>
                  <w:vertAlign w:val="superscript"/>
                </w:rPr>
                <w:t>84</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PO51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Habitable rooms within an Electricity supply substation buffer are located a sufficient distance from substations</w:t>
            </w:r>
            <w:r w:rsidRPr="00816DE1">
              <w:rPr>
                <w:rFonts w:ascii="Arial" w:hAnsi="Arial" w:cs="Arial"/>
                <w:sz w:val="20"/>
                <w:szCs w:val="20"/>
                <w:vertAlign w:val="superscript"/>
              </w:rPr>
              <w:t>(</w:t>
            </w:r>
            <w:hyperlink r:id="rId113" w:anchor="target-d768251e572400" w:tooltip="Substation - Premises forming part of a transmission grid or supply network under the Electricity Act 1994, and used for:" w:history="1">
              <w:r w:rsidRPr="00816DE1">
                <w:rPr>
                  <w:rStyle w:val="Hyperlink"/>
                  <w:rFonts w:ascii="Arial" w:hAnsi="Arial" w:cs="Arial"/>
                  <w:sz w:val="20"/>
                  <w:szCs w:val="20"/>
                  <w:vertAlign w:val="superscript"/>
                </w:rPr>
                <w:t>80</w:t>
              </w:r>
            </w:hyperlink>
            <w:r w:rsidRPr="00816DE1">
              <w:rPr>
                <w:rFonts w:ascii="Arial" w:hAnsi="Arial" w:cs="Arial"/>
                <w:sz w:val="20"/>
                <w:szCs w:val="20"/>
                <w:vertAlign w:val="superscript"/>
              </w:rPr>
              <w:t>)</w:t>
            </w:r>
            <w:r w:rsidRPr="00816DE1">
              <w:rPr>
                <w:rFonts w:ascii="Arial" w:hAnsi="Arial" w:cs="Arial"/>
                <w:sz w:val="20"/>
                <w:szCs w:val="20"/>
              </w:rPr>
              <w:t xml:space="preserve"> to avoid any potential adverse impacts on personal health and wellbeing from electromagnetic fields.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C64A89" w:rsidTr="00816DE1">
              <w:trPr>
                <w:tblCellSpacing w:w="15" w:type="dxa"/>
              </w:trPr>
              <w:tc>
                <w:tcPr>
                  <w:tcW w:w="8572" w:type="dxa"/>
                  <w:vAlign w:val="center"/>
                  <w:hideMark/>
                </w:tcPr>
                <w:p w:rsidR="00816DE1" w:rsidRPr="00C64A89" w:rsidRDefault="00816DE1" w:rsidP="00E257BD">
                  <w:pPr>
                    <w:rPr>
                      <w:rFonts w:ascii="Arial" w:eastAsia="Times New Roman" w:hAnsi="Arial" w:cs="Arial"/>
                      <w:sz w:val="18"/>
                      <w:szCs w:val="20"/>
                    </w:rPr>
                  </w:pPr>
                  <w:r w:rsidRPr="00C64A89">
                    <w:rPr>
                      <w:rFonts w:ascii="Arial" w:eastAsia="Times New Roman" w:hAnsi="Arial" w:cs="Arial"/>
                      <w:sz w:val="18"/>
                      <w:szCs w:val="20"/>
                    </w:rPr>
                    <w:t>Note - Habitable room is defined in the Building Code of Australia (Volume 1)</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E51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Habitable rooms:</w:t>
            </w:r>
          </w:p>
          <w:p w:rsidR="00816DE1" w:rsidRPr="00816DE1" w:rsidRDefault="00816DE1" w:rsidP="0069586D">
            <w:pPr>
              <w:numPr>
                <w:ilvl w:val="0"/>
                <w:numId w:val="6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are not located within an Electricity supply substation buffer; and</w:t>
            </w:r>
          </w:p>
          <w:p w:rsidR="00816DE1" w:rsidRPr="00816DE1" w:rsidRDefault="00816DE1" w:rsidP="0069586D">
            <w:pPr>
              <w:numPr>
                <w:ilvl w:val="0"/>
                <w:numId w:val="6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proposed on a site subject to an Electricity supply </w:t>
            </w:r>
            <w:proofErr w:type="spellStart"/>
            <w:r w:rsidRPr="00816DE1">
              <w:rPr>
                <w:rFonts w:ascii="Arial" w:eastAsia="Times New Roman" w:hAnsi="Arial" w:cs="Arial"/>
                <w:sz w:val="20"/>
                <w:szCs w:val="20"/>
              </w:rPr>
              <w:t>supply</w:t>
            </w:r>
            <w:proofErr w:type="spellEnd"/>
            <w:r w:rsidRPr="00816DE1">
              <w:rPr>
                <w:rFonts w:ascii="Arial" w:eastAsia="Times New Roman" w:hAnsi="Arial" w:cs="Arial"/>
                <w:sz w:val="20"/>
                <w:szCs w:val="20"/>
              </w:rPr>
              <w:t xml:space="preserve"> substation</w:t>
            </w:r>
            <w:r w:rsidRPr="00816DE1">
              <w:rPr>
                <w:rFonts w:ascii="Arial" w:eastAsia="Times New Roman" w:hAnsi="Arial" w:cs="Arial"/>
                <w:sz w:val="20"/>
                <w:szCs w:val="20"/>
                <w:vertAlign w:val="superscript"/>
              </w:rPr>
              <w:t>(</w:t>
            </w:r>
            <w:hyperlink r:id="rId114" w:anchor="target-d768251e572400" w:tooltip="Substation - Premises forming part of a transmission grid or supply network under the Electricity Act 1994, and used for:" w:history="1">
              <w:r w:rsidRPr="00816DE1">
                <w:rPr>
                  <w:rStyle w:val="Hyperlink"/>
                  <w:rFonts w:ascii="Arial" w:eastAsia="Times New Roman" w:hAnsi="Arial" w:cs="Arial"/>
                  <w:sz w:val="20"/>
                  <w:szCs w:val="20"/>
                  <w:vertAlign w:val="superscript"/>
                </w:rPr>
                <w:t>80</w:t>
              </w:r>
            </w:hyperlink>
            <w:r w:rsidRPr="00816DE1">
              <w:rPr>
                <w:rFonts w:ascii="Arial" w:eastAsia="Times New Roman" w:hAnsi="Arial" w:cs="Arial"/>
                <w:sz w:val="20"/>
                <w:szCs w:val="20"/>
                <w:vertAlign w:val="superscript"/>
              </w:rPr>
              <w:t>)</w:t>
            </w:r>
            <w:r w:rsidRPr="00816DE1">
              <w:rPr>
                <w:rFonts w:ascii="Arial" w:eastAsia="Times New Roman" w:hAnsi="Arial" w:cs="Arial"/>
                <w:sz w:val="20"/>
                <w:szCs w:val="20"/>
              </w:rPr>
              <w:t>are acoustically insulted to achieve the noise levels listed in Schedule 1, Acoustic Quality Objectives, Environmental Protection (Noise) Policy 2008.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816DE1" w:rsidRPr="00C64A89" w:rsidTr="00816DE1">
              <w:trPr>
                <w:tblCellSpacing w:w="15" w:type="dxa"/>
              </w:trPr>
              <w:tc>
                <w:tcPr>
                  <w:tcW w:w="6192" w:type="dxa"/>
                  <w:vAlign w:val="center"/>
                  <w:hideMark/>
                </w:tcPr>
                <w:p w:rsidR="00816DE1" w:rsidRPr="00C64A89" w:rsidRDefault="00816DE1" w:rsidP="00E257BD">
                  <w:pPr>
                    <w:rPr>
                      <w:rFonts w:ascii="Arial" w:eastAsia="Times New Roman" w:hAnsi="Arial" w:cs="Arial"/>
                      <w:sz w:val="18"/>
                      <w:szCs w:val="20"/>
                    </w:rPr>
                  </w:pPr>
                  <w:r w:rsidRPr="00C64A89">
                    <w:rPr>
                      <w:rFonts w:ascii="Arial" w:eastAsia="Times New Roman" w:hAnsi="Arial" w:cs="Arial"/>
                      <w:sz w:val="18"/>
                      <w:szCs w:val="20"/>
                    </w:rPr>
                    <w:t>Note - Habitable room is defined in the Building Code of Australia (Volume 1)</w:t>
                  </w:r>
                </w:p>
              </w:tc>
            </w:tr>
          </w:tbl>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PO52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Habitable rooms within an Electricity supply substation buffer are acoustically insulated from the noise of a substation</w:t>
            </w:r>
            <w:r w:rsidRPr="00816DE1">
              <w:rPr>
                <w:rFonts w:ascii="Arial" w:hAnsi="Arial" w:cs="Arial"/>
                <w:sz w:val="20"/>
                <w:szCs w:val="20"/>
                <w:vertAlign w:val="superscript"/>
              </w:rPr>
              <w:t>(</w:t>
            </w:r>
            <w:hyperlink r:id="rId115" w:anchor="target-d768251e572400" w:tooltip="Substation - Premises forming part of a transmission grid or supply network under the Electricity Act 1994, and used for:" w:history="1">
              <w:r w:rsidRPr="00816DE1">
                <w:rPr>
                  <w:rStyle w:val="Hyperlink"/>
                  <w:rFonts w:ascii="Arial" w:hAnsi="Arial" w:cs="Arial"/>
                  <w:sz w:val="20"/>
                  <w:szCs w:val="20"/>
                  <w:vertAlign w:val="superscript"/>
                </w:rPr>
                <w:t>80</w:t>
              </w:r>
            </w:hyperlink>
            <w:r w:rsidRPr="00816DE1">
              <w:rPr>
                <w:rFonts w:ascii="Arial" w:hAnsi="Arial" w:cs="Arial"/>
                <w:sz w:val="20"/>
                <w:szCs w:val="20"/>
                <w:vertAlign w:val="superscript"/>
              </w:rPr>
              <w:t>)</w:t>
            </w:r>
            <w:r w:rsidRPr="00816DE1">
              <w:rPr>
                <w:rFonts w:ascii="Arial" w:hAnsi="Arial" w:cs="Arial"/>
                <w:sz w:val="20"/>
                <w:szCs w:val="20"/>
              </w:rPr>
              <w:t xml:space="preserve"> to achieve the noise levels listed in Schedule 1 Acoustic Quality </w:t>
            </w:r>
            <w:r w:rsidRPr="00816DE1">
              <w:rPr>
                <w:rFonts w:ascii="Arial" w:hAnsi="Arial" w:cs="Arial"/>
                <w:sz w:val="20"/>
                <w:szCs w:val="20"/>
              </w:rPr>
              <w:lastRenderedPageBreak/>
              <w:t>Objectives, Environmental Protection (Noise) Policy 2008 and provides a safe, healthy and disturbance free living environment.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816DE1" w:rsidTr="00816DE1">
              <w:trPr>
                <w:tblCellSpacing w:w="15" w:type="dxa"/>
              </w:trPr>
              <w:tc>
                <w:tcPr>
                  <w:tcW w:w="8572" w:type="dxa"/>
                  <w:vAlign w:val="center"/>
                  <w:hideMark/>
                </w:tcPr>
                <w:p w:rsidR="00816DE1" w:rsidRPr="00C64A89" w:rsidRDefault="00816DE1" w:rsidP="00E257BD">
                  <w:pPr>
                    <w:rPr>
                      <w:rFonts w:ascii="Arial" w:eastAsia="Times New Roman" w:hAnsi="Arial" w:cs="Arial"/>
                      <w:sz w:val="18"/>
                      <w:szCs w:val="20"/>
                    </w:rPr>
                  </w:pPr>
                  <w:r w:rsidRPr="00C64A89">
                    <w:rPr>
                      <w:rFonts w:ascii="Arial" w:eastAsia="Times New Roman" w:hAnsi="Arial" w:cs="Arial"/>
                      <w:sz w:val="18"/>
                      <w:szCs w:val="20"/>
                    </w:rPr>
                    <w:t xml:space="preserve">Note - To demonstrate achievement of the performance outcome, a noise impact assessment report is prepared by a suitably qualified person. Guidance to preparing </w:t>
                  </w:r>
                  <w:proofErr w:type="gramStart"/>
                  <w:r w:rsidRPr="00C64A89">
                    <w:rPr>
                      <w:rFonts w:ascii="Arial" w:eastAsia="Times New Roman" w:hAnsi="Arial" w:cs="Arial"/>
                      <w:sz w:val="18"/>
                      <w:szCs w:val="20"/>
                    </w:rPr>
                    <w:t>an</w:t>
                  </w:r>
                  <w:proofErr w:type="gramEnd"/>
                  <w:r w:rsidRPr="00C64A89">
                    <w:rPr>
                      <w:rFonts w:ascii="Arial" w:eastAsia="Times New Roman" w:hAnsi="Arial" w:cs="Arial"/>
                      <w:sz w:val="18"/>
                      <w:szCs w:val="20"/>
                    </w:rPr>
                    <w:t xml:space="preserve"> noise impact assessment report is provided in Planning scheme policy – Noise.</w:t>
                  </w:r>
                </w:p>
              </w:tc>
            </w:tr>
            <w:tr w:rsidR="00E257BD" w:rsidRPr="00816DE1" w:rsidTr="00816DE1">
              <w:trPr>
                <w:tblCellSpacing w:w="15" w:type="dxa"/>
              </w:trPr>
              <w:tc>
                <w:tcPr>
                  <w:tcW w:w="8572" w:type="dxa"/>
                  <w:vAlign w:val="center"/>
                  <w:hideMark/>
                </w:tcPr>
                <w:p w:rsidR="00816DE1" w:rsidRPr="00C64A89" w:rsidRDefault="00816DE1" w:rsidP="00E257BD">
                  <w:pPr>
                    <w:rPr>
                      <w:rFonts w:ascii="Arial" w:eastAsia="Times New Roman" w:hAnsi="Arial" w:cs="Arial"/>
                      <w:sz w:val="18"/>
                      <w:szCs w:val="20"/>
                    </w:rPr>
                  </w:pPr>
                  <w:r w:rsidRPr="00C64A89">
                    <w:rPr>
                      <w:rFonts w:ascii="Arial" w:eastAsia="Times New Roman" w:hAnsi="Arial" w:cs="Arial"/>
                      <w:sz w:val="18"/>
                      <w:szCs w:val="20"/>
                    </w:rPr>
                    <w:t>Note - Habitable room is defined in the Building Code of Australia (Volume 1)</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PO53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within a High voltage electricity line buffer provides adequate buffers to high voltage electricity lines to protect amenity and health by ensuring development:</w:t>
            </w:r>
          </w:p>
          <w:p w:rsidR="00816DE1" w:rsidRPr="00816DE1" w:rsidRDefault="00816DE1" w:rsidP="0069586D">
            <w:pPr>
              <w:numPr>
                <w:ilvl w:val="0"/>
                <w:numId w:val="6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is located and designed to avoid any potential adverse impacts on personal health and wellbeing from electromagnetic fields in accordance with the principle of prudent avoidance;</w:t>
            </w:r>
          </w:p>
          <w:p w:rsidR="00816DE1" w:rsidRPr="00816DE1" w:rsidRDefault="00816DE1" w:rsidP="0069586D">
            <w:pPr>
              <w:numPr>
                <w:ilvl w:val="0"/>
                <w:numId w:val="6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is located and designed in a manner that maintains a high level </w:t>
            </w:r>
            <w:proofErr w:type="gramStart"/>
            <w:r w:rsidRPr="00816DE1">
              <w:rPr>
                <w:rFonts w:ascii="Arial" w:eastAsia="Times New Roman" w:hAnsi="Arial" w:cs="Arial"/>
                <w:sz w:val="20"/>
                <w:szCs w:val="20"/>
              </w:rPr>
              <w:t>of  security</w:t>
            </w:r>
            <w:proofErr w:type="gramEnd"/>
            <w:r w:rsidRPr="00816DE1">
              <w:rPr>
                <w:rFonts w:ascii="Arial" w:eastAsia="Times New Roman" w:hAnsi="Arial" w:cs="Arial"/>
                <w:sz w:val="20"/>
                <w:szCs w:val="20"/>
              </w:rPr>
              <w:t xml:space="preserve"> of supply;</w:t>
            </w:r>
          </w:p>
          <w:p w:rsidR="00816DE1" w:rsidRPr="00816DE1" w:rsidRDefault="00816DE1" w:rsidP="0069586D">
            <w:pPr>
              <w:numPr>
                <w:ilvl w:val="0"/>
                <w:numId w:val="6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is located and design so not to impede upon the functioning and maintenance of high voltage electrical infrastructure.</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E53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does not involve the construction of any buildings or structures within a High voltage electricity line buffer.</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257BD" w:rsidRPr="00816DE1" w:rsidRDefault="00E257BD" w:rsidP="00E257BD">
            <w:pPr>
              <w:pStyle w:val="NormalWeb"/>
              <w:rPr>
                <w:rFonts w:ascii="Arial" w:hAnsi="Arial" w:cs="Arial"/>
                <w:sz w:val="20"/>
                <w:szCs w:val="20"/>
              </w:rPr>
            </w:pPr>
            <w:r w:rsidRPr="00816DE1">
              <w:rPr>
                <w:rStyle w:val="Strong"/>
                <w:rFonts w:ascii="Arial" w:hAnsi="Arial" w:cs="Arial"/>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257BD" w:rsidRPr="00816DE1" w:rsidTr="00816DE1">
              <w:trPr>
                <w:tblCellSpacing w:w="15" w:type="dxa"/>
              </w:trPr>
              <w:tc>
                <w:tcPr>
                  <w:tcW w:w="14944" w:type="dxa"/>
                  <w:vAlign w:val="center"/>
                  <w:hideMark/>
                </w:tcPr>
                <w:p w:rsidR="00E257BD" w:rsidRPr="00816DE1" w:rsidRDefault="00E257BD" w:rsidP="00E257BD">
                  <w:pPr>
                    <w:pStyle w:val="NormalWeb"/>
                    <w:rPr>
                      <w:rFonts w:ascii="Arial" w:hAnsi="Arial" w:cs="Arial"/>
                      <w:sz w:val="20"/>
                      <w:szCs w:val="20"/>
                    </w:rPr>
                  </w:pPr>
                  <w:r w:rsidRPr="00816DE1">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E257BD" w:rsidRPr="00816DE1" w:rsidRDefault="00E257BD"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PO54</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w:t>
            </w:r>
          </w:p>
          <w:p w:rsidR="00816DE1" w:rsidRPr="00816DE1" w:rsidRDefault="00816DE1" w:rsidP="0069586D">
            <w:pPr>
              <w:numPr>
                <w:ilvl w:val="0"/>
                <w:numId w:val="6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lastRenderedPageBreak/>
              <w:t>minimises the risk to persons from overland flow;</w:t>
            </w:r>
          </w:p>
          <w:p w:rsidR="00816DE1" w:rsidRPr="00816DE1" w:rsidRDefault="00816DE1" w:rsidP="0069586D">
            <w:pPr>
              <w:numPr>
                <w:ilvl w:val="0"/>
                <w:numId w:val="6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increase the potential for damage from overland flow either on the premises or other premises, public land, watercourses, roads or infrastructure.</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PO55</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w:t>
            </w:r>
          </w:p>
          <w:p w:rsidR="00816DE1" w:rsidRPr="00816DE1" w:rsidRDefault="00816DE1" w:rsidP="0069586D">
            <w:pPr>
              <w:numPr>
                <w:ilvl w:val="0"/>
                <w:numId w:val="6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maintains the conveyance of overland flow predominantly unimpeded through the premises for any event up to and including the 1% AEP for the fully developed upstream catchment;</w:t>
            </w:r>
          </w:p>
          <w:p w:rsidR="00816DE1" w:rsidRPr="00816DE1" w:rsidRDefault="00816DE1" w:rsidP="0069586D">
            <w:pPr>
              <w:numPr>
                <w:ilvl w:val="0"/>
                <w:numId w:val="6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816DE1" w:rsidTr="00816DE1">
              <w:trPr>
                <w:tblCellSpacing w:w="15" w:type="dxa"/>
              </w:trPr>
              <w:tc>
                <w:tcPr>
                  <w:tcW w:w="8572" w:type="dxa"/>
                  <w:vAlign w:val="center"/>
                  <w:hideMark/>
                </w:tcPr>
                <w:p w:rsidR="00816DE1" w:rsidRPr="00C64A89" w:rsidRDefault="00816DE1" w:rsidP="00E257BD">
                  <w:pPr>
                    <w:rPr>
                      <w:rFonts w:ascii="Arial" w:eastAsia="Times New Roman" w:hAnsi="Arial" w:cs="Arial"/>
                      <w:sz w:val="18"/>
                      <w:szCs w:val="20"/>
                    </w:rPr>
                  </w:pPr>
                  <w:r w:rsidRPr="00C64A89">
                    <w:rPr>
                      <w:rFonts w:ascii="Arial" w:eastAsia="Times New Roman"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C64A89">
                    <w:rPr>
                      <w:rFonts w:ascii="Arial" w:eastAsia="Times New Roman" w:hAnsi="Arial" w:cs="Arial"/>
                      <w:sz w:val="18"/>
                      <w:szCs w:val="20"/>
                    </w:rPr>
                    <w:t>upstream, downstream or surrounding premises</w:t>
                  </w:r>
                  <w:proofErr w:type="gramEnd"/>
                  <w:r w:rsidRPr="00C64A89">
                    <w:rPr>
                      <w:rFonts w:ascii="Arial" w:eastAsia="Times New Roman" w:hAnsi="Arial" w:cs="Arial"/>
                      <w:sz w:val="18"/>
                      <w:szCs w:val="20"/>
                    </w:rPr>
                    <w:t>.</w:t>
                  </w:r>
                </w:p>
              </w:tc>
            </w:tr>
            <w:tr w:rsidR="00E257BD" w:rsidRPr="00816DE1" w:rsidTr="00816DE1">
              <w:trPr>
                <w:tblCellSpacing w:w="15" w:type="dxa"/>
              </w:trPr>
              <w:tc>
                <w:tcPr>
                  <w:tcW w:w="8572" w:type="dxa"/>
                  <w:vAlign w:val="center"/>
                  <w:hideMark/>
                </w:tcPr>
                <w:p w:rsidR="00816DE1" w:rsidRPr="00C64A89" w:rsidRDefault="00816DE1" w:rsidP="00E257BD">
                  <w:pPr>
                    <w:rPr>
                      <w:rFonts w:ascii="Arial" w:eastAsia="Times New Roman" w:hAnsi="Arial" w:cs="Arial"/>
                      <w:sz w:val="18"/>
                      <w:szCs w:val="20"/>
                    </w:rPr>
                  </w:pPr>
                  <w:r w:rsidRPr="00C64A89">
                    <w:rPr>
                      <w:rFonts w:ascii="Arial" w:eastAsia="Times New Roman" w:hAnsi="Arial" w:cs="Arial"/>
                      <w:sz w:val="18"/>
                      <w:szCs w:val="20"/>
                    </w:rPr>
                    <w:t>Note - Reporting to be prepared in accordance with Planning scheme policy – Flood hazard, Coastal hazard and Overland flow.</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PO56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does not:</w:t>
            </w:r>
          </w:p>
          <w:p w:rsidR="00816DE1" w:rsidRPr="00816DE1" w:rsidRDefault="00816DE1" w:rsidP="0069586D">
            <w:pPr>
              <w:numPr>
                <w:ilvl w:val="0"/>
                <w:numId w:val="7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directly, indirectly or cumulatively cause any increase in overland flow velocity or level;</w:t>
            </w:r>
          </w:p>
          <w:p w:rsidR="00816DE1" w:rsidRPr="00816DE1" w:rsidRDefault="00816DE1" w:rsidP="0069586D">
            <w:pPr>
              <w:numPr>
                <w:ilvl w:val="0"/>
                <w:numId w:val="7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increase the potential for flood damage from overland flow either on the premises or other premises, public </w:t>
            </w:r>
            <w:r w:rsidRPr="00816DE1">
              <w:rPr>
                <w:rFonts w:ascii="Arial" w:eastAsia="Times New Roman" w:hAnsi="Arial" w:cs="Arial"/>
                <w:sz w:val="20"/>
                <w:szCs w:val="20"/>
              </w:rPr>
              <w:lastRenderedPageBreak/>
              <w:t>lands, watercourses, roads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816DE1" w:rsidTr="00816DE1">
              <w:trPr>
                <w:tblCellSpacing w:w="15" w:type="dxa"/>
              </w:trPr>
              <w:tc>
                <w:tcPr>
                  <w:tcW w:w="8572" w:type="dxa"/>
                  <w:vAlign w:val="center"/>
                  <w:hideMark/>
                </w:tcPr>
                <w:p w:rsidR="00816DE1" w:rsidRPr="00816DE1" w:rsidRDefault="00816DE1" w:rsidP="00E257BD">
                  <w:pPr>
                    <w:rPr>
                      <w:rFonts w:ascii="Arial" w:eastAsia="Times New Roman" w:hAnsi="Arial" w:cs="Arial"/>
                      <w:sz w:val="20"/>
                      <w:szCs w:val="20"/>
                    </w:rPr>
                  </w:pPr>
                  <w:r w:rsidRPr="00C64A89">
                    <w:rPr>
                      <w:rFonts w:ascii="Arial" w:eastAsia="Times New Roman" w:hAnsi="Arial" w:cs="Arial"/>
                      <w:sz w:val="18"/>
                      <w:szCs w:val="20"/>
                    </w:rPr>
                    <w:t>Note - Open concrete drains greater than 1m in width are not an acceptable outcome, nor are any other design options that may increase scouring.</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PO57</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ensures that public safety and the risk to the environment are not adversely affected by a detrimental impact of overland flow on a hazardous chemical located or stored on the premises.</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E57</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816DE1" w:rsidRPr="00816DE1" w:rsidTr="00816DE1">
              <w:trPr>
                <w:tblCellSpacing w:w="15" w:type="dxa"/>
              </w:trPr>
              <w:tc>
                <w:tcPr>
                  <w:tcW w:w="6192" w:type="dxa"/>
                  <w:vAlign w:val="center"/>
                  <w:hideMark/>
                </w:tcPr>
                <w:p w:rsidR="00816DE1" w:rsidRPr="00816DE1" w:rsidRDefault="00816DE1" w:rsidP="00E257BD">
                  <w:pPr>
                    <w:rPr>
                      <w:rFonts w:ascii="Arial" w:eastAsia="Times New Roman" w:hAnsi="Arial" w:cs="Arial"/>
                      <w:sz w:val="20"/>
                      <w:szCs w:val="20"/>
                    </w:rPr>
                  </w:pPr>
                  <w:r w:rsidRPr="00C64A89">
                    <w:rPr>
                      <w:rFonts w:ascii="Arial" w:eastAsia="Times New Roman" w:hAnsi="Arial" w:cs="Arial"/>
                      <w:sz w:val="18"/>
                      <w:szCs w:val="20"/>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PO58</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which is not in a Rural zone ensures that overland flow is not conveyed from a road or public open space onto a private lot.</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E58</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which is not in a Rural zone that an overland flow paths and drainage infrastructure is provided to convey overland flow from a road or public open space area away from a private lot.</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vMerge w:val="restar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PO59</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Development ensures that inter-allotment drainage infrastructure, overland flow paths and open drains through private property cater for overland flows for a fully developed upstream catchment and </w:t>
            </w:r>
            <w:proofErr w:type="gramStart"/>
            <w:r w:rsidRPr="00816DE1">
              <w:rPr>
                <w:rFonts w:ascii="Arial" w:hAnsi="Arial" w:cs="Arial"/>
                <w:sz w:val="20"/>
                <w:szCs w:val="20"/>
              </w:rPr>
              <w:t>are able to</w:t>
            </w:r>
            <w:proofErr w:type="gramEnd"/>
            <w:r w:rsidRPr="00816DE1">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816DE1" w:rsidTr="00816DE1">
              <w:trPr>
                <w:tblCellSpacing w:w="15" w:type="dxa"/>
              </w:trPr>
              <w:tc>
                <w:tcPr>
                  <w:tcW w:w="8572" w:type="dxa"/>
                  <w:vAlign w:val="center"/>
                  <w:hideMark/>
                </w:tcPr>
                <w:p w:rsidR="00816DE1" w:rsidRPr="00C64A89" w:rsidRDefault="00816DE1" w:rsidP="00E257BD">
                  <w:pPr>
                    <w:rPr>
                      <w:rFonts w:ascii="Arial" w:eastAsia="Times New Roman" w:hAnsi="Arial" w:cs="Arial"/>
                      <w:sz w:val="18"/>
                      <w:szCs w:val="20"/>
                    </w:rPr>
                  </w:pPr>
                  <w:r w:rsidRPr="00C64A89">
                    <w:rPr>
                      <w:rFonts w:ascii="Arial" w:eastAsia="Times New Roman"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C64A89">
                    <w:rPr>
                      <w:rFonts w:ascii="Arial" w:eastAsia="Times New Roman" w:hAnsi="Arial" w:cs="Arial"/>
                      <w:sz w:val="18"/>
                      <w:szCs w:val="20"/>
                    </w:rPr>
                    <w:t>upstream, downstream or surrounding premises</w:t>
                  </w:r>
                  <w:proofErr w:type="gramEnd"/>
                  <w:r w:rsidRPr="00C64A89">
                    <w:rPr>
                      <w:rFonts w:ascii="Arial" w:eastAsia="Times New Roman" w:hAnsi="Arial" w:cs="Arial"/>
                      <w:sz w:val="18"/>
                      <w:szCs w:val="20"/>
                    </w:rPr>
                    <w:t>.</w:t>
                  </w:r>
                </w:p>
              </w:tc>
            </w:tr>
            <w:tr w:rsidR="00E257BD" w:rsidRPr="00816DE1" w:rsidTr="00816DE1">
              <w:trPr>
                <w:tblCellSpacing w:w="15" w:type="dxa"/>
              </w:trPr>
              <w:tc>
                <w:tcPr>
                  <w:tcW w:w="8572" w:type="dxa"/>
                  <w:vAlign w:val="center"/>
                  <w:hideMark/>
                </w:tcPr>
                <w:p w:rsidR="00816DE1" w:rsidRPr="00C64A89" w:rsidRDefault="00816DE1" w:rsidP="00E257BD">
                  <w:pPr>
                    <w:rPr>
                      <w:rFonts w:ascii="Arial" w:eastAsia="Times New Roman" w:hAnsi="Arial" w:cs="Arial"/>
                      <w:sz w:val="18"/>
                      <w:szCs w:val="20"/>
                    </w:rPr>
                  </w:pPr>
                  <w:r w:rsidRPr="00C64A89">
                    <w:rPr>
                      <w:rFonts w:ascii="Arial" w:eastAsia="Times New Roman" w:hAnsi="Arial" w:cs="Arial"/>
                      <w:sz w:val="18"/>
                      <w:szCs w:val="20"/>
                    </w:rPr>
                    <w:t>Note - Reporting to be prepared in accordance with Planning scheme policy – Flood hazard, Coastal hazard and Overland flow</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E59.1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ensures that roof and allotment drainage infrastructure is provided in accordance with the following relevant level as identified in QUDM:</w:t>
            </w:r>
          </w:p>
          <w:p w:rsidR="00816DE1" w:rsidRPr="00816DE1" w:rsidRDefault="00816DE1" w:rsidP="0069586D">
            <w:pPr>
              <w:numPr>
                <w:ilvl w:val="0"/>
                <w:numId w:val="7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Urban area – Level III;</w:t>
            </w:r>
          </w:p>
          <w:p w:rsidR="00816DE1" w:rsidRPr="00816DE1" w:rsidRDefault="00816DE1" w:rsidP="0069586D">
            <w:pPr>
              <w:numPr>
                <w:ilvl w:val="0"/>
                <w:numId w:val="7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Rural area – N/A;</w:t>
            </w:r>
          </w:p>
          <w:p w:rsidR="00816DE1" w:rsidRPr="00816DE1" w:rsidRDefault="00816DE1" w:rsidP="0069586D">
            <w:pPr>
              <w:numPr>
                <w:ilvl w:val="0"/>
                <w:numId w:val="7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Industrial area – Level V;</w:t>
            </w:r>
          </w:p>
          <w:p w:rsidR="00816DE1" w:rsidRPr="00816DE1" w:rsidRDefault="00816DE1" w:rsidP="0069586D">
            <w:pPr>
              <w:numPr>
                <w:ilvl w:val="0"/>
                <w:numId w:val="7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Commercial area – Level V.</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vMerge/>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E59.2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ensures that inter-allotment drainage infrastructure is designed to accommodate any event up to and including the 1% AEP for the fully developed upstream catchment.</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PO60</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protects the conveyance of overland flow such that an easement for drainage purposes is provided over:</w:t>
            </w:r>
          </w:p>
          <w:p w:rsidR="00816DE1" w:rsidRPr="00816DE1" w:rsidRDefault="00816DE1" w:rsidP="0069586D">
            <w:pPr>
              <w:pStyle w:val="NormalWeb"/>
              <w:numPr>
                <w:ilvl w:val="0"/>
                <w:numId w:val="72"/>
              </w:numPr>
              <w:rPr>
                <w:rFonts w:ascii="Arial" w:hAnsi="Arial" w:cs="Arial"/>
                <w:sz w:val="20"/>
                <w:szCs w:val="20"/>
              </w:rPr>
            </w:pPr>
            <w:r w:rsidRPr="00816DE1">
              <w:rPr>
                <w:rFonts w:ascii="Arial" w:hAnsi="Arial" w:cs="Arial"/>
                <w:sz w:val="20"/>
                <w:szCs w:val="20"/>
              </w:rPr>
              <w:t>a stormwater pipe if the nominal pipe diameter exceeds 300mm;</w:t>
            </w:r>
          </w:p>
          <w:p w:rsidR="00816DE1" w:rsidRPr="00816DE1" w:rsidRDefault="00816DE1" w:rsidP="0069586D">
            <w:pPr>
              <w:pStyle w:val="NormalWeb"/>
              <w:numPr>
                <w:ilvl w:val="0"/>
                <w:numId w:val="72"/>
              </w:numPr>
              <w:rPr>
                <w:rFonts w:ascii="Arial" w:hAnsi="Arial" w:cs="Arial"/>
                <w:sz w:val="20"/>
                <w:szCs w:val="20"/>
              </w:rPr>
            </w:pPr>
            <w:r w:rsidRPr="00816DE1">
              <w:rPr>
                <w:rFonts w:ascii="Arial" w:hAnsi="Arial" w:cs="Arial"/>
                <w:sz w:val="20"/>
                <w:szCs w:val="20"/>
              </w:rPr>
              <w:t>an overland flow path where it crosses more than one premises;</w:t>
            </w:r>
          </w:p>
          <w:p w:rsidR="00816DE1" w:rsidRPr="00816DE1" w:rsidRDefault="00816DE1" w:rsidP="0069586D">
            <w:pPr>
              <w:pStyle w:val="NormalWeb"/>
              <w:numPr>
                <w:ilvl w:val="0"/>
                <w:numId w:val="72"/>
              </w:numPr>
              <w:rPr>
                <w:rFonts w:ascii="Arial" w:hAnsi="Arial" w:cs="Arial"/>
                <w:sz w:val="20"/>
                <w:szCs w:val="20"/>
              </w:rPr>
            </w:pPr>
            <w:r w:rsidRPr="00816DE1">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2"/>
            </w:tblGrid>
            <w:tr w:rsidR="00E257BD" w:rsidRPr="00816DE1" w:rsidTr="00816DE1">
              <w:trPr>
                <w:tblCellSpacing w:w="15" w:type="dxa"/>
              </w:trPr>
              <w:tc>
                <w:tcPr>
                  <w:tcW w:w="857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Refer to Planning scheme policy - Integrated design for details and examples.</w:t>
                  </w:r>
                </w:p>
              </w:tc>
            </w:tr>
            <w:tr w:rsidR="00E257BD" w:rsidRPr="00816DE1" w:rsidTr="00816DE1">
              <w:trPr>
                <w:tblCellSpacing w:w="15" w:type="dxa"/>
              </w:trPr>
              <w:tc>
                <w:tcPr>
                  <w:tcW w:w="857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Stormwater Drainage easement dimensions are provided in accordance with Section 3.8.5 of QUDM.</w:t>
                  </w:r>
                </w:p>
              </w:tc>
            </w:tr>
          </w:tbl>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Fonts w:ascii="Arial" w:hAnsi="Arial" w:cs="Arial"/>
                <w:sz w:val="20"/>
                <w:szCs w:val="20"/>
              </w:rPr>
              <w:t>No example provided.</w:t>
            </w:r>
          </w:p>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Fonts w:ascii="Arial" w:hAnsi="Arial" w:cs="Arial"/>
                <w:sz w:val="20"/>
                <w:szCs w:val="20"/>
              </w:rPr>
            </w:pPr>
          </w:p>
        </w:tc>
      </w:tr>
      <w:tr w:rsidR="00E257BD" w:rsidRPr="00816DE1" w:rsidTr="00E257BD">
        <w:trPr>
          <w:tblCellSpacing w:w="15" w:type="dxa"/>
        </w:trPr>
        <w:tc>
          <w:tcPr>
            <w:tcW w:w="3195" w:type="pct"/>
            <w:gridSpan w:val="2"/>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3D5BCB">
            <w:pPr>
              <w:pStyle w:val="NormalWeb"/>
              <w:rPr>
                <w:rFonts w:ascii="Arial" w:eastAsia="Times New Roman" w:hAnsi="Arial" w:cs="Arial"/>
                <w:sz w:val="20"/>
                <w:szCs w:val="20"/>
              </w:rPr>
            </w:pPr>
            <w:r w:rsidRPr="00816DE1">
              <w:rPr>
                <w:rStyle w:val="Strong"/>
                <w:rFonts w:ascii="Arial" w:hAnsi="Arial" w:cs="Arial"/>
                <w:sz w:val="20"/>
                <w:szCs w:val="20"/>
              </w:rPr>
              <w:t>Additional criteria for development for a Park</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PO61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for a Park</w:t>
            </w:r>
            <w:r w:rsidRPr="00816DE1">
              <w:rPr>
                <w:rFonts w:ascii="Arial" w:hAnsi="Arial" w:cs="Arial"/>
                <w:sz w:val="20"/>
                <w:szCs w:val="20"/>
                <w:vertAlign w:val="superscript"/>
              </w:rPr>
              <w:t>(</w:t>
            </w:r>
            <w:hyperlink r:id="rId116"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16DE1">
                <w:rPr>
                  <w:rStyle w:val="Hyperlink"/>
                  <w:rFonts w:ascii="Arial" w:hAnsi="Arial" w:cs="Arial"/>
                  <w:sz w:val="20"/>
                  <w:szCs w:val="20"/>
                  <w:vertAlign w:val="superscript"/>
                </w:rPr>
                <w:t>57</w:t>
              </w:r>
            </w:hyperlink>
            <w:r w:rsidRPr="00816DE1">
              <w:rPr>
                <w:rFonts w:ascii="Arial" w:hAnsi="Arial" w:cs="Arial"/>
                <w:sz w:val="20"/>
                <w:szCs w:val="20"/>
                <w:vertAlign w:val="superscript"/>
              </w:rPr>
              <w:t>)</w:t>
            </w:r>
            <w:r w:rsidRPr="00816DE1">
              <w:rPr>
                <w:rFonts w:ascii="Arial" w:hAnsi="Arial" w:cs="Arial"/>
                <w:sz w:val="20"/>
                <w:szCs w:val="20"/>
              </w:rPr>
              <w:t xml:space="preserve"> ensures that the design and layout responds to the nature of the overland flow affecting the premises such that:</w:t>
            </w:r>
          </w:p>
          <w:p w:rsidR="00816DE1" w:rsidRPr="00816DE1" w:rsidRDefault="00816DE1" w:rsidP="0069586D">
            <w:pPr>
              <w:pStyle w:val="NormalWeb"/>
              <w:numPr>
                <w:ilvl w:val="0"/>
                <w:numId w:val="73"/>
              </w:numPr>
              <w:rPr>
                <w:rFonts w:ascii="Arial" w:hAnsi="Arial" w:cs="Arial"/>
                <w:sz w:val="20"/>
                <w:szCs w:val="20"/>
              </w:rPr>
            </w:pPr>
            <w:r w:rsidRPr="00816DE1">
              <w:rPr>
                <w:rFonts w:ascii="Arial" w:hAnsi="Arial" w:cs="Arial"/>
                <w:sz w:val="20"/>
                <w:szCs w:val="20"/>
              </w:rPr>
              <w:t xml:space="preserve">public benefit and enjoyment </w:t>
            </w:r>
            <w:proofErr w:type="gramStart"/>
            <w:r w:rsidRPr="00816DE1">
              <w:rPr>
                <w:rFonts w:ascii="Arial" w:hAnsi="Arial" w:cs="Arial"/>
                <w:sz w:val="20"/>
                <w:szCs w:val="20"/>
              </w:rPr>
              <w:t>is</w:t>
            </w:r>
            <w:proofErr w:type="gramEnd"/>
            <w:r w:rsidRPr="00816DE1">
              <w:rPr>
                <w:rFonts w:ascii="Arial" w:hAnsi="Arial" w:cs="Arial"/>
                <w:sz w:val="20"/>
                <w:szCs w:val="20"/>
              </w:rPr>
              <w:t xml:space="preserve"> maximised;</w:t>
            </w:r>
          </w:p>
          <w:p w:rsidR="00816DE1" w:rsidRPr="00816DE1" w:rsidRDefault="00816DE1" w:rsidP="0069586D">
            <w:pPr>
              <w:pStyle w:val="NormalWeb"/>
              <w:numPr>
                <w:ilvl w:val="0"/>
                <w:numId w:val="73"/>
              </w:numPr>
              <w:rPr>
                <w:rFonts w:ascii="Arial" w:hAnsi="Arial" w:cs="Arial"/>
                <w:sz w:val="20"/>
                <w:szCs w:val="20"/>
              </w:rPr>
            </w:pPr>
            <w:r w:rsidRPr="00816DE1">
              <w:rPr>
                <w:rFonts w:ascii="Arial" w:hAnsi="Arial" w:cs="Arial"/>
                <w:sz w:val="20"/>
                <w:szCs w:val="20"/>
              </w:rPr>
              <w:t>impacts on the asset life and integrity of park structures is minimised;</w:t>
            </w:r>
          </w:p>
          <w:p w:rsidR="00816DE1" w:rsidRPr="00816DE1" w:rsidRDefault="00816DE1" w:rsidP="0069586D">
            <w:pPr>
              <w:pStyle w:val="NormalWeb"/>
              <w:numPr>
                <w:ilvl w:val="0"/>
                <w:numId w:val="73"/>
              </w:numPr>
              <w:rPr>
                <w:rFonts w:ascii="Arial" w:hAnsi="Arial" w:cs="Arial"/>
                <w:sz w:val="20"/>
                <w:szCs w:val="20"/>
              </w:rPr>
            </w:pPr>
            <w:r w:rsidRPr="00816DE1">
              <w:rPr>
                <w:rFonts w:ascii="Arial" w:hAnsi="Arial" w:cs="Arial"/>
                <w:sz w:val="20"/>
                <w:szCs w:val="20"/>
              </w:rPr>
              <w:t>maintenance and replacement costs are minimised.</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E61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for a Park</w:t>
            </w:r>
            <w:r w:rsidRPr="00816DE1">
              <w:rPr>
                <w:rFonts w:ascii="Arial" w:hAnsi="Arial" w:cs="Arial"/>
                <w:sz w:val="20"/>
                <w:szCs w:val="20"/>
                <w:vertAlign w:val="superscript"/>
              </w:rPr>
              <w:t>(</w:t>
            </w:r>
            <w:hyperlink r:id="rId11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16DE1">
                <w:rPr>
                  <w:rStyle w:val="Hyperlink"/>
                  <w:rFonts w:ascii="Arial" w:hAnsi="Arial" w:cs="Arial"/>
                  <w:sz w:val="20"/>
                  <w:szCs w:val="20"/>
                  <w:vertAlign w:val="superscript"/>
                </w:rPr>
                <w:t>57</w:t>
              </w:r>
            </w:hyperlink>
            <w:r w:rsidRPr="00816DE1">
              <w:rPr>
                <w:rFonts w:ascii="Arial" w:hAnsi="Arial" w:cs="Arial"/>
                <w:sz w:val="20"/>
                <w:szCs w:val="20"/>
                <w:vertAlign w:val="superscript"/>
              </w:rPr>
              <w:t>)</w:t>
            </w:r>
            <w:r w:rsidRPr="00816DE1">
              <w:rPr>
                <w:rFonts w:ascii="Arial" w:hAnsi="Arial" w:cs="Arial"/>
                <w:sz w:val="20"/>
                <w:szCs w:val="20"/>
              </w:rPr>
              <w:t xml:space="preserve"> ensures works are provided in accordance with the requirements set out in Appendix B of the Planning scheme policy - Integrated design.</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257BD" w:rsidRPr="00816DE1" w:rsidRDefault="00E257BD" w:rsidP="00E257BD">
            <w:pPr>
              <w:pStyle w:val="NormalWeb"/>
              <w:rPr>
                <w:rFonts w:ascii="Arial" w:hAnsi="Arial" w:cs="Arial"/>
                <w:sz w:val="20"/>
                <w:szCs w:val="20"/>
              </w:rPr>
            </w:pPr>
            <w:r w:rsidRPr="00816DE1">
              <w:rPr>
                <w:rStyle w:val="Strong"/>
                <w:rFonts w:ascii="Arial" w:hAnsi="Arial" w:cs="Arial"/>
                <w:sz w:val="20"/>
                <w:szCs w:val="20"/>
              </w:rPr>
              <w:t>Riparian and wetland setbacks</w:t>
            </w:r>
          </w:p>
          <w:p w:rsidR="00E257BD" w:rsidRPr="00816DE1" w:rsidRDefault="00E257BD"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PO62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Development provides and maintains a suitable setback from waterways and wetlands that protects natural and environmental values.  This </w:t>
            </w:r>
            <w:r w:rsidRPr="00816DE1">
              <w:rPr>
                <w:rFonts w:ascii="Arial" w:hAnsi="Arial" w:cs="Arial"/>
                <w:sz w:val="20"/>
                <w:szCs w:val="20"/>
              </w:rPr>
              <w:lastRenderedPageBreak/>
              <w:t>is achieved by recognising and responding to the following matters:</w:t>
            </w:r>
          </w:p>
          <w:p w:rsidR="00816DE1" w:rsidRPr="00816DE1" w:rsidRDefault="00816DE1" w:rsidP="0069586D">
            <w:pPr>
              <w:pStyle w:val="NormalWeb"/>
              <w:numPr>
                <w:ilvl w:val="0"/>
                <w:numId w:val="74"/>
              </w:numPr>
              <w:rPr>
                <w:rFonts w:ascii="Arial" w:hAnsi="Arial" w:cs="Arial"/>
                <w:sz w:val="20"/>
                <w:szCs w:val="20"/>
              </w:rPr>
            </w:pPr>
            <w:r w:rsidRPr="00816DE1">
              <w:rPr>
                <w:rFonts w:ascii="Arial" w:hAnsi="Arial" w:cs="Arial"/>
                <w:sz w:val="20"/>
                <w:szCs w:val="20"/>
              </w:rPr>
              <w:t>impact on fauna habitats;</w:t>
            </w:r>
          </w:p>
          <w:p w:rsidR="00816DE1" w:rsidRPr="00816DE1" w:rsidRDefault="00816DE1" w:rsidP="0069586D">
            <w:pPr>
              <w:pStyle w:val="NormalWeb"/>
              <w:numPr>
                <w:ilvl w:val="0"/>
                <w:numId w:val="74"/>
              </w:numPr>
              <w:rPr>
                <w:rFonts w:ascii="Arial" w:hAnsi="Arial" w:cs="Arial"/>
                <w:sz w:val="20"/>
                <w:szCs w:val="20"/>
              </w:rPr>
            </w:pPr>
            <w:r w:rsidRPr="00816DE1">
              <w:rPr>
                <w:rFonts w:ascii="Arial" w:hAnsi="Arial" w:cs="Arial"/>
                <w:sz w:val="20"/>
                <w:szCs w:val="20"/>
              </w:rPr>
              <w:t>impact on wildlife corridors and connectivity;</w:t>
            </w:r>
          </w:p>
          <w:p w:rsidR="00816DE1" w:rsidRPr="00816DE1" w:rsidRDefault="00816DE1" w:rsidP="0069586D">
            <w:pPr>
              <w:pStyle w:val="NormalWeb"/>
              <w:numPr>
                <w:ilvl w:val="0"/>
                <w:numId w:val="74"/>
              </w:numPr>
              <w:rPr>
                <w:rFonts w:ascii="Arial" w:hAnsi="Arial" w:cs="Arial"/>
                <w:sz w:val="20"/>
                <w:szCs w:val="20"/>
              </w:rPr>
            </w:pPr>
            <w:r w:rsidRPr="00816DE1">
              <w:rPr>
                <w:rFonts w:ascii="Arial" w:hAnsi="Arial" w:cs="Arial"/>
                <w:sz w:val="20"/>
                <w:szCs w:val="20"/>
              </w:rPr>
              <w:t>impact on stream integrity;</w:t>
            </w:r>
          </w:p>
          <w:p w:rsidR="00816DE1" w:rsidRPr="00816DE1" w:rsidRDefault="00816DE1" w:rsidP="0069586D">
            <w:pPr>
              <w:pStyle w:val="NormalWeb"/>
              <w:numPr>
                <w:ilvl w:val="0"/>
                <w:numId w:val="74"/>
              </w:numPr>
              <w:rPr>
                <w:rFonts w:ascii="Arial" w:hAnsi="Arial" w:cs="Arial"/>
                <w:sz w:val="20"/>
                <w:szCs w:val="20"/>
              </w:rPr>
            </w:pPr>
            <w:r w:rsidRPr="00816DE1">
              <w:rPr>
                <w:rFonts w:ascii="Arial" w:hAnsi="Arial" w:cs="Arial"/>
                <w:sz w:val="20"/>
                <w:szCs w:val="20"/>
              </w:rPr>
              <w:t>impact of opportunities for revegetation and rehabilitation planting;</w:t>
            </w:r>
          </w:p>
          <w:p w:rsidR="00816DE1" w:rsidRPr="00816DE1" w:rsidRDefault="00816DE1" w:rsidP="0069586D">
            <w:pPr>
              <w:pStyle w:val="NormalWeb"/>
              <w:numPr>
                <w:ilvl w:val="0"/>
                <w:numId w:val="74"/>
              </w:numPr>
              <w:rPr>
                <w:rFonts w:ascii="Arial" w:hAnsi="Arial" w:cs="Arial"/>
                <w:sz w:val="20"/>
                <w:szCs w:val="20"/>
              </w:rPr>
            </w:pPr>
            <w:r w:rsidRPr="00816DE1">
              <w:rPr>
                <w:rFonts w:ascii="Arial" w:hAnsi="Arial" w:cs="Arial"/>
                <w:sz w:val="20"/>
                <w:szCs w:val="20"/>
              </w:rPr>
              <w:t>edge effects.</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E62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 does not occur within:</w:t>
            </w:r>
          </w:p>
          <w:p w:rsidR="00816DE1" w:rsidRPr="00816DE1" w:rsidRDefault="00816DE1" w:rsidP="0069586D">
            <w:pPr>
              <w:pStyle w:val="NormalWeb"/>
              <w:numPr>
                <w:ilvl w:val="0"/>
                <w:numId w:val="75"/>
              </w:numPr>
              <w:rPr>
                <w:rFonts w:ascii="Arial" w:hAnsi="Arial" w:cs="Arial"/>
                <w:sz w:val="20"/>
                <w:szCs w:val="20"/>
              </w:rPr>
            </w:pPr>
            <w:r w:rsidRPr="00816DE1">
              <w:rPr>
                <w:rFonts w:ascii="Arial" w:hAnsi="Arial" w:cs="Arial"/>
                <w:sz w:val="20"/>
                <w:szCs w:val="20"/>
              </w:rPr>
              <w:t>50m from top of bank for W1 waterway and drainage line</w:t>
            </w:r>
          </w:p>
          <w:p w:rsidR="00816DE1" w:rsidRPr="00816DE1" w:rsidRDefault="00816DE1" w:rsidP="0069586D">
            <w:pPr>
              <w:pStyle w:val="NormalWeb"/>
              <w:numPr>
                <w:ilvl w:val="0"/>
                <w:numId w:val="75"/>
              </w:numPr>
              <w:rPr>
                <w:rFonts w:ascii="Arial" w:hAnsi="Arial" w:cs="Arial"/>
                <w:sz w:val="20"/>
                <w:szCs w:val="20"/>
              </w:rPr>
            </w:pPr>
            <w:r w:rsidRPr="00816DE1">
              <w:rPr>
                <w:rFonts w:ascii="Arial" w:hAnsi="Arial" w:cs="Arial"/>
                <w:sz w:val="20"/>
                <w:szCs w:val="20"/>
              </w:rPr>
              <w:lastRenderedPageBreak/>
              <w:t>30m from top of bank for W2 waterway and drainage line</w:t>
            </w:r>
          </w:p>
          <w:p w:rsidR="00816DE1" w:rsidRPr="00816DE1" w:rsidRDefault="00816DE1" w:rsidP="0069586D">
            <w:pPr>
              <w:pStyle w:val="NormalWeb"/>
              <w:numPr>
                <w:ilvl w:val="0"/>
                <w:numId w:val="75"/>
              </w:numPr>
              <w:rPr>
                <w:rFonts w:ascii="Arial" w:hAnsi="Arial" w:cs="Arial"/>
                <w:sz w:val="20"/>
                <w:szCs w:val="20"/>
              </w:rPr>
            </w:pPr>
            <w:r w:rsidRPr="00816DE1">
              <w:rPr>
                <w:rFonts w:ascii="Arial" w:hAnsi="Arial" w:cs="Arial"/>
                <w:sz w:val="20"/>
                <w:szCs w:val="20"/>
              </w:rPr>
              <w:t>20m from top of bank for W3 waterway and drainage line</w:t>
            </w:r>
          </w:p>
          <w:p w:rsidR="00816DE1" w:rsidRPr="00816DE1" w:rsidRDefault="00816DE1" w:rsidP="0069586D">
            <w:pPr>
              <w:pStyle w:val="NormalWeb"/>
              <w:numPr>
                <w:ilvl w:val="0"/>
                <w:numId w:val="75"/>
              </w:numPr>
              <w:rPr>
                <w:rFonts w:ascii="Arial" w:hAnsi="Arial" w:cs="Arial"/>
                <w:sz w:val="20"/>
                <w:szCs w:val="20"/>
              </w:rPr>
            </w:pPr>
            <w:r w:rsidRPr="00816DE1">
              <w:rPr>
                <w:rFonts w:ascii="Arial" w:hAnsi="Arial" w:cs="Arial"/>
                <w:sz w:val="20"/>
                <w:szCs w:val="20"/>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816DE1" w:rsidRPr="00C64A89" w:rsidTr="00816DE1">
              <w:trPr>
                <w:tblCellSpacing w:w="15" w:type="dxa"/>
              </w:trPr>
              <w:tc>
                <w:tcPr>
                  <w:tcW w:w="6192" w:type="dxa"/>
                  <w:vAlign w:val="center"/>
                  <w:hideMark/>
                </w:tcPr>
                <w:p w:rsidR="00816DE1" w:rsidRPr="00C64A89" w:rsidRDefault="00816DE1" w:rsidP="00E257BD">
                  <w:pPr>
                    <w:pStyle w:val="NormalWeb"/>
                    <w:rPr>
                      <w:rFonts w:ascii="Arial" w:hAnsi="Arial" w:cs="Arial"/>
                      <w:sz w:val="18"/>
                      <w:szCs w:val="20"/>
                    </w:rPr>
                  </w:pPr>
                  <w:r w:rsidRPr="00C64A89">
                    <w:rPr>
                      <w:rFonts w:ascii="Arial" w:hAnsi="Arial" w:cs="Arial"/>
                      <w:sz w:val="18"/>
                      <w:szCs w:val="20"/>
                    </w:rPr>
                    <w:t>Note - W1, W2 and W3 waterway and drainage lines, and wetlands are mapped on Schedule 2, Section 2.5 Overlay Maps – Riparian and wetland setbacks.</w:t>
                  </w:r>
                </w:p>
              </w:tc>
            </w:tr>
          </w:tbl>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257BD" w:rsidRPr="00816DE1" w:rsidRDefault="00E257BD" w:rsidP="00E257BD">
            <w:pPr>
              <w:pStyle w:val="NormalWeb"/>
              <w:rPr>
                <w:rFonts w:ascii="Arial" w:hAnsi="Arial" w:cs="Arial"/>
                <w:sz w:val="20"/>
                <w:szCs w:val="20"/>
              </w:rPr>
            </w:pPr>
            <w:r w:rsidRPr="00816DE1">
              <w:rPr>
                <w:rStyle w:val="Strong"/>
                <w:rFonts w:ascii="Arial" w:hAnsi="Arial" w:cs="Arial"/>
                <w:sz w:val="20"/>
                <w:szCs w:val="20"/>
              </w:rPr>
              <w:t>Scenic amenity - Regionally significant (Hills) and Locally important (Coast) (refer Overlay map - Scenic amenity to determine if the following assessment criteria apply)</w:t>
            </w:r>
          </w:p>
          <w:p w:rsidR="00E257BD" w:rsidRPr="00816DE1" w:rsidRDefault="00E257BD"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PO63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w:t>
            </w:r>
          </w:p>
          <w:p w:rsidR="00816DE1" w:rsidRPr="00816DE1" w:rsidRDefault="00816DE1" w:rsidP="0069586D">
            <w:pPr>
              <w:numPr>
                <w:ilvl w:val="0"/>
                <w:numId w:val="7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avoids being viewed as a visually conspicuous built form on a hill top or ridgeline;</w:t>
            </w:r>
          </w:p>
          <w:p w:rsidR="00816DE1" w:rsidRPr="00816DE1" w:rsidRDefault="00816DE1" w:rsidP="0069586D">
            <w:pPr>
              <w:numPr>
                <w:ilvl w:val="0"/>
                <w:numId w:val="7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retain the natural character or bushland settings as the dominant landscape characteristic;</w:t>
            </w:r>
          </w:p>
          <w:p w:rsidR="00816DE1" w:rsidRPr="00816DE1" w:rsidRDefault="00816DE1" w:rsidP="0069586D">
            <w:pPr>
              <w:numPr>
                <w:ilvl w:val="0"/>
                <w:numId w:val="76"/>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is viewed as being visually consistent with the natural landscape setting and does not diminish the scenic and visual qualities present in the environment.</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E63</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Where located in the Regionally significant (Hills) scenic amenity overlay, buildings and structures are not:</w:t>
            </w:r>
          </w:p>
          <w:p w:rsidR="00816DE1" w:rsidRPr="00816DE1" w:rsidRDefault="00816DE1" w:rsidP="0069586D">
            <w:pPr>
              <w:numPr>
                <w:ilvl w:val="0"/>
                <w:numId w:val="7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located on a hill top or ridge line;</w:t>
            </w:r>
          </w:p>
          <w:p w:rsidR="00816DE1" w:rsidRPr="00816DE1" w:rsidRDefault="00816DE1" w:rsidP="0069586D">
            <w:pPr>
              <w:numPr>
                <w:ilvl w:val="0"/>
                <w:numId w:val="77"/>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all parts of the building and structure are located below the hill top or ridge line.</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PO64</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Development:</w:t>
            </w:r>
          </w:p>
          <w:p w:rsidR="00816DE1" w:rsidRPr="00816DE1" w:rsidRDefault="00816DE1" w:rsidP="0069586D">
            <w:pPr>
              <w:numPr>
                <w:ilvl w:val="0"/>
                <w:numId w:val="7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does not adversely detract or degrade the quality of views, vista or key landmarks;</w:t>
            </w:r>
          </w:p>
          <w:p w:rsidR="00816DE1" w:rsidRPr="00816DE1" w:rsidRDefault="00816DE1" w:rsidP="0069586D">
            <w:pPr>
              <w:numPr>
                <w:ilvl w:val="0"/>
                <w:numId w:val="78"/>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retains the natural character or bushland settings as the dominant landscape characteristic.</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E64</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Where located in the Regionally significant (Hills) scenic amenity overlay, driveways and accessways:</w:t>
            </w:r>
          </w:p>
          <w:p w:rsidR="00816DE1" w:rsidRPr="00816DE1" w:rsidRDefault="00816DE1" w:rsidP="0069586D">
            <w:pPr>
              <w:numPr>
                <w:ilvl w:val="0"/>
                <w:numId w:val="7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go across land contours, and do not cut straight up slopes;</w:t>
            </w:r>
          </w:p>
          <w:p w:rsidR="00816DE1" w:rsidRPr="00816DE1" w:rsidRDefault="00816DE1" w:rsidP="0069586D">
            <w:pPr>
              <w:numPr>
                <w:ilvl w:val="0"/>
                <w:numId w:val="79"/>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follow natural contours, not resulting in batters or retaining walls being greater than 900mm in height.</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vMerge w:val="restar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lastRenderedPageBreak/>
              <w:t>PO65</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Buildings and structures incorporate colours and finishes that:</w:t>
            </w:r>
          </w:p>
          <w:p w:rsidR="00816DE1" w:rsidRPr="00816DE1" w:rsidRDefault="00816DE1" w:rsidP="0069586D">
            <w:pPr>
              <w:numPr>
                <w:ilvl w:val="0"/>
                <w:numId w:val="8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are consistent with a natural, open space character and bushland environment;</w:t>
            </w:r>
          </w:p>
          <w:p w:rsidR="00816DE1" w:rsidRPr="00816DE1" w:rsidRDefault="00816DE1" w:rsidP="0069586D">
            <w:pPr>
              <w:numPr>
                <w:ilvl w:val="0"/>
                <w:numId w:val="8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 not produce glare or appear visual incompatible with the surrounding natural character and bushland environment;</w:t>
            </w:r>
          </w:p>
          <w:p w:rsidR="00816DE1" w:rsidRPr="00816DE1" w:rsidRDefault="00816DE1" w:rsidP="0069586D">
            <w:pPr>
              <w:numPr>
                <w:ilvl w:val="0"/>
                <w:numId w:val="80"/>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are not visually dominant or detract from the natural qualities of the landscape.</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E65.1</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Where located in the Regionally significant (hills) scenic amenity overlay, roofs and wall surfaces of buildings and structures adopt the following colours: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608"/>
              <w:gridCol w:w="1701"/>
              <w:gridCol w:w="1983"/>
            </w:tblGrid>
            <w:tr w:rsidR="00816DE1" w:rsidRPr="00816DE1" w:rsidTr="003D5BCB">
              <w:trPr>
                <w:tblCellSpacing w:w="15" w:type="dxa"/>
              </w:trPr>
              <w:tc>
                <w:tcPr>
                  <w:tcW w:w="5232" w:type="dxa"/>
                  <w:gridSpan w:val="3"/>
                  <w:tcBorders>
                    <w:top w:val="outset" w:sz="6" w:space="0" w:color="auto"/>
                    <w:left w:val="outset" w:sz="6" w:space="0" w:color="auto"/>
                    <w:bottom w:val="outset" w:sz="6" w:space="0" w:color="auto"/>
                    <w:right w:val="outset" w:sz="6" w:space="0" w:color="auto"/>
                  </w:tcBorders>
                  <w:shd w:val="clear" w:color="auto" w:fill="CCCCCC"/>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Colours from Australian Standard AS2700s – 1996</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G12 – Holly</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G54 – Mist Green</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 44 – Bridge Grey</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G13 – Emerald</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G55 – Lichen</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N45 – Koala Grey</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G14 – Moss Green</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G56 – Sage Green</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N52 – Mid Grey</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G15 – Rainforest Green</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G62 – Rivergum</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N54 – Basalt</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G16 – Traffic Green</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G64 – Slate</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N55 – Lead Grey</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G17 – Mint Green</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 xml:space="preserve">G65 – </w:t>
                  </w:r>
                  <w:proofErr w:type="spellStart"/>
                  <w:r w:rsidRPr="00816DE1">
                    <w:rPr>
                      <w:rFonts w:ascii="Arial" w:eastAsia="Times New Roman" w:hAnsi="Arial" w:cs="Arial"/>
                      <w:sz w:val="20"/>
                      <w:szCs w:val="20"/>
                    </w:rPr>
                    <w:t>Ti</w:t>
                  </w:r>
                  <w:proofErr w:type="spellEnd"/>
                  <w:r w:rsidRPr="00816DE1">
                    <w:rPr>
                      <w:rFonts w:ascii="Arial" w:eastAsia="Times New Roman" w:hAnsi="Arial" w:cs="Arial"/>
                      <w:sz w:val="20"/>
                      <w:szCs w:val="20"/>
                    </w:rPr>
                    <w:t xml:space="preserve"> Tree</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X54 – Brown</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G21 – Jade</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N25 – Birch Grey</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X61 – Wombat</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G22 – Serpentine</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N32 – Green Grey</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X62 – Dark Earth</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G23 – Shamrock</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N33 – Lightbox Grey</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X63 – Iron Bark</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G24 – Fern Green</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N35 – Light Grey</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Y51 – Bronze Olive</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G25 – Olive</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N41 – Oyster</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Y61 – Black Olive</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G34 – Avocado</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N42 – Storm Grey</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Y63 – Khaki</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G52 – Eucalyptus</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N43 – Pipeline Grey</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Y66 – Mudstone</w:t>
                  </w:r>
                </w:p>
              </w:tc>
            </w:tr>
            <w:tr w:rsidR="00816DE1" w:rsidRPr="00816DE1" w:rsidTr="003D5BCB">
              <w:trPr>
                <w:tblCellSpacing w:w="15" w:type="dxa"/>
              </w:trPr>
              <w:tc>
                <w:tcPr>
                  <w:tcW w:w="1563"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G53 – Banksia</w:t>
                  </w:r>
                </w:p>
              </w:tc>
              <w:tc>
                <w:tcPr>
                  <w:tcW w:w="1671"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 </w:t>
                  </w:r>
                </w:p>
              </w:tc>
              <w:tc>
                <w:tcPr>
                  <w:tcW w:w="1938" w:type="dxa"/>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 </w:t>
                  </w:r>
                </w:p>
              </w:tc>
            </w:tr>
          </w:tbl>
          <w:p w:rsidR="00816DE1" w:rsidRPr="00816DE1" w:rsidRDefault="00816DE1" w:rsidP="00E257BD">
            <w:pPr>
              <w:rPr>
                <w:rFonts w:ascii="Arial" w:eastAsia="Times New Roman" w:hAnsi="Arial" w:cs="Arial"/>
                <w:sz w:val="20"/>
                <w:szCs w:val="20"/>
              </w:rPr>
            </w:pP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vMerge/>
            <w:tcBorders>
              <w:top w:val="outset" w:sz="6" w:space="0" w:color="auto"/>
              <w:left w:val="outset" w:sz="6" w:space="0" w:color="auto"/>
              <w:bottom w:val="outset" w:sz="6" w:space="0" w:color="auto"/>
              <w:right w:val="outset" w:sz="6" w:space="0" w:color="auto"/>
            </w:tcBorders>
            <w:vAlign w:val="center"/>
            <w:hideMark/>
          </w:tcPr>
          <w:p w:rsidR="00816DE1" w:rsidRPr="00816DE1" w:rsidRDefault="00816DE1" w:rsidP="00E257BD">
            <w:pPr>
              <w:rPr>
                <w:rFonts w:ascii="Arial" w:eastAsia="Times New Roman" w:hAnsi="Arial" w:cs="Arial"/>
                <w:sz w:val="20"/>
                <w:szCs w:val="20"/>
              </w:rPr>
            </w:pP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E65.2</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lastRenderedPageBreak/>
              <w:t>Where located in the Regionally significant (hills) scenic amenity overlay, roofs and wall surfaces of buildings and structures are painted or finished such that reflectivity is less than 35%.</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1432"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PO66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Landscaping</w:t>
            </w:r>
          </w:p>
          <w:p w:rsidR="00816DE1" w:rsidRPr="00816DE1" w:rsidRDefault="00816DE1" w:rsidP="0069586D">
            <w:pPr>
              <w:numPr>
                <w:ilvl w:val="0"/>
                <w:numId w:val="8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complements the coastal landscape character and amenity;</w:t>
            </w:r>
          </w:p>
          <w:p w:rsidR="00816DE1" w:rsidRPr="00816DE1" w:rsidRDefault="00816DE1" w:rsidP="0069586D">
            <w:pPr>
              <w:numPr>
                <w:ilvl w:val="0"/>
                <w:numId w:val="81"/>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has known resilience and robustness in the coastal environment;</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Fences and walls:</w:t>
            </w:r>
          </w:p>
          <w:p w:rsidR="00816DE1" w:rsidRPr="00816DE1" w:rsidRDefault="00816DE1" w:rsidP="0069586D">
            <w:pPr>
              <w:numPr>
                <w:ilvl w:val="0"/>
                <w:numId w:val="8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do not appear visually dominant or conspicuous within its setting;</w:t>
            </w:r>
          </w:p>
          <w:p w:rsidR="00816DE1" w:rsidRPr="00816DE1" w:rsidRDefault="00816DE1" w:rsidP="0069586D">
            <w:pPr>
              <w:numPr>
                <w:ilvl w:val="0"/>
                <w:numId w:val="8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 xml:space="preserve">reduce visual appearance </w:t>
            </w:r>
            <w:proofErr w:type="gramStart"/>
            <w:r w:rsidRPr="00816DE1">
              <w:rPr>
                <w:rFonts w:ascii="Arial" w:eastAsia="Times New Roman" w:hAnsi="Arial" w:cs="Arial"/>
                <w:sz w:val="20"/>
                <w:szCs w:val="20"/>
              </w:rPr>
              <w:t>through the use of</w:t>
            </w:r>
            <w:proofErr w:type="gramEnd"/>
            <w:r w:rsidRPr="00816DE1">
              <w:rPr>
                <w:rFonts w:ascii="Arial" w:eastAsia="Times New Roman" w:hAnsi="Arial" w:cs="Arial"/>
                <w:sz w:val="20"/>
                <w:szCs w:val="20"/>
              </w:rPr>
              <w:t xml:space="preserve"> built form articulation, setbacks, and plant screening;</w:t>
            </w:r>
          </w:p>
          <w:p w:rsidR="00816DE1" w:rsidRPr="00816DE1" w:rsidRDefault="00816DE1" w:rsidP="0069586D">
            <w:pPr>
              <w:numPr>
                <w:ilvl w:val="0"/>
                <w:numId w:val="82"/>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use materials and colours that are complementary to the coastal environment.</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 xml:space="preserve">Building design responds to the bayside location and complements the </w:t>
            </w:r>
            <w:proofErr w:type="gramStart"/>
            <w:r w:rsidRPr="00816DE1">
              <w:rPr>
                <w:rFonts w:ascii="Arial" w:hAnsi="Arial" w:cs="Arial"/>
                <w:sz w:val="20"/>
                <w:szCs w:val="20"/>
              </w:rPr>
              <w:t>particular bayside</w:t>
            </w:r>
            <w:proofErr w:type="gramEnd"/>
            <w:r w:rsidRPr="00816DE1">
              <w:rPr>
                <w:rFonts w:ascii="Arial" w:hAnsi="Arial" w:cs="Arial"/>
                <w:sz w:val="20"/>
                <w:szCs w:val="20"/>
              </w:rPr>
              <w:t xml:space="preserve"> character and amenity by adopting and incorporating a range of architectural character elements.</w:t>
            </w:r>
          </w:p>
          <w:p w:rsidR="00816DE1" w:rsidRPr="00816DE1" w:rsidRDefault="00816DE1" w:rsidP="00E257BD">
            <w:pPr>
              <w:rPr>
                <w:rFonts w:ascii="Arial" w:eastAsia="Times New Roman" w:hAnsi="Arial" w:cs="Arial"/>
                <w:sz w:val="20"/>
                <w:szCs w:val="20"/>
              </w:rPr>
            </w:pPr>
            <w:r w:rsidRPr="00816DE1">
              <w:rPr>
                <w:rFonts w:ascii="Arial" w:eastAsia="Times New Roman" w:hAnsi="Arial" w:cs="Arial"/>
                <w:sz w:val="20"/>
                <w:szCs w:val="20"/>
              </w:rPr>
              <w:t>Vegetation that contributes to bayside character and identity are:</w:t>
            </w:r>
          </w:p>
          <w:p w:rsidR="00816DE1" w:rsidRPr="00816DE1" w:rsidRDefault="00816DE1" w:rsidP="0069586D">
            <w:pPr>
              <w:numPr>
                <w:ilvl w:val="0"/>
                <w:numId w:val="8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retained;</w:t>
            </w:r>
          </w:p>
          <w:p w:rsidR="00816DE1" w:rsidRPr="00816DE1" w:rsidRDefault="00816DE1" w:rsidP="0069586D">
            <w:pPr>
              <w:numPr>
                <w:ilvl w:val="0"/>
                <w:numId w:val="83"/>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protected from development diminishing their significance.</w:t>
            </w:r>
          </w:p>
        </w:tc>
        <w:tc>
          <w:tcPr>
            <w:tcW w:w="1753" w:type="pct"/>
            <w:tcBorders>
              <w:top w:val="outset" w:sz="6" w:space="0" w:color="auto"/>
              <w:left w:val="outset" w:sz="6" w:space="0" w:color="auto"/>
              <w:bottom w:val="outset" w:sz="6" w:space="0" w:color="auto"/>
              <w:right w:val="outset" w:sz="6" w:space="0" w:color="auto"/>
            </w:tcBorders>
            <w:hideMark/>
          </w:tcPr>
          <w:p w:rsidR="00816DE1" w:rsidRPr="00816DE1" w:rsidRDefault="00816DE1" w:rsidP="00E257BD">
            <w:pPr>
              <w:pStyle w:val="NormalWeb"/>
              <w:rPr>
                <w:rFonts w:ascii="Arial" w:hAnsi="Arial" w:cs="Arial"/>
                <w:sz w:val="20"/>
                <w:szCs w:val="20"/>
              </w:rPr>
            </w:pPr>
            <w:r w:rsidRPr="00816DE1">
              <w:rPr>
                <w:rStyle w:val="Strong"/>
                <w:rFonts w:ascii="Arial" w:hAnsi="Arial" w:cs="Arial"/>
                <w:sz w:val="20"/>
                <w:szCs w:val="20"/>
              </w:rPr>
              <w:t>E66</w:t>
            </w:r>
          </w:p>
          <w:p w:rsidR="00816DE1" w:rsidRPr="00816DE1" w:rsidRDefault="00816DE1" w:rsidP="00E257BD">
            <w:pPr>
              <w:pStyle w:val="NormalWeb"/>
              <w:rPr>
                <w:rFonts w:ascii="Arial" w:hAnsi="Arial" w:cs="Arial"/>
                <w:sz w:val="20"/>
                <w:szCs w:val="20"/>
              </w:rPr>
            </w:pPr>
            <w:r w:rsidRPr="00816DE1">
              <w:rPr>
                <w:rFonts w:ascii="Arial" w:hAnsi="Arial" w:cs="Arial"/>
                <w:sz w:val="20"/>
                <w:szCs w:val="20"/>
              </w:rPr>
              <w:t>Where located in the Locally Important (Coast) scenic amenity overlay:</w:t>
            </w:r>
          </w:p>
          <w:p w:rsidR="00816DE1" w:rsidRPr="00816DE1" w:rsidRDefault="00816DE1" w:rsidP="0069586D">
            <w:pPr>
              <w:numPr>
                <w:ilvl w:val="0"/>
                <w:numId w:val="8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landscaping comprises indigenous coastal species;</w:t>
            </w:r>
          </w:p>
          <w:p w:rsidR="00816DE1" w:rsidRPr="00816DE1" w:rsidRDefault="00816DE1" w:rsidP="0069586D">
            <w:pPr>
              <w:numPr>
                <w:ilvl w:val="0"/>
                <w:numId w:val="8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fences and walls are no higher than 1m; and</w:t>
            </w:r>
          </w:p>
          <w:p w:rsidR="00816DE1" w:rsidRPr="00816DE1" w:rsidRDefault="00816DE1" w:rsidP="0069586D">
            <w:pPr>
              <w:numPr>
                <w:ilvl w:val="0"/>
                <w:numId w:val="8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existing pine trees, palm trees, mature fig and cotton trees are retained.</w:t>
            </w:r>
          </w:p>
          <w:p w:rsidR="00816DE1" w:rsidRPr="00816DE1" w:rsidRDefault="00816DE1" w:rsidP="0069586D">
            <w:pPr>
              <w:numPr>
                <w:ilvl w:val="0"/>
                <w:numId w:val="8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where over 12m in height, the building design includes the following architectural character elements:</w:t>
            </w:r>
          </w:p>
          <w:p w:rsidR="00816DE1" w:rsidRPr="00816DE1" w:rsidRDefault="00816DE1" w:rsidP="0069586D">
            <w:pPr>
              <w:numPr>
                <w:ilvl w:val="1"/>
                <w:numId w:val="8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curving balcony edges and walls, strong vertical blades and wall planes;</w:t>
            </w:r>
          </w:p>
          <w:p w:rsidR="00816DE1" w:rsidRPr="00816DE1" w:rsidRDefault="00816DE1" w:rsidP="0069586D">
            <w:pPr>
              <w:numPr>
                <w:ilvl w:val="1"/>
                <w:numId w:val="8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balcony roofs, wall articulation expressed with different colours, curves in plan and section, and window awnings;</w:t>
            </w:r>
          </w:p>
          <w:p w:rsidR="00816DE1" w:rsidRPr="00816DE1" w:rsidRDefault="00816DE1" w:rsidP="0069586D">
            <w:pPr>
              <w:numPr>
                <w:ilvl w:val="1"/>
                <w:numId w:val="8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roof top outlooks, tensile structures as shading devices;</w:t>
            </w:r>
          </w:p>
          <w:p w:rsidR="00816DE1" w:rsidRPr="00816DE1" w:rsidRDefault="00816DE1" w:rsidP="0069586D">
            <w:pPr>
              <w:numPr>
                <w:ilvl w:val="1"/>
                <w:numId w:val="84"/>
              </w:numPr>
              <w:spacing w:before="100" w:beforeAutospacing="1" w:after="100" w:afterAutospacing="1"/>
              <w:rPr>
                <w:rFonts w:ascii="Arial" w:eastAsia="Times New Roman" w:hAnsi="Arial" w:cs="Arial"/>
                <w:sz w:val="20"/>
                <w:szCs w:val="20"/>
              </w:rPr>
            </w:pPr>
            <w:r w:rsidRPr="00816DE1">
              <w:rPr>
                <w:rFonts w:ascii="Arial" w:eastAsia="Times New Roman" w:hAnsi="Arial" w:cs="Arial"/>
                <w:sz w:val="20"/>
                <w:szCs w:val="20"/>
              </w:rPr>
              <w:t>lightweight structures use white frame elements in steel and timber, bold colour contrast.</w:t>
            </w:r>
          </w:p>
        </w:tc>
        <w:tc>
          <w:tcPr>
            <w:tcW w:w="801"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c>
          <w:tcPr>
            <w:tcW w:w="965" w:type="pct"/>
            <w:tcBorders>
              <w:top w:val="outset" w:sz="6" w:space="0" w:color="auto"/>
              <w:left w:val="outset" w:sz="6" w:space="0" w:color="auto"/>
              <w:bottom w:val="outset" w:sz="6" w:space="0" w:color="auto"/>
              <w:right w:val="outset" w:sz="6" w:space="0" w:color="auto"/>
            </w:tcBorders>
          </w:tcPr>
          <w:p w:rsidR="00816DE1" w:rsidRPr="00816DE1" w:rsidRDefault="00816DE1" w:rsidP="00E257BD">
            <w:pPr>
              <w:pStyle w:val="NormalWeb"/>
              <w:rPr>
                <w:rStyle w:val="Strong"/>
                <w:rFonts w:ascii="Arial" w:hAnsi="Arial" w:cs="Arial"/>
                <w:sz w:val="20"/>
                <w:szCs w:val="20"/>
              </w:rPr>
            </w:pPr>
          </w:p>
        </w:tc>
      </w:tr>
      <w:tr w:rsidR="00E257BD" w:rsidRPr="00816DE1" w:rsidTr="00E257BD">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257BD" w:rsidRPr="00816DE1" w:rsidRDefault="00E257BD" w:rsidP="00E257BD">
            <w:pPr>
              <w:pStyle w:val="NormalWeb"/>
              <w:rPr>
                <w:rFonts w:ascii="Arial" w:hAnsi="Arial" w:cs="Arial"/>
                <w:sz w:val="20"/>
                <w:szCs w:val="20"/>
              </w:rPr>
            </w:pPr>
            <w:r w:rsidRPr="00816DE1">
              <w:rPr>
                <w:rStyle w:val="Strong"/>
                <w:rFonts w:ascii="Arial" w:hAnsi="Arial" w:cs="Arial"/>
                <w:sz w:val="20"/>
                <w:szCs w:val="20"/>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04"/>
            </w:tblGrid>
            <w:tr w:rsidR="00E257BD" w:rsidRPr="00816DE1" w:rsidTr="00816DE1">
              <w:trPr>
                <w:tblCellSpacing w:w="15" w:type="dxa"/>
              </w:trPr>
              <w:tc>
                <w:tcPr>
                  <w:tcW w:w="14944" w:type="dxa"/>
                  <w:vAlign w:val="center"/>
                  <w:hideMark/>
                </w:tcPr>
                <w:p w:rsidR="00E257BD" w:rsidRPr="00816DE1" w:rsidRDefault="00E257BD" w:rsidP="00E257BD">
                  <w:pPr>
                    <w:pStyle w:val="NormalWeb"/>
                    <w:rPr>
                      <w:rFonts w:ascii="Arial" w:hAnsi="Arial" w:cs="Arial"/>
                      <w:sz w:val="20"/>
                      <w:szCs w:val="20"/>
                    </w:rPr>
                  </w:pPr>
                  <w:r w:rsidRPr="00816DE1">
                    <w:rPr>
                      <w:rFonts w:ascii="Arial" w:hAnsi="Arial" w:cs="Arial"/>
                      <w:sz w:val="20"/>
                      <w:szCs w:val="20"/>
                    </w:rPr>
                    <w:lastRenderedPageBreak/>
                    <w:t>Note - This is for information purposes only. No requirements for accepted development or assessable criteria apply. Development located within a Transport Noise Corridor must satisfy the requirements of the Queensland Development Code</w:t>
                  </w:r>
                </w:p>
              </w:tc>
            </w:tr>
          </w:tbl>
          <w:p w:rsidR="00E257BD" w:rsidRPr="00816DE1" w:rsidRDefault="00E257BD" w:rsidP="00E257BD">
            <w:pPr>
              <w:pStyle w:val="NormalWeb"/>
              <w:rPr>
                <w:rStyle w:val="Strong"/>
                <w:rFonts w:ascii="Arial" w:hAnsi="Arial" w:cs="Arial"/>
                <w:sz w:val="20"/>
                <w:szCs w:val="20"/>
              </w:rPr>
            </w:pPr>
          </w:p>
        </w:tc>
      </w:tr>
    </w:tbl>
    <w:p w:rsidR="00641E2E" w:rsidRDefault="00641E2E">
      <w:pPr>
        <w:rPr>
          <w:rFonts w:ascii="Arial" w:hAnsi="Arial" w:cs="Arial"/>
        </w:rPr>
      </w:pPr>
    </w:p>
    <w:p w:rsidR="00B11E22" w:rsidRPr="00076E12" w:rsidRDefault="00B11E22" w:rsidP="00B11E22">
      <w:pPr>
        <w:shd w:val="clear" w:color="auto" w:fill="FFFFFF"/>
        <w:spacing w:before="100" w:beforeAutospacing="1" w:after="100" w:afterAutospacing="1"/>
        <w:ind w:right="150"/>
        <w:jc w:val="center"/>
        <w:rPr>
          <w:rFonts w:ascii="Arial" w:eastAsia="Times New Roman" w:hAnsi="Arial" w:cs="Arial"/>
          <w:sz w:val="20"/>
          <w:szCs w:val="20"/>
        </w:rPr>
      </w:pPr>
      <w:r w:rsidRPr="00076E12">
        <w:rPr>
          <w:rFonts w:ascii="Arial" w:eastAsia="Times New Roman" w:hAnsi="Arial" w:cs="Arial"/>
          <w:b/>
          <w:bCs/>
          <w:sz w:val="20"/>
          <w:szCs w:val="20"/>
        </w:rPr>
        <w:t>Setback Tables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99"/>
        <w:gridCol w:w="1384"/>
        <w:gridCol w:w="1378"/>
        <w:gridCol w:w="1690"/>
        <w:gridCol w:w="1371"/>
        <w:gridCol w:w="1257"/>
        <w:gridCol w:w="1525"/>
        <w:gridCol w:w="1362"/>
        <w:gridCol w:w="1344"/>
        <w:gridCol w:w="1317"/>
        <w:gridCol w:w="1371"/>
      </w:tblGrid>
      <w:tr w:rsidR="00B11E22" w:rsidRPr="009451ED" w:rsidTr="001D6250">
        <w:trPr>
          <w:tblCellSpacing w:w="15" w:type="dxa"/>
        </w:trPr>
        <w:tc>
          <w:tcPr>
            <w:tcW w:w="0" w:type="auto"/>
            <w:gridSpan w:val="11"/>
            <w:tcBorders>
              <w:top w:val="nil"/>
              <w:left w:val="nil"/>
              <w:bottom w:val="nil"/>
              <w:right w:val="nil"/>
            </w:tcBorders>
            <w:shd w:val="clear" w:color="auto" w:fill="CCCCCC"/>
            <w:vAlign w:val="center"/>
            <w:hideMark/>
          </w:tcPr>
          <w:p w:rsidR="00B11E22" w:rsidRPr="009451ED" w:rsidRDefault="00B11E22" w:rsidP="001D6250">
            <w:pPr>
              <w:jc w:val="center"/>
              <w:rPr>
                <w:rFonts w:ascii="Arial" w:eastAsia="Times New Roman" w:hAnsi="Arial" w:cs="Arial"/>
                <w:sz w:val="20"/>
                <w:szCs w:val="20"/>
              </w:rPr>
            </w:pPr>
            <w:r w:rsidRPr="009451ED">
              <w:rPr>
                <w:rStyle w:val="Strong"/>
                <w:rFonts w:ascii="Arial" w:eastAsia="Times New Roman" w:hAnsi="Arial" w:cs="Arial"/>
                <w:sz w:val="20"/>
                <w:szCs w:val="20"/>
              </w:rPr>
              <w:t>Table 9.3.1.3 Setbacks</w:t>
            </w:r>
          </w:p>
        </w:tc>
      </w:tr>
      <w:tr w:rsidR="00B11E22" w:rsidRPr="009451ED" w:rsidTr="001D6250">
        <w:trPr>
          <w:tblCellSpacing w:w="15" w:type="dxa"/>
        </w:trPr>
        <w:tc>
          <w:tcPr>
            <w:tcW w:w="5126" w:type="pct"/>
            <w:gridSpan w:val="11"/>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1D6250">
            <w:pPr>
              <w:pStyle w:val="NormalWeb"/>
              <w:jc w:val="center"/>
              <w:rPr>
                <w:rFonts w:ascii="Arial" w:hAnsi="Arial" w:cs="Arial"/>
                <w:sz w:val="20"/>
                <w:szCs w:val="20"/>
              </w:rPr>
            </w:pPr>
            <w:r w:rsidRPr="009451ED">
              <w:rPr>
                <w:rStyle w:val="Strong"/>
                <w:rFonts w:ascii="Arial" w:hAnsi="Arial" w:cs="Arial"/>
                <w:sz w:val="20"/>
                <w:szCs w:val="20"/>
              </w:rPr>
              <w:t xml:space="preserve">Coastal </w:t>
            </w:r>
            <w:proofErr w:type="gramStart"/>
            <w:r w:rsidRPr="009451ED">
              <w:rPr>
                <w:rStyle w:val="Strong"/>
                <w:rFonts w:ascii="Arial" w:hAnsi="Arial" w:cs="Arial"/>
                <w:sz w:val="20"/>
                <w:szCs w:val="20"/>
              </w:rPr>
              <w:t>communities</w:t>
            </w:r>
            <w:proofErr w:type="gramEnd"/>
            <w:r w:rsidRPr="009451ED">
              <w:rPr>
                <w:rStyle w:val="Strong"/>
                <w:rFonts w:ascii="Arial" w:hAnsi="Arial" w:cs="Arial"/>
                <w:sz w:val="20"/>
                <w:szCs w:val="20"/>
              </w:rPr>
              <w:t xml:space="preserve"> precinct and Redcliffe Kippa-Ring local plan - Interim residential precinct</w:t>
            </w:r>
          </w:p>
        </w:tc>
      </w:tr>
      <w:tr w:rsidR="00B11E22" w:rsidRPr="009451ED" w:rsidTr="001D6250">
        <w:trPr>
          <w:tblCellSpacing w:w="15" w:type="dxa"/>
        </w:trPr>
        <w:tc>
          <w:tcPr>
            <w:tcW w:w="45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1D6250">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1386" w:type="pct"/>
            <w:gridSpan w:val="3"/>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1D6250">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Primary</w:t>
            </w:r>
          </w:p>
        </w:tc>
        <w:tc>
          <w:tcPr>
            <w:tcW w:w="116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1D6250">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Secondary to street</w:t>
            </w:r>
          </w:p>
        </w:tc>
        <w:tc>
          <w:tcPr>
            <w:tcW w:w="443" w:type="pc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1D6250">
            <w:pPr>
              <w:pStyle w:val="NormalWeb"/>
              <w:jc w:val="center"/>
              <w:rPr>
                <w:rFonts w:ascii="Arial" w:hAnsi="Arial" w:cs="Arial"/>
                <w:sz w:val="20"/>
                <w:szCs w:val="20"/>
              </w:rPr>
            </w:pPr>
            <w:r w:rsidRPr="009451ED">
              <w:rPr>
                <w:rStyle w:val="Strong"/>
                <w:rFonts w:ascii="Arial" w:hAnsi="Arial" w:cs="Arial"/>
                <w:sz w:val="20"/>
                <w:szCs w:val="20"/>
              </w:rPr>
              <w:t>Frontage</w:t>
            </w:r>
          </w:p>
          <w:p w:rsidR="00B11E22" w:rsidRPr="009451ED" w:rsidRDefault="00B11E22" w:rsidP="001D6250">
            <w:pPr>
              <w:pStyle w:val="NormalWeb"/>
              <w:jc w:val="center"/>
              <w:rPr>
                <w:rFonts w:ascii="Arial" w:hAnsi="Arial" w:cs="Arial"/>
                <w:sz w:val="20"/>
                <w:szCs w:val="20"/>
              </w:rPr>
            </w:pPr>
            <w:r w:rsidRPr="009451ED">
              <w:rPr>
                <w:rStyle w:val="Strong"/>
                <w:rFonts w:ascii="Arial" w:hAnsi="Arial" w:cs="Arial"/>
                <w:sz w:val="20"/>
                <w:szCs w:val="20"/>
              </w:rPr>
              <w:t> Secondary to lane</w:t>
            </w:r>
          </w:p>
        </w:tc>
        <w:tc>
          <w:tcPr>
            <w:tcW w:w="437"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1D6250">
            <w:pPr>
              <w:pStyle w:val="NormalWeb"/>
              <w:jc w:val="center"/>
              <w:rPr>
                <w:rFonts w:ascii="Arial" w:hAnsi="Arial" w:cs="Arial"/>
                <w:sz w:val="20"/>
                <w:szCs w:val="20"/>
              </w:rPr>
            </w:pPr>
            <w:r w:rsidRPr="009451ED">
              <w:rPr>
                <w:rStyle w:val="Strong"/>
                <w:rFonts w:ascii="Arial" w:hAnsi="Arial" w:cs="Arial"/>
                <w:sz w:val="20"/>
                <w:szCs w:val="20"/>
              </w:rPr>
              <w:t xml:space="preserve">Side </w:t>
            </w:r>
            <w:proofErr w:type="gramStart"/>
            <w:r w:rsidRPr="009451ED">
              <w:rPr>
                <w:rStyle w:val="Strong"/>
                <w:rFonts w:ascii="Arial" w:hAnsi="Arial" w:cs="Arial"/>
                <w:sz w:val="20"/>
                <w:szCs w:val="20"/>
              </w:rPr>
              <w:t>To</w:t>
            </w:r>
            <w:proofErr w:type="gramEnd"/>
            <w:r w:rsidRPr="009451ED">
              <w:rPr>
                <w:rStyle w:val="Strong"/>
                <w:rFonts w:ascii="Arial" w:hAnsi="Arial" w:cs="Arial"/>
                <w:sz w:val="20"/>
                <w:szCs w:val="20"/>
              </w:rPr>
              <w:t xml:space="preserve"> OMP and wall</w:t>
            </w:r>
          </w:p>
        </w:tc>
        <w:tc>
          <w:tcPr>
            <w:tcW w:w="428"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1D6250">
            <w:pPr>
              <w:pStyle w:val="NormalWeb"/>
              <w:jc w:val="center"/>
              <w:rPr>
                <w:rFonts w:ascii="Arial" w:hAnsi="Arial" w:cs="Arial"/>
                <w:sz w:val="20"/>
                <w:szCs w:val="20"/>
              </w:rPr>
            </w:pPr>
            <w:r w:rsidRPr="009451ED">
              <w:rPr>
                <w:rStyle w:val="Strong"/>
                <w:rFonts w:ascii="Arial" w:hAnsi="Arial" w:cs="Arial"/>
                <w:sz w:val="20"/>
                <w:szCs w:val="20"/>
              </w:rPr>
              <w:t xml:space="preserve">Rear </w:t>
            </w:r>
            <w:proofErr w:type="gramStart"/>
            <w:r w:rsidRPr="009451ED">
              <w:rPr>
                <w:rStyle w:val="Strong"/>
                <w:rFonts w:ascii="Arial" w:hAnsi="Arial" w:cs="Arial"/>
                <w:sz w:val="20"/>
                <w:szCs w:val="20"/>
              </w:rPr>
              <w:t>To</w:t>
            </w:r>
            <w:proofErr w:type="gramEnd"/>
            <w:r w:rsidRPr="009451ED">
              <w:rPr>
                <w:rStyle w:val="Strong"/>
                <w:rFonts w:ascii="Arial" w:hAnsi="Arial" w:cs="Arial"/>
                <w:sz w:val="20"/>
                <w:szCs w:val="20"/>
              </w:rPr>
              <w:t xml:space="preserve"> OMP and wall</w:t>
            </w:r>
          </w:p>
        </w:tc>
        <w:tc>
          <w:tcPr>
            <w:tcW w:w="426"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1D6250">
            <w:pPr>
              <w:pStyle w:val="NormalWeb"/>
              <w:jc w:val="center"/>
              <w:rPr>
                <w:rFonts w:ascii="Arial" w:hAnsi="Arial" w:cs="Arial"/>
                <w:sz w:val="20"/>
                <w:szCs w:val="20"/>
              </w:rPr>
            </w:pPr>
            <w:r w:rsidRPr="009451ED">
              <w:rPr>
                <w:rStyle w:val="Strong"/>
                <w:rFonts w:ascii="Arial" w:hAnsi="Arial" w:cs="Arial"/>
                <w:sz w:val="20"/>
                <w:szCs w:val="20"/>
              </w:rPr>
              <w:t>Trafficable water body </w:t>
            </w:r>
          </w:p>
          <w:p w:rsidR="00B11E22" w:rsidRPr="009451ED" w:rsidRDefault="00B11E22" w:rsidP="001D6250">
            <w:pPr>
              <w:pStyle w:val="NormalWeb"/>
              <w:jc w:val="center"/>
              <w:rPr>
                <w:rFonts w:ascii="Arial" w:hAnsi="Arial" w:cs="Arial"/>
                <w:sz w:val="20"/>
                <w:szCs w:val="20"/>
              </w:rPr>
            </w:pPr>
            <w:r w:rsidRPr="009451ED">
              <w:rPr>
                <w:rStyle w:val="Strong"/>
                <w:rFonts w:ascii="Arial" w:hAnsi="Arial" w:cs="Arial"/>
                <w:sz w:val="20"/>
                <w:szCs w:val="20"/>
              </w:rPr>
              <w:t>To OMP and wall</w:t>
            </w:r>
          </w:p>
        </w:tc>
      </w:tr>
      <w:tr w:rsidR="009451ED" w:rsidRPr="009451ED" w:rsidTr="001D625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1E22" w:rsidRPr="009451ED" w:rsidRDefault="00B11E22" w:rsidP="001D6250">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1D6250">
            <w:pPr>
              <w:pStyle w:val="NormalWeb"/>
              <w:jc w:val="center"/>
              <w:rPr>
                <w:rFonts w:ascii="Arial" w:hAnsi="Arial" w:cs="Arial"/>
                <w:sz w:val="20"/>
                <w:szCs w:val="20"/>
              </w:rPr>
            </w:pPr>
            <w:r w:rsidRPr="009451ED">
              <w:rPr>
                <w:rStyle w:val="Strong"/>
                <w:rFonts w:ascii="Arial" w:hAnsi="Arial" w:cs="Arial"/>
                <w:sz w:val="20"/>
                <w:szCs w:val="20"/>
              </w:rPr>
              <w:t>To wall</w:t>
            </w:r>
          </w:p>
        </w:tc>
        <w:tc>
          <w:tcPr>
            <w:tcW w:w="448" w:type="pc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1D6250">
            <w:pPr>
              <w:pStyle w:val="NormalWeb"/>
              <w:jc w:val="center"/>
              <w:rPr>
                <w:rFonts w:ascii="Arial" w:hAnsi="Arial" w:cs="Arial"/>
                <w:sz w:val="20"/>
                <w:szCs w:val="20"/>
              </w:rPr>
            </w:pPr>
            <w:r w:rsidRPr="009451ED">
              <w:rPr>
                <w:rStyle w:val="Strong"/>
                <w:rFonts w:ascii="Arial" w:hAnsi="Arial" w:cs="Arial"/>
                <w:sz w:val="20"/>
                <w:szCs w:val="20"/>
              </w:rPr>
              <w:t>To OMP</w:t>
            </w:r>
          </w:p>
        </w:tc>
        <w:tc>
          <w:tcPr>
            <w:tcW w:w="552" w:type="pc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1D6250">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B11E22" w:rsidRPr="009451ED" w:rsidRDefault="00B11E22" w:rsidP="001D6250">
            <w:pPr>
              <w:rPr>
                <w:rFonts w:ascii="Arial" w:eastAsia="Times New Roman" w:hAnsi="Arial" w:cs="Arial"/>
                <w:sz w:val="20"/>
                <w:szCs w:val="20"/>
              </w:rPr>
            </w:pPr>
          </w:p>
        </w:tc>
        <w:tc>
          <w:tcPr>
            <w:tcW w:w="446" w:type="pc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1D6250">
            <w:pPr>
              <w:pStyle w:val="NormalWeb"/>
              <w:jc w:val="center"/>
              <w:rPr>
                <w:rFonts w:ascii="Arial" w:hAnsi="Arial" w:cs="Arial"/>
                <w:sz w:val="20"/>
                <w:szCs w:val="20"/>
              </w:rPr>
            </w:pPr>
            <w:r w:rsidRPr="009451ED">
              <w:rPr>
                <w:rStyle w:val="Strong"/>
                <w:rFonts w:ascii="Arial" w:hAnsi="Arial" w:cs="Arial"/>
                <w:sz w:val="20"/>
                <w:szCs w:val="20"/>
              </w:rPr>
              <w:t>To wall</w:t>
            </w:r>
          </w:p>
        </w:tc>
        <w:tc>
          <w:tcPr>
            <w:tcW w:w="408" w:type="pc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1D6250">
            <w:pPr>
              <w:pStyle w:val="NormalWeb"/>
              <w:jc w:val="center"/>
              <w:rPr>
                <w:rFonts w:ascii="Arial" w:hAnsi="Arial" w:cs="Arial"/>
                <w:sz w:val="20"/>
                <w:szCs w:val="20"/>
              </w:rPr>
            </w:pPr>
            <w:r w:rsidRPr="009451ED">
              <w:rPr>
                <w:rStyle w:val="Strong"/>
                <w:rFonts w:ascii="Arial" w:hAnsi="Arial" w:cs="Arial"/>
                <w:sz w:val="20"/>
                <w:szCs w:val="20"/>
              </w:rPr>
              <w:t>To OMP</w:t>
            </w:r>
          </w:p>
        </w:tc>
        <w:tc>
          <w:tcPr>
            <w:tcW w:w="497" w:type="pc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1D6250">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B11E22" w:rsidRPr="009451ED" w:rsidRDefault="00B11E22" w:rsidP="001D6250">
            <w:pPr>
              <w:rPr>
                <w:rFonts w:ascii="Arial" w:eastAsia="Times New Roman" w:hAnsi="Arial" w:cs="Arial"/>
                <w:sz w:val="20"/>
                <w:szCs w:val="20"/>
              </w:rPr>
            </w:pPr>
          </w:p>
        </w:tc>
        <w:tc>
          <w:tcPr>
            <w:tcW w:w="443" w:type="pct"/>
            <w:tcBorders>
              <w:top w:val="outset" w:sz="6" w:space="0" w:color="auto"/>
              <w:left w:val="outset" w:sz="6" w:space="0" w:color="auto"/>
              <w:bottom w:val="outset" w:sz="6" w:space="0" w:color="auto"/>
              <w:right w:val="outset" w:sz="6" w:space="0" w:color="auto"/>
            </w:tcBorders>
            <w:shd w:val="clear" w:color="auto" w:fill="CCCCCC"/>
            <w:hideMark/>
          </w:tcPr>
          <w:p w:rsidR="00B11E22" w:rsidRPr="009451ED" w:rsidRDefault="00B11E22" w:rsidP="001D6250">
            <w:pPr>
              <w:pStyle w:val="NormalWeb"/>
              <w:jc w:val="center"/>
              <w:rPr>
                <w:rFonts w:ascii="Arial" w:hAnsi="Arial" w:cs="Arial"/>
                <w:sz w:val="20"/>
                <w:szCs w:val="20"/>
              </w:rPr>
            </w:pPr>
            <w:r w:rsidRPr="009451ED">
              <w:rPr>
                <w:rStyle w:val="Strong"/>
                <w:rFonts w:ascii="Arial" w:hAnsi="Arial" w:cs="Arial"/>
                <w:sz w:val="20"/>
                <w:szCs w:val="20"/>
              </w:rPr>
              <w:t>To OMP, wall and covered car parking space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1E22" w:rsidRPr="009451ED" w:rsidRDefault="00B11E22" w:rsidP="001D6250">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1E22" w:rsidRPr="009451ED" w:rsidRDefault="00B11E22" w:rsidP="001D6250">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1E22" w:rsidRPr="009451ED" w:rsidRDefault="00B11E22" w:rsidP="001D6250">
            <w:pPr>
              <w:rPr>
                <w:rFonts w:ascii="Arial" w:hAnsi="Arial" w:cs="Arial"/>
                <w:sz w:val="20"/>
                <w:szCs w:val="20"/>
              </w:rPr>
            </w:pPr>
          </w:p>
        </w:tc>
      </w:tr>
      <w:tr w:rsidR="00B11E22" w:rsidRPr="009451ED" w:rsidTr="001D6250">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Style w:val="Strong"/>
                <w:rFonts w:ascii="Arial" w:hAnsi="Arial" w:cs="Arial"/>
                <w:sz w:val="20"/>
                <w:szCs w:val="20"/>
              </w:rPr>
              <w:t>Less than 4.5m</w:t>
            </w:r>
          </w:p>
        </w:tc>
        <w:tc>
          <w:tcPr>
            <w:tcW w:w="450"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Min 6m</w:t>
            </w:r>
          </w:p>
        </w:tc>
        <w:tc>
          <w:tcPr>
            <w:tcW w:w="448"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Min 4.5m</w:t>
            </w:r>
          </w:p>
        </w:tc>
        <w:tc>
          <w:tcPr>
            <w:tcW w:w="552"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Min 5.4</w:t>
            </w:r>
          </w:p>
        </w:tc>
        <w:tc>
          <w:tcPr>
            <w:tcW w:w="446"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Min 3m</w:t>
            </w:r>
          </w:p>
        </w:tc>
        <w:tc>
          <w:tcPr>
            <w:tcW w:w="408"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Min 2m</w:t>
            </w:r>
          </w:p>
        </w:tc>
        <w:tc>
          <w:tcPr>
            <w:tcW w:w="497"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Min 5.4</w:t>
            </w:r>
          </w:p>
        </w:tc>
        <w:tc>
          <w:tcPr>
            <w:tcW w:w="443"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Min 0.5</w:t>
            </w:r>
          </w:p>
        </w:tc>
        <w:tc>
          <w:tcPr>
            <w:tcW w:w="437"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8"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6"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Min 4.5m</w:t>
            </w:r>
          </w:p>
        </w:tc>
      </w:tr>
      <w:tr w:rsidR="00B11E22" w:rsidRPr="009451ED" w:rsidTr="001D6250">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Style w:val="Strong"/>
                <w:rFonts w:ascii="Arial" w:hAnsi="Arial" w:cs="Arial"/>
                <w:sz w:val="20"/>
                <w:szCs w:val="20"/>
              </w:rPr>
              <w:t>4.5m to 8.5m</w:t>
            </w:r>
          </w:p>
        </w:tc>
        <w:tc>
          <w:tcPr>
            <w:tcW w:w="450"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Min 6m</w:t>
            </w:r>
          </w:p>
        </w:tc>
        <w:tc>
          <w:tcPr>
            <w:tcW w:w="448"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Min 4.5m</w:t>
            </w:r>
          </w:p>
        </w:tc>
        <w:tc>
          <w:tcPr>
            <w:tcW w:w="552"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N/A</w:t>
            </w:r>
          </w:p>
        </w:tc>
        <w:tc>
          <w:tcPr>
            <w:tcW w:w="446"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Min 3m</w:t>
            </w:r>
          </w:p>
        </w:tc>
        <w:tc>
          <w:tcPr>
            <w:tcW w:w="408"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Min 2m</w:t>
            </w:r>
          </w:p>
        </w:tc>
        <w:tc>
          <w:tcPr>
            <w:tcW w:w="497"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N/A</w:t>
            </w:r>
          </w:p>
        </w:tc>
        <w:tc>
          <w:tcPr>
            <w:tcW w:w="443"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Min 0.5</w:t>
            </w:r>
          </w:p>
        </w:tc>
        <w:tc>
          <w:tcPr>
            <w:tcW w:w="437"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8"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6"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Min 4.5m</w:t>
            </w:r>
          </w:p>
        </w:tc>
      </w:tr>
      <w:tr w:rsidR="00B11E22" w:rsidRPr="009451ED" w:rsidTr="001D6250">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Style w:val="Strong"/>
                <w:rFonts w:ascii="Arial" w:hAnsi="Arial" w:cs="Arial"/>
                <w:sz w:val="20"/>
                <w:szCs w:val="20"/>
              </w:rPr>
              <w:t>Greater than 8.5m</w:t>
            </w:r>
          </w:p>
        </w:tc>
        <w:tc>
          <w:tcPr>
            <w:tcW w:w="450"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Min 6m</w:t>
            </w:r>
          </w:p>
        </w:tc>
        <w:tc>
          <w:tcPr>
            <w:tcW w:w="448"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Min 4.5m</w:t>
            </w:r>
          </w:p>
        </w:tc>
        <w:tc>
          <w:tcPr>
            <w:tcW w:w="552"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N/A</w:t>
            </w:r>
          </w:p>
        </w:tc>
        <w:tc>
          <w:tcPr>
            <w:tcW w:w="446"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Min 3m</w:t>
            </w:r>
          </w:p>
        </w:tc>
        <w:tc>
          <w:tcPr>
            <w:tcW w:w="408"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Min 2m</w:t>
            </w:r>
          </w:p>
        </w:tc>
        <w:tc>
          <w:tcPr>
            <w:tcW w:w="497"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N/A</w:t>
            </w:r>
          </w:p>
        </w:tc>
        <w:tc>
          <w:tcPr>
            <w:tcW w:w="443"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Min 0.5</w:t>
            </w:r>
          </w:p>
        </w:tc>
        <w:tc>
          <w:tcPr>
            <w:tcW w:w="437"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8"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6" w:type="pct"/>
            <w:tcBorders>
              <w:top w:val="outset" w:sz="6" w:space="0" w:color="auto"/>
              <w:left w:val="outset" w:sz="6" w:space="0" w:color="auto"/>
              <w:bottom w:val="outset" w:sz="6" w:space="0" w:color="auto"/>
              <w:right w:val="outset" w:sz="6" w:space="0" w:color="auto"/>
            </w:tcBorders>
            <w:hideMark/>
          </w:tcPr>
          <w:p w:rsidR="00B11E22" w:rsidRPr="009451ED" w:rsidRDefault="00B11E22" w:rsidP="001D6250">
            <w:pPr>
              <w:pStyle w:val="NormalWeb"/>
              <w:rPr>
                <w:rFonts w:ascii="Arial" w:hAnsi="Arial" w:cs="Arial"/>
                <w:sz w:val="20"/>
                <w:szCs w:val="20"/>
              </w:rPr>
            </w:pPr>
            <w:r w:rsidRPr="009451ED">
              <w:rPr>
                <w:rFonts w:ascii="Arial" w:hAnsi="Arial" w:cs="Arial"/>
                <w:sz w:val="20"/>
                <w:szCs w:val="20"/>
              </w:rPr>
              <w:t>Min 4.5m</w:t>
            </w:r>
          </w:p>
          <w:p w:rsidR="00B11E22" w:rsidRPr="009451ED" w:rsidRDefault="00B11E22" w:rsidP="001D6250">
            <w:pPr>
              <w:rPr>
                <w:rFonts w:ascii="Arial" w:eastAsia="Times New Roman" w:hAnsi="Arial" w:cs="Arial"/>
                <w:sz w:val="20"/>
                <w:szCs w:val="20"/>
              </w:rPr>
            </w:pPr>
          </w:p>
        </w:tc>
      </w:tr>
    </w:tbl>
    <w:p w:rsidR="00B11E22" w:rsidRDefault="00B11E22">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73"/>
        <w:gridCol w:w="1358"/>
        <w:gridCol w:w="1292"/>
        <w:gridCol w:w="1476"/>
        <w:gridCol w:w="1647"/>
        <w:gridCol w:w="1250"/>
        <w:gridCol w:w="1521"/>
        <w:gridCol w:w="1356"/>
        <w:gridCol w:w="1356"/>
        <w:gridCol w:w="1356"/>
        <w:gridCol w:w="1413"/>
      </w:tblGrid>
      <w:tr w:rsidR="009451ED" w:rsidRPr="009451ED" w:rsidTr="001D6250">
        <w:trPr>
          <w:tblCellSpacing w:w="15" w:type="dxa"/>
        </w:trPr>
        <w:tc>
          <w:tcPr>
            <w:tcW w:w="0" w:type="auto"/>
            <w:gridSpan w:val="11"/>
            <w:tcBorders>
              <w:top w:val="nil"/>
              <w:left w:val="nil"/>
              <w:bottom w:val="nil"/>
              <w:right w:val="nil"/>
            </w:tcBorders>
            <w:shd w:val="clear" w:color="auto" w:fill="CCCCCC"/>
            <w:vAlign w:val="center"/>
            <w:hideMark/>
          </w:tcPr>
          <w:p w:rsidR="009451ED" w:rsidRPr="009451ED" w:rsidRDefault="009451ED" w:rsidP="001D6250">
            <w:pPr>
              <w:jc w:val="center"/>
              <w:rPr>
                <w:rFonts w:ascii="Arial" w:eastAsia="Times New Roman" w:hAnsi="Arial" w:cs="Arial"/>
                <w:sz w:val="20"/>
                <w:szCs w:val="20"/>
              </w:rPr>
            </w:pPr>
            <w:r w:rsidRPr="009451ED">
              <w:rPr>
                <w:rStyle w:val="Strong"/>
                <w:rFonts w:ascii="Arial" w:eastAsia="Times New Roman" w:hAnsi="Arial" w:cs="Arial"/>
                <w:sz w:val="20"/>
                <w:szCs w:val="20"/>
              </w:rPr>
              <w:t>Table 9.3.1.4 Setbacks</w:t>
            </w:r>
          </w:p>
        </w:tc>
      </w:tr>
      <w:tr w:rsidR="009451ED" w:rsidRPr="009451ED" w:rsidTr="009451ED">
        <w:trPr>
          <w:tblCellSpacing w:w="15" w:type="dxa"/>
        </w:trPr>
        <w:tc>
          <w:tcPr>
            <w:tcW w:w="4981" w:type="pct"/>
            <w:gridSpan w:val="11"/>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General residential zone - Suburban neighbourhood precinct and Township zone - Residential precinct</w:t>
            </w:r>
          </w:p>
        </w:tc>
      </w:tr>
      <w:tr w:rsidR="009451ED" w:rsidRPr="009451ED" w:rsidTr="009451ED">
        <w:trPr>
          <w:tblCellSpacing w:w="15" w:type="dxa"/>
        </w:trPr>
        <w:tc>
          <w:tcPr>
            <w:tcW w:w="44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133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Primary</w:t>
            </w:r>
          </w:p>
        </w:tc>
        <w:tc>
          <w:tcPr>
            <w:tcW w:w="143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Secondary to street</w:t>
            </w:r>
          </w:p>
        </w:tc>
        <w:tc>
          <w:tcPr>
            <w:tcW w:w="439"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Secondary to lane</w:t>
            </w:r>
          </w:p>
        </w:tc>
        <w:tc>
          <w:tcPr>
            <w:tcW w:w="439"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Side</w:t>
            </w:r>
            <w:r w:rsidRPr="009451ED">
              <w:rPr>
                <w:rFonts w:ascii="Arial" w:hAnsi="Arial" w:cs="Arial"/>
                <w:b/>
                <w:bCs/>
                <w:sz w:val="20"/>
                <w:szCs w:val="20"/>
              </w:rPr>
              <w:br/>
            </w:r>
            <w:r w:rsidRPr="009451ED">
              <w:rPr>
                <w:rStyle w:val="Strong"/>
                <w:rFonts w:ascii="Arial" w:hAnsi="Arial" w:cs="Arial"/>
                <w:sz w:val="20"/>
                <w:szCs w:val="20"/>
              </w:rPr>
              <w:t>Non-built to boundary wall To OMP and wall</w:t>
            </w:r>
          </w:p>
        </w:tc>
        <w:tc>
          <w:tcPr>
            <w:tcW w:w="439"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 xml:space="preserve">Rear </w:t>
            </w:r>
            <w:proofErr w:type="gramStart"/>
            <w:r w:rsidRPr="009451ED">
              <w:rPr>
                <w:rStyle w:val="Strong"/>
                <w:rFonts w:ascii="Arial" w:hAnsi="Arial" w:cs="Arial"/>
                <w:sz w:val="20"/>
                <w:szCs w:val="20"/>
              </w:rPr>
              <w:t>To</w:t>
            </w:r>
            <w:proofErr w:type="gramEnd"/>
            <w:r w:rsidRPr="009451ED">
              <w:rPr>
                <w:rStyle w:val="Strong"/>
                <w:rFonts w:ascii="Arial" w:hAnsi="Arial" w:cs="Arial"/>
                <w:sz w:val="20"/>
                <w:szCs w:val="20"/>
              </w:rPr>
              <w:t xml:space="preserve"> OMP and wall</w:t>
            </w:r>
          </w:p>
        </w:tc>
        <w:tc>
          <w:tcPr>
            <w:tcW w:w="394"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Trafficable water body To OMP and wall</w:t>
            </w:r>
          </w:p>
        </w:tc>
      </w:tr>
      <w:tr w:rsidR="009451ED" w:rsidRPr="009451ED" w:rsidTr="009451E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451ED" w:rsidRPr="009451ED" w:rsidRDefault="009451ED" w:rsidP="001D6250">
            <w:pPr>
              <w:rPr>
                <w:rFonts w:ascii="Arial" w:hAnsi="Arial" w:cs="Arial"/>
                <w:sz w:val="20"/>
                <w:szCs w:val="20"/>
              </w:rPr>
            </w:pPr>
          </w:p>
        </w:tc>
        <w:tc>
          <w:tcPr>
            <w:tcW w:w="440"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To wall</w:t>
            </w:r>
          </w:p>
        </w:tc>
        <w:tc>
          <w:tcPr>
            <w:tcW w:w="418"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To OMP</w:t>
            </w:r>
          </w:p>
        </w:tc>
        <w:tc>
          <w:tcPr>
            <w:tcW w:w="460"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9451ED" w:rsidRPr="009451ED" w:rsidRDefault="009451ED" w:rsidP="001D6250">
            <w:pPr>
              <w:jc w:val="center"/>
              <w:rPr>
                <w:rFonts w:ascii="Arial" w:eastAsia="Times New Roman"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To wall</w:t>
            </w:r>
          </w:p>
        </w:tc>
        <w:tc>
          <w:tcPr>
            <w:tcW w:w="404"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To OMP</w:t>
            </w:r>
          </w:p>
        </w:tc>
        <w:tc>
          <w:tcPr>
            <w:tcW w:w="474"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9451ED" w:rsidRPr="009451ED" w:rsidRDefault="009451ED" w:rsidP="001D6250">
            <w:pPr>
              <w:jc w:val="center"/>
              <w:rPr>
                <w:rFonts w:ascii="Arial" w:eastAsia="Times New Roman" w:hAnsi="Arial" w:cs="Arial"/>
                <w:sz w:val="20"/>
                <w:szCs w:val="20"/>
              </w:rPr>
            </w:pPr>
          </w:p>
        </w:tc>
        <w:tc>
          <w:tcPr>
            <w:tcW w:w="439"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To OMP</w:t>
            </w:r>
            <w:r w:rsidRPr="009451ED">
              <w:rPr>
                <w:rFonts w:ascii="Arial" w:hAnsi="Arial" w:cs="Arial"/>
                <w:sz w:val="20"/>
                <w:szCs w:val="20"/>
              </w:rPr>
              <w:t xml:space="preserve">, </w:t>
            </w:r>
            <w:r w:rsidRPr="009451ED">
              <w:rPr>
                <w:rStyle w:val="Strong"/>
                <w:rFonts w:ascii="Arial" w:hAnsi="Arial" w:cs="Arial"/>
                <w:sz w:val="20"/>
                <w:szCs w:val="20"/>
              </w:rPr>
              <w:t>wall and covered car parking space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51ED" w:rsidRPr="009451ED" w:rsidRDefault="009451ED" w:rsidP="001D6250">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51ED" w:rsidRPr="009451ED" w:rsidRDefault="009451ED" w:rsidP="001D6250">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451ED" w:rsidRPr="009451ED" w:rsidRDefault="009451ED" w:rsidP="001D6250">
            <w:pPr>
              <w:rPr>
                <w:rFonts w:ascii="Arial" w:hAnsi="Arial" w:cs="Arial"/>
                <w:sz w:val="20"/>
                <w:szCs w:val="20"/>
              </w:rPr>
            </w:pPr>
          </w:p>
        </w:tc>
      </w:tr>
      <w:tr w:rsidR="009451ED" w:rsidRPr="009451ED" w:rsidTr="009451ED">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Style w:val="Strong"/>
                <w:rFonts w:ascii="Arial" w:hAnsi="Arial" w:cs="Arial"/>
                <w:sz w:val="20"/>
                <w:szCs w:val="20"/>
              </w:rPr>
              <w:t>Less than 4.5m</w:t>
            </w:r>
          </w:p>
        </w:tc>
        <w:tc>
          <w:tcPr>
            <w:tcW w:w="440"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4.5m</w:t>
            </w:r>
          </w:p>
        </w:tc>
        <w:tc>
          <w:tcPr>
            <w:tcW w:w="418"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3m</w:t>
            </w:r>
          </w:p>
        </w:tc>
        <w:tc>
          <w:tcPr>
            <w:tcW w:w="460"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5.4</w:t>
            </w:r>
          </w:p>
        </w:tc>
        <w:tc>
          <w:tcPr>
            <w:tcW w:w="536"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3m</w:t>
            </w:r>
          </w:p>
        </w:tc>
        <w:tc>
          <w:tcPr>
            <w:tcW w:w="40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2m</w:t>
            </w:r>
          </w:p>
        </w:tc>
        <w:tc>
          <w:tcPr>
            <w:tcW w:w="47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5.4</w:t>
            </w:r>
          </w:p>
        </w:tc>
        <w:tc>
          <w:tcPr>
            <w:tcW w:w="43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0.5</w:t>
            </w:r>
          </w:p>
        </w:tc>
        <w:tc>
          <w:tcPr>
            <w:tcW w:w="43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39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4.5m</w:t>
            </w:r>
          </w:p>
        </w:tc>
      </w:tr>
      <w:tr w:rsidR="009451ED" w:rsidRPr="009451ED" w:rsidTr="009451ED">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Style w:val="Strong"/>
                <w:rFonts w:ascii="Arial" w:hAnsi="Arial" w:cs="Arial"/>
                <w:sz w:val="20"/>
                <w:szCs w:val="20"/>
              </w:rPr>
              <w:t>4.5m to 8.5m</w:t>
            </w:r>
          </w:p>
        </w:tc>
        <w:tc>
          <w:tcPr>
            <w:tcW w:w="440"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4.5m</w:t>
            </w:r>
          </w:p>
        </w:tc>
        <w:tc>
          <w:tcPr>
            <w:tcW w:w="418"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3m</w:t>
            </w:r>
          </w:p>
        </w:tc>
        <w:tc>
          <w:tcPr>
            <w:tcW w:w="460"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N/A</w:t>
            </w:r>
          </w:p>
        </w:tc>
        <w:tc>
          <w:tcPr>
            <w:tcW w:w="536"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3m</w:t>
            </w:r>
          </w:p>
        </w:tc>
        <w:tc>
          <w:tcPr>
            <w:tcW w:w="40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2m</w:t>
            </w:r>
          </w:p>
        </w:tc>
        <w:tc>
          <w:tcPr>
            <w:tcW w:w="47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N/A</w:t>
            </w:r>
          </w:p>
        </w:tc>
        <w:tc>
          <w:tcPr>
            <w:tcW w:w="43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0.5</w:t>
            </w:r>
          </w:p>
        </w:tc>
        <w:tc>
          <w:tcPr>
            <w:tcW w:w="43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39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4.5m</w:t>
            </w:r>
          </w:p>
        </w:tc>
      </w:tr>
      <w:tr w:rsidR="009451ED" w:rsidRPr="009451ED" w:rsidTr="009451ED">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Style w:val="Strong"/>
                <w:rFonts w:ascii="Arial" w:hAnsi="Arial" w:cs="Arial"/>
                <w:sz w:val="20"/>
                <w:szCs w:val="20"/>
              </w:rPr>
              <w:t>Greater than 8.5.</w:t>
            </w:r>
          </w:p>
        </w:tc>
        <w:tc>
          <w:tcPr>
            <w:tcW w:w="440"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4.5m</w:t>
            </w:r>
          </w:p>
        </w:tc>
        <w:tc>
          <w:tcPr>
            <w:tcW w:w="418"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3m</w:t>
            </w:r>
          </w:p>
        </w:tc>
        <w:tc>
          <w:tcPr>
            <w:tcW w:w="460"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N/A</w:t>
            </w:r>
          </w:p>
        </w:tc>
        <w:tc>
          <w:tcPr>
            <w:tcW w:w="536"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3m</w:t>
            </w:r>
          </w:p>
        </w:tc>
        <w:tc>
          <w:tcPr>
            <w:tcW w:w="40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2m</w:t>
            </w:r>
          </w:p>
        </w:tc>
        <w:tc>
          <w:tcPr>
            <w:tcW w:w="47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N/A</w:t>
            </w:r>
          </w:p>
        </w:tc>
        <w:tc>
          <w:tcPr>
            <w:tcW w:w="43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0.5</w:t>
            </w:r>
          </w:p>
        </w:tc>
        <w:tc>
          <w:tcPr>
            <w:tcW w:w="43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39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4.5m</w:t>
            </w:r>
          </w:p>
        </w:tc>
      </w:tr>
    </w:tbl>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99"/>
        <w:gridCol w:w="1362"/>
        <w:gridCol w:w="1260"/>
        <w:gridCol w:w="1543"/>
        <w:gridCol w:w="1353"/>
        <w:gridCol w:w="1374"/>
        <w:gridCol w:w="1552"/>
        <w:gridCol w:w="1429"/>
        <w:gridCol w:w="1510"/>
        <w:gridCol w:w="1359"/>
        <w:gridCol w:w="1257"/>
      </w:tblGrid>
      <w:tr w:rsidR="009451ED" w:rsidRPr="009451ED" w:rsidTr="001D6250">
        <w:trPr>
          <w:tblCellSpacing w:w="15" w:type="dxa"/>
        </w:trPr>
        <w:tc>
          <w:tcPr>
            <w:tcW w:w="0" w:type="auto"/>
            <w:gridSpan w:val="11"/>
            <w:tcBorders>
              <w:top w:val="nil"/>
              <w:left w:val="nil"/>
              <w:bottom w:val="nil"/>
              <w:right w:val="nil"/>
            </w:tcBorders>
            <w:shd w:val="clear" w:color="auto" w:fill="CCCCCC"/>
            <w:vAlign w:val="center"/>
            <w:hideMark/>
          </w:tcPr>
          <w:p w:rsidR="009451ED" w:rsidRPr="009451ED" w:rsidRDefault="009451ED" w:rsidP="001D6250">
            <w:pPr>
              <w:jc w:val="center"/>
              <w:rPr>
                <w:rFonts w:ascii="Arial" w:eastAsia="Times New Roman" w:hAnsi="Arial" w:cs="Arial"/>
                <w:sz w:val="20"/>
                <w:szCs w:val="20"/>
              </w:rPr>
            </w:pPr>
            <w:r w:rsidRPr="009451ED">
              <w:rPr>
                <w:rStyle w:val="Strong"/>
                <w:rFonts w:ascii="Arial" w:eastAsia="Times New Roman" w:hAnsi="Arial" w:cs="Arial"/>
                <w:sz w:val="20"/>
                <w:szCs w:val="20"/>
              </w:rPr>
              <w:t>Table 9.3.1.5 Setbacks</w:t>
            </w:r>
          </w:p>
        </w:tc>
      </w:tr>
      <w:tr w:rsidR="009451ED" w:rsidRPr="009451ED" w:rsidTr="001D6250">
        <w:trPr>
          <w:tblCellSpacing w:w="15" w:type="dxa"/>
        </w:trPr>
        <w:tc>
          <w:tcPr>
            <w:tcW w:w="5699" w:type="pct"/>
            <w:gridSpan w:val="11"/>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 Emerging community zone - Transition precinct (developed lot), General residential zone - Next generation neighbourhood precinct and Caboolture West local plan - Urban living precinct (Next generation neighbourhood sub-precinct)</w:t>
            </w:r>
          </w:p>
        </w:tc>
      </w:tr>
      <w:tr w:rsidR="009451ED" w:rsidRPr="009451ED" w:rsidTr="001D6250">
        <w:trPr>
          <w:tblCellSpacing w:w="15" w:type="dxa"/>
        </w:trPr>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1321"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Frontage Primary</w:t>
            </w:r>
          </w:p>
        </w:tc>
        <w:tc>
          <w:tcPr>
            <w:tcW w:w="1346"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Frontage Secondary to street</w:t>
            </w:r>
          </w:p>
        </w:tc>
        <w:tc>
          <w:tcPr>
            <w:tcW w:w="465"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Frontage Secondary to lane</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Side </w:t>
            </w:r>
            <w:r w:rsidRPr="009451ED">
              <w:rPr>
                <w:rFonts w:ascii="Arial" w:hAnsi="Arial" w:cs="Arial"/>
                <w:b/>
                <w:bCs/>
                <w:sz w:val="20"/>
                <w:szCs w:val="20"/>
              </w:rPr>
              <w:br/>
            </w:r>
            <w:r w:rsidRPr="009451ED">
              <w:rPr>
                <w:rStyle w:val="Strong"/>
                <w:rFonts w:ascii="Arial" w:hAnsi="Arial" w:cs="Arial"/>
                <w:sz w:val="20"/>
                <w:szCs w:val="20"/>
              </w:rPr>
              <w:t>Non-built to boundary wall To OMP and wall</w:t>
            </w:r>
          </w:p>
        </w:tc>
        <w:tc>
          <w:tcPr>
            <w:tcW w:w="442"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 xml:space="preserve">Rear </w:t>
            </w:r>
            <w:proofErr w:type="gramStart"/>
            <w:r w:rsidRPr="009451ED">
              <w:rPr>
                <w:rStyle w:val="Strong"/>
                <w:rFonts w:ascii="Arial" w:hAnsi="Arial" w:cs="Arial"/>
                <w:sz w:val="20"/>
                <w:szCs w:val="20"/>
              </w:rPr>
              <w:t>To</w:t>
            </w:r>
            <w:proofErr w:type="gramEnd"/>
            <w:r w:rsidRPr="009451ED">
              <w:rPr>
                <w:rStyle w:val="Strong"/>
                <w:rFonts w:ascii="Arial" w:hAnsi="Arial" w:cs="Arial"/>
                <w:sz w:val="20"/>
                <w:szCs w:val="20"/>
              </w:rPr>
              <w:t xml:space="preserve"> OMP and wall</w:t>
            </w:r>
          </w:p>
        </w:tc>
        <w:tc>
          <w:tcPr>
            <w:tcW w:w="437"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Trafficable water body To OMP and wall</w:t>
            </w:r>
          </w:p>
        </w:tc>
      </w:tr>
      <w:tr w:rsidR="009451ED" w:rsidRPr="009451ED" w:rsidTr="001D6250">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51ED" w:rsidRPr="009451ED" w:rsidRDefault="009451ED" w:rsidP="001D6250">
            <w:pPr>
              <w:rPr>
                <w:rFonts w:ascii="Arial" w:hAnsi="Arial" w:cs="Arial"/>
                <w:sz w:val="20"/>
                <w:szCs w:val="20"/>
              </w:rPr>
            </w:pPr>
          </w:p>
        </w:tc>
        <w:tc>
          <w:tcPr>
            <w:tcW w:w="443"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To wall</w:t>
            </w:r>
          </w:p>
        </w:tc>
        <w:tc>
          <w:tcPr>
            <w:tcW w:w="409"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To OMP</w:t>
            </w:r>
          </w:p>
        </w:tc>
        <w:tc>
          <w:tcPr>
            <w:tcW w:w="503"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9451ED" w:rsidRPr="009451ED" w:rsidRDefault="009451ED" w:rsidP="001D6250">
            <w:pPr>
              <w:rPr>
                <w:rFonts w:ascii="Arial" w:eastAsia="Times New Roman" w:hAnsi="Arial" w:cs="Arial"/>
                <w:sz w:val="20"/>
                <w:szCs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To wall</w:t>
            </w:r>
          </w:p>
        </w:tc>
        <w:tc>
          <w:tcPr>
            <w:tcW w:w="447"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To OMP</w:t>
            </w:r>
          </w:p>
        </w:tc>
        <w:tc>
          <w:tcPr>
            <w:tcW w:w="506"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9451ED" w:rsidRPr="009451ED" w:rsidRDefault="009451ED" w:rsidP="001D6250">
            <w:pPr>
              <w:rPr>
                <w:rFonts w:ascii="Arial" w:eastAsia="Times New Roman" w:hAnsi="Arial" w:cs="Arial"/>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To OMP</w:t>
            </w:r>
            <w:r w:rsidRPr="009451ED">
              <w:rPr>
                <w:rFonts w:ascii="Arial" w:hAnsi="Arial" w:cs="Arial"/>
                <w:sz w:val="20"/>
                <w:szCs w:val="20"/>
              </w:rPr>
              <w:t>,</w:t>
            </w:r>
            <w:r w:rsidRPr="009451ED">
              <w:rPr>
                <w:rStyle w:val="Strong"/>
                <w:rFonts w:ascii="Arial" w:hAnsi="Arial" w:cs="Arial"/>
                <w:sz w:val="20"/>
                <w:szCs w:val="20"/>
              </w:rPr>
              <w:t xml:space="preserve"> wall and covered car parking space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51ED" w:rsidRPr="009451ED" w:rsidRDefault="009451ED" w:rsidP="001D6250">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51ED" w:rsidRPr="009451ED" w:rsidRDefault="009451ED" w:rsidP="001D6250">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51ED" w:rsidRPr="009451ED" w:rsidRDefault="009451ED" w:rsidP="001D6250">
            <w:pPr>
              <w:rPr>
                <w:rFonts w:ascii="Arial" w:hAnsi="Arial" w:cs="Arial"/>
                <w:sz w:val="20"/>
                <w:szCs w:val="20"/>
              </w:rPr>
            </w:pPr>
          </w:p>
        </w:tc>
      </w:tr>
      <w:tr w:rsidR="009451ED" w:rsidRPr="009451ED" w:rsidTr="001D6250">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Style w:val="Strong"/>
                <w:rFonts w:ascii="Arial" w:hAnsi="Arial" w:cs="Arial"/>
                <w:sz w:val="20"/>
                <w:szCs w:val="20"/>
              </w:rPr>
              <w:t>Less than 4.5m</w:t>
            </w:r>
          </w:p>
        </w:tc>
        <w:tc>
          <w:tcPr>
            <w:tcW w:w="443"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3m</w:t>
            </w:r>
          </w:p>
        </w:tc>
        <w:tc>
          <w:tcPr>
            <w:tcW w:w="409"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2m</w:t>
            </w:r>
          </w:p>
        </w:tc>
        <w:tc>
          <w:tcPr>
            <w:tcW w:w="503"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5.4m*</w:t>
            </w:r>
          </w:p>
        </w:tc>
        <w:tc>
          <w:tcPr>
            <w:tcW w:w="44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2m</w:t>
            </w:r>
          </w:p>
        </w:tc>
        <w:tc>
          <w:tcPr>
            <w:tcW w:w="447"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1m</w:t>
            </w:r>
          </w:p>
        </w:tc>
        <w:tc>
          <w:tcPr>
            <w:tcW w:w="506"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5.4m*</w:t>
            </w:r>
          </w:p>
        </w:tc>
        <w:tc>
          <w:tcPr>
            <w:tcW w:w="465"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0.5</w:t>
            </w:r>
          </w:p>
        </w:tc>
        <w:tc>
          <w:tcPr>
            <w:tcW w:w="492"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42"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7"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4.5m</w:t>
            </w:r>
          </w:p>
        </w:tc>
      </w:tr>
      <w:tr w:rsidR="009451ED" w:rsidRPr="009451ED" w:rsidTr="001D6250">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Style w:val="Strong"/>
                <w:rFonts w:ascii="Arial" w:hAnsi="Arial" w:cs="Arial"/>
                <w:sz w:val="20"/>
                <w:szCs w:val="20"/>
              </w:rPr>
              <w:t>4.5m to 8.5m</w:t>
            </w:r>
          </w:p>
        </w:tc>
        <w:tc>
          <w:tcPr>
            <w:tcW w:w="443"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3m</w:t>
            </w:r>
          </w:p>
        </w:tc>
        <w:tc>
          <w:tcPr>
            <w:tcW w:w="409"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2m</w:t>
            </w:r>
          </w:p>
        </w:tc>
        <w:tc>
          <w:tcPr>
            <w:tcW w:w="503"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N/A</w:t>
            </w:r>
          </w:p>
        </w:tc>
        <w:tc>
          <w:tcPr>
            <w:tcW w:w="44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2m</w:t>
            </w:r>
          </w:p>
        </w:tc>
        <w:tc>
          <w:tcPr>
            <w:tcW w:w="447"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1m</w:t>
            </w:r>
          </w:p>
        </w:tc>
        <w:tc>
          <w:tcPr>
            <w:tcW w:w="506"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N/A</w:t>
            </w:r>
          </w:p>
        </w:tc>
        <w:tc>
          <w:tcPr>
            <w:tcW w:w="465"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0.5</w:t>
            </w:r>
          </w:p>
        </w:tc>
        <w:tc>
          <w:tcPr>
            <w:tcW w:w="492"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42"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7"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4.5m</w:t>
            </w:r>
          </w:p>
        </w:tc>
      </w:tr>
      <w:tr w:rsidR="009451ED" w:rsidRPr="009451ED" w:rsidTr="001D6250">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Style w:val="Strong"/>
                <w:rFonts w:ascii="Arial" w:hAnsi="Arial" w:cs="Arial"/>
                <w:sz w:val="20"/>
                <w:szCs w:val="20"/>
              </w:rPr>
              <w:t>Greater than 8.5m</w:t>
            </w:r>
          </w:p>
        </w:tc>
        <w:tc>
          <w:tcPr>
            <w:tcW w:w="443"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6m</w:t>
            </w:r>
          </w:p>
        </w:tc>
        <w:tc>
          <w:tcPr>
            <w:tcW w:w="409"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5m</w:t>
            </w:r>
          </w:p>
        </w:tc>
        <w:tc>
          <w:tcPr>
            <w:tcW w:w="503"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N/A</w:t>
            </w:r>
          </w:p>
        </w:tc>
        <w:tc>
          <w:tcPr>
            <w:tcW w:w="44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3m</w:t>
            </w:r>
          </w:p>
        </w:tc>
        <w:tc>
          <w:tcPr>
            <w:tcW w:w="447"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2m</w:t>
            </w:r>
          </w:p>
        </w:tc>
        <w:tc>
          <w:tcPr>
            <w:tcW w:w="506"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N/A</w:t>
            </w:r>
          </w:p>
        </w:tc>
        <w:tc>
          <w:tcPr>
            <w:tcW w:w="465"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0.5</w:t>
            </w:r>
          </w:p>
        </w:tc>
        <w:tc>
          <w:tcPr>
            <w:tcW w:w="492"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42"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7"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4.5m</w:t>
            </w:r>
          </w:p>
        </w:tc>
      </w:tr>
    </w:tbl>
    <w:p w:rsidR="009451ED" w:rsidRDefault="009451ED">
      <w:pPr>
        <w:rPr>
          <w:rFonts w:ascii="Arial" w:hAnsi="Arial" w:cs="Arial"/>
        </w:rPr>
      </w:pPr>
    </w:p>
    <w:p w:rsidR="009451ED" w:rsidRPr="009451ED" w:rsidRDefault="009451ED" w:rsidP="009451ED">
      <w:pPr>
        <w:rPr>
          <w:rFonts w:ascii="Arial" w:hAnsi="Arial" w:cs="Arial"/>
          <w:sz w:val="20"/>
          <w:szCs w:val="20"/>
        </w:rPr>
      </w:pPr>
      <w:r w:rsidRPr="009451ED">
        <w:rPr>
          <w:rFonts w:ascii="Arial" w:hAnsi="Arial" w:cs="Arial"/>
          <w:sz w:val="20"/>
          <w:szCs w:val="20"/>
        </w:rPr>
        <w:t>*Note - The minimum setback to covered car parking spaces may be reduced to 4.5m where:</w:t>
      </w:r>
    </w:p>
    <w:p w:rsidR="009451ED" w:rsidRDefault="009451ED" w:rsidP="0069586D">
      <w:pPr>
        <w:numPr>
          <w:ilvl w:val="0"/>
          <w:numId w:val="85"/>
        </w:numPr>
        <w:rPr>
          <w:rFonts w:ascii="Arial" w:hAnsi="Arial" w:cs="Arial"/>
          <w:sz w:val="20"/>
          <w:szCs w:val="20"/>
        </w:rPr>
      </w:pPr>
      <w:r w:rsidRPr="009451ED">
        <w:rPr>
          <w:rFonts w:ascii="Arial" w:hAnsi="Arial" w:cs="Arial"/>
          <w:sz w:val="20"/>
          <w:szCs w:val="20"/>
        </w:rPr>
        <w:t>the primary or secondary frontage of the lot adjoins a road reserve with a minimum rear verge width of 1m or greater and includes a footpath with a width of 2m or greater;</w:t>
      </w:r>
    </w:p>
    <w:p w:rsidR="009451ED" w:rsidRPr="009451ED" w:rsidRDefault="009451ED" w:rsidP="0069586D">
      <w:pPr>
        <w:numPr>
          <w:ilvl w:val="0"/>
          <w:numId w:val="85"/>
        </w:numPr>
        <w:rPr>
          <w:rFonts w:ascii="Arial" w:hAnsi="Arial" w:cs="Arial"/>
          <w:sz w:val="20"/>
          <w:szCs w:val="20"/>
        </w:rPr>
      </w:pPr>
      <w:r w:rsidRPr="009451ED">
        <w:rPr>
          <w:rFonts w:ascii="Arial" w:hAnsi="Arial" w:cs="Arial"/>
          <w:sz w:val="20"/>
          <w:szCs w:val="20"/>
        </w:rPr>
        <w:t>the lot has a primary frontage greater than 7.5m and no greater than 10m (Lot type B).</w:t>
      </w: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99"/>
        <w:gridCol w:w="1384"/>
        <w:gridCol w:w="1296"/>
        <w:gridCol w:w="1522"/>
        <w:gridCol w:w="1531"/>
        <w:gridCol w:w="1317"/>
        <w:gridCol w:w="1447"/>
        <w:gridCol w:w="1383"/>
        <w:gridCol w:w="1383"/>
        <w:gridCol w:w="1383"/>
        <w:gridCol w:w="1353"/>
      </w:tblGrid>
      <w:tr w:rsidR="009451ED" w:rsidRPr="009451ED" w:rsidTr="001D6250">
        <w:trPr>
          <w:tblCellSpacing w:w="15" w:type="dxa"/>
        </w:trPr>
        <w:tc>
          <w:tcPr>
            <w:tcW w:w="0" w:type="auto"/>
            <w:gridSpan w:val="11"/>
            <w:tcBorders>
              <w:top w:val="nil"/>
              <w:left w:val="nil"/>
              <w:bottom w:val="nil"/>
              <w:right w:val="nil"/>
            </w:tcBorders>
            <w:shd w:val="clear" w:color="auto" w:fill="CCCCCC"/>
            <w:vAlign w:val="center"/>
            <w:hideMark/>
          </w:tcPr>
          <w:p w:rsidR="009451ED" w:rsidRPr="009451ED" w:rsidRDefault="009451ED" w:rsidP="001D6250">
            <w:pPr>
              <w:jc w:val="center"/>
              <w:rPr>
                <w:rFonts w:ascii="Arial" w:eastAsia="Times New Roman" w:hAnsi="Arial" w:cs="Arial"/>
                <w:sz w:val="20"/>
                <w:szCs w:val="20"/>
              </w:rPr>
            </w:pPr>
            <w:r w:rsidRPr="009451ED">
              <w:rPr>
                <w:rStyle w:val="Strong"/>
                <w:rFonts w:ascii="Arial" w:eastAsia="Times New Roman" w:hAnsi="Arial" w:cs="Arial"/>
                <w:sz w:val="20"/>
                <w:szCs w:val="20"/>
              </w:rPr>
              <w:t>Table 9.3.1.6 Setbacks</w:t>
            </w:r>
          </w:p>
        </w:tc>
      </w:tr>
      <w:tr w:rsidR="009451ED" w:rsidRPr="009451ED" w:rsidTr="001D6250">
        <w:trPr>
          <w:tblCellSpacing w:w="15" w:type="dxa"/>
        </w:trPr>
        <w:tc>
          <w:tcPr>
            <w:tcW w:w="5605" w:type="pct"/>
            <w:gridSpan w:val="11"/>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General residential zone - Urban neighbourhood precinct, and Emerging community zone - Transition precinct (developed lot) and identified in the Morayfield South urban area on Figure 9.3.1.1</w:t>
            </w:r>
          </w:p>
        </w:tc>
      </w:tr>
      <w:tr w:rsidR="009451ED" w:rsidRPr="009451ED" w:rsidTr="001D6250">
        <w:trPr>
          <w:tblCellSpacing w:w="15" w:type="dxa"/>
        </w:trPr>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1293"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Frontage Primary</w:t>
            </w:r>
          </w:p>
        </w:tc>
        <w:tc>
          <w:tcPr>
            <w:tcW w:w="1201"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Frontage Secondary to street</w:t>
            </w:r>
          </w:p>
        </w:tc>
        <w:tc>
          <w:tcPr>
            <w:tcW w:w="450"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Frontage </w:t>
            </w:r>
            <w:r w:rsidRPr="009451ED">
              <w:rPr>
                <w:rFonts w:ascii="Arial" w:hAnsi="Arial" w:cs="Arial"/>
                <w:b/>
                <w:bCs/>
                <w:sz w:val="20"/>
                <w:szCs w:val="20"/>
              </w:rPr>
              <w:br/>
            </w:r>
            <w:r w:rsidRPr="009451ED">
              <w:rPr>
                <w:rStyle w:val="Strong"/>
                <w:rFonts w:ascii="Arial" w:hAnsi="Arial" w:cs="Arial"/>
                <w:sz w:val="20"/>
                <w:szCs w:val="20"/>
              </w:rPr>
              <w:t>Secondary to lane</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Side </w:t>
            </w:r>
            <w:r w:rsidRPr="009451ED">
              <w:rPr>
                <w:rFonts w:ascii="Arial" w:hAnsi="Arial" w:cs="Arial"/>
                <w:b/>
                <w:bCs/>
                <w:sz w:val="20"/>
                <w:szCs w:val="20"/>
              </w:rPr>
              <w:br/>
            </w:r>
            <w:r w:rsidRPr="009451ED">
              <w:rPr>
                <w:rStyle w:val="Strong"/>
                <w:rFonts w:ascii="Arial" w:hAnsi="Arial" w:cs="Arial"/>
                <w:sz w:val="20"/>
                <w:szCs w:val="20"/>
              </w:rPr>
              <w:t>Non-built to boundary wall To OMP and wall</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 xml:space="preserve">Rear </w:t>
            </w:r>
            <w:proofErr w:type="gramStart"/>
            <w:r w:rsidRPr="009451ED">
              <w:rPr>
                <w:rStyle w:val="Strong"/>
                <w:rFonts w:ascii="Arial" w:hAnsi="Arial" w:cs="Arial"/>
                <w:sz w:val="20"/>
                <w:szCs w:val="20"/>
              </w:rPr>
              <w:t>To</w:t>
            </w:r>
            <w:proofErr w:type="gramEnd"/>
            <w:r w:rsidRPr="009451ED">
              <w:rPr>
                <w:rStyle w:val="Strong"/>
                <w:rFonts w:ascii="Arial" w:hAnsi="Arial" w:cs="Arial"/>
                <w:sz w:val="20"/>
                <w:szCs w:val="20"/>
              </w:rPr>
              <w:t xml:space="preserve"> OMP and wall</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Trafficable water body To OMP and wall</w:t>
            </w:r>
          </w:p>
        </w:tc>
      </w:tr>
      <w:tr w:rsidR="009451ED" w:rsidRPr="009451ED" w:rsidTr="001D6250">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51ED" w:rsidRPr="009451ED" w:rsidRDefault="009451ED" w:rsidP="001D6250">
            <w:pPr>
              <w:rPr>
                <w:rFonts w:ascii="Arial" w:hAnsi="Arial" w:cs="Arial"/>
                <w:sz w:val="20"/>
                <w:szCs w:val="20"/>
              </w:rPr>
            </w:pPr>
          </w:p>
        </w:tc>
        <w:tc>
          <w:tcPr>
            <w:tcW w:w="450"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To wall</w:t>
            </w:r>
          </w:p>
        </w:tc>
        <w:tc>
          <w:tcPr>
            <w:tcW w:w="421"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To OMP</w:t>
            </w:r>
          </w:p>
        </w:tc>
        <w:tc>
          <w:tcPr>
            <w:tcW w:w="496"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9451ED" w:rsidRPr="009451ED" w:rsidRDefault="009451ED" w:rsidP="001D6250">
            <w:pPr>
              <w:rPr>
                <w:rFonts w:ascii="Arial" w:eastAsia="Times New Roman" w:hAnsi="Arial" w:cs="Arial"/>
                <w:sz w:val="20"/>
                <w:szCs w:val="20"/>
              </w:rPr>
            </w:pPr>
          </w:p>
        </w:tc>
        <w:tc>
          <w:tcPr>
            <w:tcW w:w="499"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To wall</w:t>
            </w:r>
          </w:p>
        </w:tc>
        <w:tc>
          <w:tcPr>
            <w:tcW w:w="428"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To OMP</w:t>
            </w:r>
          </w:p>
        </w:tc>
        <w:tc>
          <w:tcPr>
            <w:tcW w:w="471"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9451ED" w:rsidRPr="009451ED" w:rsidRDefault="009451ED" w:rsidP="001D6250">
            <w:pPr>
              <w:rPr>
                <w:rFonts w:ascii="Arial" w:eastAsia="Times New Roman" w:hAnsi="Arial" w:cs="Arial"/>
                <w:sz w:val="20"/>
                <w:szCs w:val="20"/>
              </w:rPr>
            </w:pPr>
          </w:p>
        </w:tc>
        <w:tc>
          <w:tcPr>
            <w:tcW w:w="450" w:type="pct"/>
            <w:tcBorders>
              <w:top w:val="single" w:sz="4" w:space="0" w:color="000000"/>
              <w:left w:val="single" w:sz="4" w:space="0" w:color="000000"/>
              <w:bottom w:val="single" w:sz="4" w:space="0" w:color="000000"/>
              <w:right w:val="single" w:sz="4" w:space="0" w:color="000000"/>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To OMP</w:t>
            </w:r>
            <w:r w:rsidRPr="009451ED">
              <w:rPr>
                <w:rFonts w:ascii="Arial" w:hAnsi="Arial" w:cs="Arial"/>
                <w:sz w:val="20"/>
                <w:szCs w:val="20"/>
              </w:rPr>
              <w:t>,</w:t>
            </w:r>
            <w:r w:rsidRPr="009451ED">
              <w:rPr>
                <w:rStyle w:val="Strong"/>
                <w:rFonts w:ascii="Arial" w:hAnsi="Arial" w:cs="Arial"/>
                <w:sz w:val="20"/>
                <w:szCs w:val="20"/>
              </w:rPr>
              <w:t xml:space="preserve"> wall and covered car parking spaces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51ED" w:rsidRPr="009451ED" w:rsidRDefault="009451ED" w:rsidP="001D6250">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51ED" w:rsidRPr="009451ED" w:rsidRDefault="009451ED" w:rsidP="001D6250">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51ED" w:rsidRPr="009451ED" w:rsidRDefault="009451ED" w:rsidP="001D6250">
            <w:pPr>
              <w:rPr>
                <w:rFonts w:ascii="Arial" w:hAnsi="Arial" w:cs="Arial"/>
                <w:sz w:val="20"/>
                <w:szCs w:val="20"/>
              </w:rPr>
            </w:pPr>
          </w:p>
        </w:tc>
      </w:tr>
      <w:tr w:rsidR="009451ED" w:rsidRPr="009451ED" w:rsidTr="001D6250">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Style w:val="Strong"/>
                <w:rFonts w:ascii="Arial" w:hAnsi="Arial" w:cs="Arial"/>
                <w:sz w:val="20"/>
                <w:szCs w:val="20"/>
              </w:rPr>
              <w:t>Less than4.5m</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1m</w:t>
            </w:r>
          </w:p>
        </w:tc>
        <w:tc>
          <w:tcPr>
            <w:tcW w:w="421"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1m</w:t>
            </w:r>
          </w:p>
        </w:tc>
        <w:tc>
          <w:tcPr>
            <w:tcW w:w="496"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5.4m</w:t>
            </w:r>
          </w:p>
        </w:tc>
        <w:tc>
          <w:tcPr>
            <w:tcW w:w="499"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1m</w:t>
            </w:r>
          </w:p>
        </w:tc>
        <w:tc>
          <w:tcPr>
            <w:tcW w:w="428"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1m</w:t>
            </w:r>
          </w:p>
        </w:tc>
        <w:tc>
          <w:tcPr>
            <w:tcW w:w="471"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5.4m</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0.5</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4.5m</w:t>
            </w:r>
          </w:p>
        </w:tc>
      </w:tr>
      <w:tr w:rsidR="009451ED" w:rsidRPr="009451ED" w:rsidTr="001D6250">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Style w:val="Strong"/>
                <w:rFonts w:ascii="Arial" w:hAnsi="Arial" w:cs="Arial"/>
                <w:sz w:val="20"/>
                <w:szCs w:val="20"/>
              </w:rPr>
              <w:t>4.5 to 8.5m</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1m</w:t>
            </w:r>
          </w:p>
        </w:tc>
        <w:tc>
          <w:tcPr>
            <w:tcW w:w="421"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1m</w:t>
            </w:r>
          </w:p>
        </w:tc>
        <w:tc>
          <w:tcPr>
            <w:tcW w:w="496"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N/A</w:t>
            </w:r>
          </w:p>
        </w:tc>
        <w:tc>
          <w:tcPr>
            <w:tcW w:w="499"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1m</w:t>
            </w:r>
          </w:p>
        </w:tc>
        <w:tc>
          <w:tcPr>
            <w:tcW w:w="428"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1m</w:t>
            </w:r>
          </w:p>
        </w:tc>
        <w:tc>
          <w:tcPr>
            <w:tcW w:w="471"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N/A</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0.5</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4.5m</w:t>
            </w:r>
          </w:p>
        </w:tc>
      </w:tr>
      <w:tr w:rsidR="009451ED" w:rsidRPr="009451ED" w:rsidTr="001D6250">
        <w:trPr>
          <w:trHeight w:val="1200"/>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Style w:val="Strong"/>
                <w:rFonts w:ascii="Arial" w:hAnsi="Arial" w:cs="Arial"/>
                <w:sz w:val="20"/>
                <w:szCs w:val="20"/>
              </w:rPr>
              <w:t>Greater than 8.5m</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5m</w:t>
            </w:r>
          </w:p>
        </w:tc>
        <w:tc>
          <w:tcPr>
            <w:tcW w:w="421"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3m</w:t>
            </w:r>
          </w:p>
        </w:tc>
        <w:tc>
          <w:tcPr>
            <w:tcW w:w="496"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N/A</w:t>
            </w:r>
          </w:p>
        </w:tc>
        <w:tc>
          <w:tcPr>
            <w:tcW w:w="499"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2m</w:t>
            </w:r>
          </w:p>
        </w:tc>
        <w:tc>
          <w:tcPr>
            <w:tcW w:w="428"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1m</w:t>
            </w:r>
          </w:p>
        </w:tc>
        <w:tc>
          <w:tcPr>
            <w:tcW w:w="471"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N/A</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0.5</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Min 4.5m</w:t>
            </w:r>
          </w:p>
        </w:tc>
      </w:tr>
    </w:tbl>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p w:rsidR="009451ED" w:rsidRDefault="009451ED">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687"/>
        <w:gridCol w:w="2859"/>
        <w:gridCol w:w="3125"/>
        <w:gridCol w:w="3448"/>
        <w:gridCol w:w="4279"/>
      </w:tblGrid>
      <w:tr w:rsidR="009451ED" w:rsidRPr="009451ED" w:rsidTr="001D6250">
        <w:trPr>
          <w:trHeight w:val="458"/>
          <w:tblCellSpacing w:w="15" w:type="dxa"/>
        </w:trPr>
        <w:tc>
          <w:tcPr>
            <w:tcW w:w="0" w:type="auto"/>
            <w:gridSpan w:val="5"/>
            <w:tcBorders>
              <w:top w:val="nil"/>
              <w:left w:val="nil"/>
              <w:bottom w:val="nil"/>
              <w:right w:val="nil"/>
            </w:tcBorders>
            <w:shd w:val="clear" w:color="auto" w:fill="CCCCCC"/>
            <w:vAlign w:val="center"/>
            <w:hideMark/>
          </w:tcPr>
          <w:p w:rsidR="009451ED" w:rsidRPr="009451ED" w:rsidRDefault="009451ED" w:rsidP="001D6250">
            <w:pPr>
              <w:jc w:val="center"/>
              <w:rPr>
                <w:rFonts w:ascii="Arial" w:eastAsia="Times New Roman" w:hAnsi="Arial" w:cs="Arial"/>
                <w:sz w:val="20"/>
                <w:szCs w:val="20"/>
              </w:rPr>
            </w:pPr>
            <w:bookmarkStart w:id="0" w:name="_GoBack"/>
            <w:bookmarkEnd w:id="0"/>
            <w:r w:rsidRPr="009451ED">
              <w:rPr>
                <w:rStyle w:val="Strong"/>
                <w:rFonts w:ascii="Arial" w:eastAsia="Times New Roman" w:hAnsi="Arial" w:cs="Arial"/>
                <w:sz w:val="20"/>
                <w:szCs w:val="20"/>
              </w:rPr>
              <w:lastRenderedPageBreak/>
              <w:t>Table 9.3.1.7 Built to boundary walls</w:t>
            </w:r>
          </w:p>
        </w:tc>
      </w:tr>
      <w:tr w:rsidR="009451ED" w:rsidRPr="009451ED" w:rsidTr="00C64A89">
        <w:trPr>
          <w:tblCellSpacing w:w="15" w:type="dxa"/>
        </w:trPr>
        <w:tc>
          <w:tcPr>
            <w:tcW w:w="535"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1D6250">
            <w:pPr>
              <w:pStyle w:val="NormalWeb"/>
              <w:rPr>
                <w:rFonts w:ascii="Arial" w:hAnsi="Arial" w:cs="Arial"/>
                <w:sz w:val="20"/>
                <w:szCs w:val="20"/>
              </w:rPr>
            </w:pPr>
            <w:r w:rsidRPr="009451ED">
              <w:rPr>
                <w:rStyle w:val="Strong"/>
                <w:rFonts w:ascii="Arial" w:hAnsi="Arial" w:cs="Arial"/>
                <w:sz w:val="20"/>
                <w:szCs w:val="20"/>
              </w:rPr>
              <w:t>Lot frontage width</w:t>
            </w:r>
          </w:p>
        </w:tc>
        <w:tc>
          <w:tcPr>
            <w:tcW w:w="922"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1D6250">
            <w:pPr>
              <w:pStyle w:val="NormalWeb"/>
              <w:rPr>
                <w:rFonts w:ascii="Arial" w:hAnsi="Arial" w:cs="Arial"/>
                <w:sz w:val="20"/>
                <w:szCs w:val="20"/>
              </w:rPr>
            </w:pPr>
            <w:r w:rsidRPr="009451ED">
              <w:rPr>
                <w:rStyle w:val="Strong"/>
                <w:rFonts w:ascii="Arial" w:hAnsi="Arial" w:cs="Arial"/>
                <w:sz w:val="20"/>
                <w:szCs w:val="20"/>
              </w:rPr>
              <w:t>Mandatory / Optional</w:t>
            </w:r>
          </w:p>
        </w:tc>
        <w:tc>
          <w:tcPr>
            <w:tcW w:w="350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1D6250">
            <w:pPr>
              <w:pStyle w:val="NormalWeb"/>
              <w:jc w:val="center"/>
              <w:rPr>
                <w:rFonts w:ascii="Arial" w:hAnsi="Arial" w:cs="Arial"/>
                <w:sz w:val="20"/>
                <w:szCs w:val="20"/>
              </w:rPr>
            </w:pPr>
            <w:r w:rsidRPr="009451ED">
              <w:rPr>
                <w:rStyle w:val="Strong"/>
                <w:rFonts w:ascii="Arial" w:hAnsi="Arial" w:cs="Arial"/>
                <w:sz w:val="20"/>
                <w:szCs w:val="20"/>
              </w:rPr>
              <w:t>Length and height of built to boundary wall</w:t>
            </w:r>
          </w:p>
        </w:tc>
      </w:tr>
      <w:tr w:rsidR="009451ED" w:rsidRPr="009451ED" w:rsidTr="00C64A89">
        <w:trPr>
          <w:trHeight w:val="2257"/>
          <w:tblCellSpacing w:w="15" w:type="dxa"/>
        </w:trPr>
        <w:tc>
          <w:tcPr>
            <w:tcW w:w="535" w:type="pct"/>
            <w:vMerge/>
            <w:tcBorders>
              <w:top w:val="outset" w:sz="6" w:space="0" w:color="auto"/>
              <w:left w:val="outset" w:sz="6" w:space="0" w:color="auto"/>
              <w:bottom w:val="outset" w:sz="6" w:space="0" w:color="auto"/>
              <w:right w:val="outset" w:sz="6" w:space="0" w:color="auto"/>
            </w:tcBorders>
            <w:vAlign w:val="center"/>
            <w:hideMark/>
          </w:tcPr>
          <w:p w:rsidR="009451ED" w:rsidRPr="009451ED" w:rsidRDefault="009451ED" w:rsidP="001D6250">
            <w:pPr>
              <w:rPr>
                <w:rFonts w:ascii="Arial" w:hAnsi="Arial" w:cs="Arial"/>
                <w:sz w:val="20"/>
                <w:szCs w:val="20"/>
              </w:rPr>
            </w:pPr>
          </w:p>
        </w:tc>
        <w:tc>
          <w:tcPr>
            <w:tcW w:w="922" w:type="pct"/>
            <w:vMerge/>
            <w:tcBorders>
              <w:top w:val="outset" w:sz="6" w:space="0" w:color="auto"/>
              <w:left w:val="outset" w:sz="6" w:space="0" w:color="auto"/>
              <w:bottom w:val="outset" w:sz="6" w:space="0" w:color="auto"/>
              <w:right w:val="outset" w:sz="6" w:space="0" w:color="auto"/>
            </w:tcBorders>
            <w:vAlign w:val="center"/>
            <w:hideMark/>
          </w:tcPr>
          <w:p w:rsidR="009451ED" w:rsidRPr="009451ED" w:rsidRDefault="009451ED" w:rsidP="001D6250">
            <w:pPr>
              <w:rPr>
                <w:rFonts w:ascii="Arial" w:hAnsi="Arial" w:cs="Arial"/>
                <w:sz w:val="20"/>
                <w:szCs w:val="20"/>
              </w:rPr>
            </w:pPr>
          </w:p>
        </w:tc>
        <w:tc>
          <w:tcPr>
            <w:tcW w:w="1009"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9451ED">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General residential zone:</w:t>
            </w:r>
          </w:p>
          <w:p w:rsidR="009451ED" w:rsidRPr="009451ED" w:rsidRDefault="009451ED" w:rsidP="0069586D">
            <w:pPr>
              <w:numPr>
                <w:ilvl w:val="0"/>
                <w:numId w:val="86"/>
              </w:numPr>
              <w:rPr>
                <w:rFonts w:ascii="Arial" w:eastAsia="Times New Roman" w:hAnsi="Arial" w:cs="Arial"/>
                <w:sz w:val="20"/>
                <w:szCs w:val="20"/>
              </w:rPr>
            </w:pPr>
            <w:r w:rsidRPr="009451ED">
              <w:rPr>
                <w:rStyle w:val="Strong"/>
                <w:rFonts w:ascii="Arial" w:eastAsia="Times New Roman" w:hAnsi="Arial" w:cs="Arial"/>
                <w:sz w:val="20"/>
                <w:szCs w:val="20"/>
              </w:rPr>
              <w:t xml:space="preserve">Coastal </w:t>
            </w:r>
            <w:proofErr w:type="gramStart"/>
            <w:r w:rsidRPr="009451ED">
              <w:rPr>
                <w:rStyle w:val="Strong"/>
                <w:rFonts w:ascii="Arial" w:eastAsia="Times New Roman" w:hAnsi="Arial" w:cs="Arial"/>
                <w:sz w:val="20"/>
                <w:szCs w:val="20"/>
              </w:rPr>
              <w:t>communities</w:t>
            </w:r>
            <w:proofErr w:type="gramEnd"/>
            <w:r w:rsidRPr="009451ED">
              <w:rPr>
                <w:rStyle w:val="Strong"/>
                <w:rFonts w:ascii="Arial" w:eastAsia="Times New Roman" w:hAnsi="Arial" w:cs="Arial"/>
                <w:sz w:val="20"/>
                <w:szCs w:val="20"/>
              </w:rPr>
              <w:t xml:space="preserve"> precinct</w:t>
            </w:r>
          </w:p>
          <w:p w:rsidR="009451ED" w:rsidRPr="009451ED" w:rsidRDefault="009451ED" w:rsidP="0069586D">
            <w:pPr>
              <w:numPr>
                <w:ilvl w:val="0"/>
                <w:numId w:val="86"/>
              </w:numPr>
              <w:rPr>
                <w:rFonts w:ascii="Arial" w:eastAsia="Times New Roman" w:hAnsi="Arial" w:cs="Arial"/>
                <w:sz w:val="20"/>
                <w:szCs w:val="20"/>
              </w:rPr>
            </w:pPr>
            <w:r w:rsidRPr="009451ED">
              <w:rPr>
                <w:rStyle w:val="Strong"/>
                <w:rFonts w:ascii="Arial" w:eastAsia="Times New Roman" w:hAnsi="Arial" w:cs="Arial"/>
                <w:sz w:val="20"/>
                <w:szCs w:val="20"/>
              </w:rPr>
              <w:t>Suburban neighbourhood precinct</w:t>
            </w:r>
          </w:p>
          <w:p w:rsidR="009451ED" w:rsidRPr="009451ED" w:rsidRDefault="009451ED" w:rsidP="009451ED">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Redcliffe Kippa-Ring local plan:</w:t>
            </w:r>
          </w:p>
          <w:p w:rsidR="009451ED" w:rsidRPr="009451ED" w:rsidRDefault="009451ED" w:rsidP="0069586D">
            <w:pPr>
              <w:numPr>
                <w:ilvl w:val="0"/>
                <w:numId w:val="87"/>
              </w:numPr>
              <w:rPr>
                <w:rFonts w:ascii="Arial" w:eastAsia="Times New Roman" w:hAnsi="Arial" w:cs="Arial"/>
                <w:sz w:val="20"/>
                <w:szCs w:val="20"/>
              </w:rPr>
            </w:pPr>
            <w:r w:rsidRPr="009451ED">
              <w:rPr>
                <w:rStyle w:val="Strong"/>
                <w:rFonts w:ascii="Arial" w:eastAsia="Times New Roman" w:hAnsi="Arial" w:cs="Arial"/>
                <w:sz w:val="20"/>
                <w:szCs w:val="20"/>
              </w:rPr>
              <w:t>Interim residential precinct</w:t>
            </w:r>
          </w:p>
        </w:tc>
        <w:tc>
          <w:tcPr>
            <w:tcW w:w="1114"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9451ED">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Emerging community zone:</w:t>
            </w:r>
          </w:p>
          <w:p w:rsidR="009451ED" w:rsidRPr="009451ED" w:rsidRDefault="009451ED" w:rsidP="0069586D">
            <w:pPr>
              <w:pStyle w:val="NormalWeb"/>
              <w:numPr>
                <w:ilvl w:val="0"/>
                <w:numId w:val="88"/>
              </w:numPr>
              <w:spacing w:before="0" w:beforeAutospacing="0" w:after="0" w:afterAutospacing="0"/>
              <w:rPr>
                <w:rFonts w:ascii="Arial" w:hAnsi="Arial" w:cs="Arial"/>
                <w:sz w:val="20"/>
                <w:szCs w:val="20"/>
              </w:rPr>
            </w:pPr>
            <w:r w:rsidRPr="009451ED">
              <w:rPr>
                <w:rStyle w:val="Strong"/>
                <w:rFonts w:ascii="Arial" w:hAnsi="Arial" w:cs="Arial"/>
                <w:sz w:val="20"/>
                <w:szCs w:val="20"/>
              </w:rPr>
              <w:t>Transition precinct (Developed lot)</w:t>
            </w:r>
          </w:p>
          <w:p w:rsidR="009451ED" w:rsidRPr="009451ED" w:rsidRDefault="009451ED" w:rsidP="009451ED">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General residential zone:</w:t>
            </w:r>
          </w:p>
          <w:p w:rsidR="009451ED" w:rsidRPr="009451ED" w:rsidRDefault="009451ED" w:rsidP="0069586D">
            <w:pPr>
              <w:pStyle w:val="NormalWeb"/>
              <w:numPr>
                <w:ilvl w:val="0"/>
                <w:numId w:val="89"/>
              </w:numPr>
              <w:spacing w:before="0" w:beforeAutospacing="0" w:after="0" w:afterAutospacing="0"/>
              <w:rPr>
                <w:rFonts w:ascii="Arial" w:hAnsi="Arial" w:cs="Arial"/>
                <w:sz w:val="20"/>
                <w:szCs w:val="20"/>
              </w:rPr>
            </w:pPr>
            <w:r w:rsidRPr="009451ED">
              <w:rPr>
                <w:rStyle w:val="Strong"/>
                <w:rFonts w:ascii="Arial" w:hAnsi="Arial" w:cs="Arial"/>
                <w:sz w:val="20"/>
                <w:szCs w:val="20"/>
              </w:rPr>
              <w:t>Next generation neighbourhood precinct</w:t>
            </w:r>
          </w:p>
          <w:p w:rsidR="009451ED" w:rsidRPr="009451ED" w:rsidRDefault="009451ED" w:rsidP="009451ED">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Caboolture West local plan:</w:t>
            </w:r>
          </w:p>
          <w:p w:rsidR="009451ED" w:rsidRPr="009451ED" w:rsidRDefault="009451ED" w:rsidP="0069586D">
            <w:pPr>
              <w:pStyle w:val="NormalWeb"/>
              <w:numPr>
                <w:ilvl w:val="0"/>
                <w:numId w:val="90"/>
              </w:numPr>
              <w:spacing w:before="0" w:beforeAutospacing="0" w:after="0" w:afterAutospacing="0"/>
              <w:rPr>
                <w:rFonts w:ascii="Arial" w:hAnsi="Arial" w:cs="Arial"/>
                <w:sz w:val="20"/>
                <w:szCs w:val="20"/>
              </w:rPr>
            </w:pPr>
            <w:r w:rsidRPr="009451ED">
              <w:rPr>
                <w:rStyle w:val="Strong"/>
                <w:rFonts w:ascii="Arial" w:hAnsi="Arial" w:cs="Arial"/>
                <w:sz w:val="20"/>
                <w:szCs w:val="20"/>
              </w:rPr>
              <w:t>Urban living precinct (Next generation sub-precinct)</w:t>
            </w:r>
          </w:p>
        </w:tc>
        <w:tc>
          <w:tcPr>
            <w:tcW w:w="1361" w:type="pct"/>
            <w:tcBorders>
              <w:top w:val="outset" w:sz="6" w:space="0" w:color="auto"/>
              <w:left w:val="outset" w:sz="6" w:space="0" w:color="auto"/>
              <w:bottom w:val="outset" w:sz="6" w:space="0" w:color="auto"/>
              <w:right w:val="outset" w:sz="6" w:space="0" w:color="auto"/>
            </w:tcBorders>
            <w:shd w:val="clear" w:color="auto" w:fill="CCCCCC"/>
            <w:hideMark/>
          </w:tcPr>
          <w:p w:rsidR="009451ED" w:rsidRPr="009451ED" w:rsidRDefault="009451ED" w:rsidP="009451ED">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Emerging community zone:</w:t>
            </w:r>
          </w:p>
          <w:p w:rsidR="009451ED" w:rsidRPr="009451ED" w:rsidRDefault="009451ED" w:rsidP="0069586D">
            <w:pPr>
              <w:pStyle w:val="NormalWeb"/>
              <w:numPr>
                <w:ilvl w:val="0"/>
                <w:numId w:val="91"/>
              </w:numPr>
              <w:spacing w:before="0" w:beforeAutospacing="0" w:after="0" w:afterAutospacing="0"/>
              <w:rPr>
                <w:rFonts w:ascii="Arial" w:hAnsi="Arial" w:cs="Arial"/>
                <w:sz w:val="20"/>
                <w:szCs w:val="20"/>
              </w:rPr>
            </w:pPr>
            <w:r w:rsidRPr="009451ED">
              <w:rPr>
                <w:rStyle w:val="Strong"/>
                <w:rFonts w:ascii="Arial" w:hAnsi="Arial" w:cs="Arial"/>
                <w:sz w:val="20"/>
                <w:szCs w:val="20"/>
              </w:rPr>
              <w:t>Transition precinct (Developed lot) if within the Morayfield South urban area on Figure 9.3.1.1</w:t>
            </w:r>
          </w:p>
          <w:p w:rsidR="009451ED" w:rsidRPr="009451ED" w:rsidRDefault="009451ED" w:rsidP="009451ED">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General residential zone:</w:t>
            </w:r>
          </w:p>
          <w:p w:rsidR="009451ED" w:rsidRPr="009451ED" w:rsidRDefault="009451ED" w:rsidP="0069586D">
            <w:pPr>
              <w:pStyle w:val="NormalWeb"/>
              <w:numPr>
                <w:ilvl w:val="0"/>
                <w:numId w:val="92"/>
              </w:numPr>
              <w:spacing w:before="0" w:beforeAutospacing="0" w:after="0" w:afterAutospacing="0"/>
              <w:rPr>
                <w:rFonts w:ascii="Arial" w:hAnsi="Arial" w:cs="Arial"/>
                <w:sz w:val="20"/>
                <w:szCs w:val="20"/>
              </w:rPr>
            </w:pPr>
            <w:r w:rsidRPr="009451ED">
              <w:rPr>
                <w:rStyle w:val="Strong"/>
                <w:rFonts w:ascii="Arial" w:hAnsi="Arial" w:cs="Arial"/>
                <w:sz w:val="20"/>
                <w:szCs w:val="20"/>
              </w:rPr>
              <w:t>Urban neighbourhood precinct</w:t>
            </w:r>
          </w:p>
        </w:tc>
      </w:tr>
      <w:tr w:rsidR="009451ED" w:rsidRPr="009451ED" w:rsidTr="00C64A89">
        <w:trPr>
          <w:tblCellSpacing w:w="15" w:type="dxa"/>
        </w:trPr>
        <w:tc>
          <w:tcPr>
            <w:tcW w:w="535"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Style w:val="Strong"/>
                <w:rFonts w:ascii="Arial" w:hAnsi="Arial" w:cs="Arial"/>
                <w:sz w:val="20"/>
                <w:szCs w:val="20"/>
              </w:rPr>
              <w:t>7.5m or less</w:t>
            </w:r>
          </w:p>
        </w:tc>
        <w:tc>
          <w:tcPr>
            <w:tcW w:w="922"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Mandatory - both sides unless a corner lot</w:t>
            </w:r>
          </w:p>
        </w:tc>
        <w:tc>
          <w:tcPr>
            <w:tcW w:w="100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Not permitted*</w:t>
            </w:r>
          </w:p>
        </w:tc>
        <w:tc>
          <w:tcPr>
            <w:tcW w:w="111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Max Length: 80% of the length of the boundary</w:t>
            </w:r>
            <w:r w:rsidRPr="009451ED">
              <w:rPr>
                <w:rFonts w:ascii="Arial" w:hAnsi="Arial" w:cs="Arial"/>
                <w:sz w:val="20"/>
                <w:szCs w:val="20"/>
              </w:rPr>
              <w:br/>
              <w:t>Max Height: 7.5m</w:t>
            </w:r>
          </w:p>
        </w:tc>
        <w:tc>
          <w:tcPr>
            <w:tcW w:w="1361"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Max Length: 80% of the length of the boundary</w:t>
            </w:r>
            <w:r w:rsidRPr="009451ED">
              <w:rPr>
                <w:rFonts w:ascii="Arial" w:hAnsi="Arial" w:cs="Arial"/>
                <w:sz w:val="20"/>
                <w:szCs w:val="20"/>
              </w:rPr>
              <w:br/>
              <w:t>Max Height: 8.5m</w:t>
            </w:r>
          </w:p>
        </w:tc>
      </w:tr>
      <w:tr w:rsidR="009451ED" w:rsidRPr="009451ED" w:rsidTr="00C64A89">
        <w:trPr>
          <w:tblCellSpacing w:w="15" w:type="dxa"/>
        </w:trPr>
        <w:tc>
          <w:tcPr>
            <w:tcW w:w="535"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Style w:val="Strong"/>
                <w:rFonts w:ascii="Arial" w:hAnsi="Arial" w:cs="Arial"/>
                <w:sz w:val="20"/>
                <w:szCs w:val="20"/>
              </w:rPr>
              <w:t>More than 7.5m to 12.5m</w:t>
            </w:r>
          </w:p>
        </w:tc>
        <w:tc>
          <w:tcPr>
            <w:tcW w:w="922"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Mandatory - one side</w:t>
            </w:r>
          </w:p>
        </w:tc>
        <w:tc>
          <w:tcPr>
            <w:tcW w:w="100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Not permitted*</w:t>
            </w:r>
          </w:p>
        </w:tc>
        <w:tc>
          <w:tcPr>
            <w:tcW w:w="111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Max Length: 60% of the length of the boundary OR 80% if the lot adjoining that boundary has a frontage of 7.5m or less.</w:t>
            </w:r>
            <w:r w:rsidRPr="009451ED">
              <w:rPr>
                <w:rFonts w:ascii="Arial" w:hAnsi="Arial" w:cs="Arial"/>
                <w:sz w:val="20"/>
                <w:szCs w:val="20"/>
              </w:rPr>
              <w:br/>
              <w:t>Max Height: 7.5m</w:t>
            </w:r>
          </w:p>
        </w:tc>
        <w:tc>
          <w:tcPr>
            <w:tcW w:w="1361"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Max Length: 70% of the length of the boundary</w:t>
            </w:r>
            <w:r w:rsidRPr="009451ED">
              <w:rPr>
                <w:rFonts w:ascii="Arial" w:hAnsi="Arial" w:cs="Arial"/>
                <w:sz w:val="20"/>
                <w:szCs w:val="20"/>
              </w:rPr>
              <w:br/>
              <w:t>Max Height: 10.5m</w:t>
            </w:r>
          </w:p>
        </w:tc>
      </w:tr>
      <w:tr w:rsidR="009451ED" w:rsidRPr="009451ED" w:rsidTr="00C64A89">
        <w:trPr>
          <w:trHeight w:val="1440"/>
          <w:tblCellSpacing w:w="15" w:type="dxa"/>
        </w:trPr>
        <w:tc>
          <w:tcPr>
            <w:tcW w:w="535"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Style w:val="Strong"/>
                <w:rFonts w:ascii="Arial" w:hAnsi="Arial" w:cs="Arial"/>
                <w:sz w:val="20"/>
                <w:szCs w:val="20"/>
              </w:rPr>
              <w:t>More than 12.5m to 18m</w:t>
            </w:r>
          </w:p>
        </w:tc>
        <w:tc>
          <w:tcPr>
            <w:tcW w:w="922"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Optional:</w:t>
            </w:r>
          </w:p>
          <w:p w:rsidR="009451ED" w:rsidRPr="009451ED" w:rsidRDefault="009451ED" w:rsidP="0069586D">
            <w:pPr>
              <w:pStyle w:val="NormalWeb"/>
              <w:numPr>
                <w:ilvl w:val="0"/>
                <w:numId w:val="93"/>
              </w:numPr>
              <w:rPr>
                <w:rFonts w:ascii="Arial" w:hAnsi="Arial" w:cs="Arial"/>
                <w:sz w:val="20"/>
                <w:szCs w:val="20"/>
              </w:rPr>
            </w:pPr>
            <w:r w:rsidRPr="009451ED">
              <w:rPr>
                <w:rFonts w:ascii="Arial" w:hAnsi="Arial" w:cs="Arial"/>
                <w:sz w:val="20"/>
                <w:szCs w:val="20"/>
              </w:rPr>
              <w:t>on 1 boundary only;</w:t>
            </w:r>
          </w:p>
          <w:p w:rsidR="009451ED" w:rsidRPr="009451ED" w:rsidRDefault="009451ED" w:rsidP="0069586D">
            <w:pPr>
              <w:pStyle w:val="NormalWeb"/>
              <w:numPr>
                <w:ilvl w:val="0"/>
                <w:numId w:val="93"/>
              </w:numPr>
              <w:rPr>
                <w:rFonts w:ascii="Arial" w:hAnsi="Arial" w:cs="Arial"/>
                <w:sz w:val="20"/>
                <w:szCs w:val="20"/>
              </w:rPr>
            </w:pPr>
            <w:r w:rsidRPr="009451ED">
              <w:rPr>
                <w:rFonts w:ascii="Arial" w:hAnsi="Arial" w:cs="Arial"/>
                <w:sz w:val="20"/>
                <w:szCs w:val="20"/>
              </w:rPr>
              <w:t>where the built to boundary wall adjoins a lot with a frontage less than 18m.</w:t>
            </w:r>
          </w:p>
          <w:p w:rsidR="009451ED" w:rsidRPr="009451ED" w:rsidRDefault="009451ED" w:rsidP="001D6250">
            <w:pPr>
              <w:pStyle w:val="NormalWeb"/>
              <w:rPr>
                <w:rFonts w:ascii="Arial" w:hAnsi="Arial" w:cs="Arial"/>
                <w:sz w:val="20"/>
                <w:szCs w:val="20"/>
              </w:rPr>
            </w:pPr>
            <w:r w:rsidRPr="009451ED">
              <w:rPr>
                <w:rFonts w:ascii="Arial" w:hAnsi="Arial" w:cs="Arial"/>
                <w:sz w:val="20"/>
                <w:szCs w:val="20"/>
              </w:rPr>
              <w:t>Not permitted - Otherwise</w:t>
            </w:r>
          </w:p>
        </w:tc>
        <w:tc>
          <w:tcPr>
            <w:tcW w:w="1009"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Not permitted*</w:t>
            </w:r>
          </w:p>
        </w:tc>
        <w:tc>
          <w:tcPr>
            <w:tcW w:w="1114"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Max Length: the lesser of 15m or 60% of the length of the boundary</w:t>
            </w:r>
            <w:r w:rsidRPr="009451ED">
              <w:rPr>
                <w:rFonts w:ascii="Arial" w:hAnsi="Arial" w:cs="Arial"/>
                <w:sz w:val="20"/>
                <w:szCs w:val="20"/>
              </w:rPr>
              <w:br/>
              <w:t>Max Height: 7.5m</w:t>
            </w:r>
          </w:p>
        </w:tc>
        <w:tc>
          <w:tcPr>
            <w:tcW w:w="1361" w:type="pct"/>
            <w:tcBorders>
              <w:top w:val="outset" w:sz="6" w:space="0" w:color="auto"/>
              <w:left w:val="outset" w:sz="6" w:space="0" w:color="auto"/>
              <w:bottom w:val="outset" w:sz="6" w:space="0" w:color="auto"/>
              <w:right w:val="outset" w:sz="6" w:space="0" w:color="auto"/>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Max Length: the lesser of 15m or 60% of the length of the boundary</w:t>
            </w:r>
            <w:r w:rsidRPr="009451ED">
              <w:rPr>
                <w:rFonts w:ascii="Arial" w:hAnsi="Arial" w:cs="Arial"/>
                <w:sz w:val="20"/>
                <w:szCs w:val="20"/>
              </w:rPr>
              <w:br/>
              <w:t>Max Height: 10.5m</w:t>
            </w:r>
          </w:p>
        </w:tc>
      </w:tr>
      <w:tr w:rsidR="009451ED" w:rsidRPr="009451ED" w:rsidTr="00C64A89">
        <w:trPr>
          <w:tblCellSpacing w:w="15" w:type="dxa"/>
        </w:trPr>
        <w:tc>
          <w:tcPr>
            <w:tcW w:w="535"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Style w:val="Strong"/>
                <w:rFonts w:ascii="Arial" w:hAnsi="Arial" w:cs="Arial"/>
                <w:sz w:val="20"/>
                <w:szCs w:val="20"/>
              </w:rPr>
              <w:t>Greater than 18m</w:t>
            </w:r>
          </w:p>
        </w:tc>
        <w:tc>
          <w:tcPr>
            <w:tcW w:w="922"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pStyle w:val="NormalWeb"/>
              <w:rPr>
                <w:rFonts w:ascii="Arial" w:hAnsi="Arial" w:cs="Arial"/>
                <w:sz w:val="20"/>
                <w:szCs w:val="20"/>
              </w:rPr>
            </w:pPr>
            <w:r w:rsidRPr="009451ED">
              <w:rPr>
                <w:rFonts w:ascii="Arial" w:hAnsi="Arial" w:cs="Arial"/>
                <w:sz w:val="20"/>
                <w:szCs w:val="20"/>
              </w:rPr>
              <w:t>Not permitted*</w:t>
            </w:r>
          </w:p>
        </w:tc>
        <w:tc>
          <w:tcPr>
            <w:tcW w:w="1009"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rPr>
                <w:rFonts w:ascii="Arial" w:eastAsia="Times New Roman" w:hAnsi="Arial" w:cs="Arial"/>
                <w:sz w:val="20"/>
                <w:szCs w:val="20"/>
              </w:rPr>
            </w:pPr>
            <w:r w:rsidRPr="009451ED">
              <w:rPr>
                <w:rFonts w:ascii="Arial" w:eastAsia="Times New Roman" w:hAnsi="Arial" w:cs="Arial"/>
                <w:sz w:val="20"/>
                <w:szCs w:val="20"/>
              </w:rPr>
              <w:t>Not permitted*</w:t>
            </w:r>
          </w:p>
        </w:tc>
        <w:tc>
          <w:tcPr>
            <w:tcW w:w="1114"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rPr>
                <w:rFonts w:ascii="Arial" w:eastAsia="Times New Roman" w:hAnsi="Arial" w:cs="Arial"/>
                <w:sz w:val="20"/>
                <w:szCs w:val="20"/>
              </w:rPr>
            </w:pPr>
            <w:r w:rsidRPr="009451ED">
              <w:rPr>
                <w:rFonts w:ascii="Arial" w:eastAsia="Times New Roman" w:hAnsi="Arial" w:cs="Arial"/>
                <w:sz w:val="20"/>
                <w:szCs w:val="20"/>
              </w:rPr>
              <w:t>Not permitted*</w:t>
            </w:r>
          </w:p>
        </w:tc>
        <w:tc>
          <w:tcPr>
            <w:tcW w:w="1361" w:type="pct"/>
            <w:tcBorders>
              <w:top w:val="single" w:sz="4" w:space="0" w:color="000000"/>
              <w:left w:val="single" w:sz="4" w:space="0" w:color="000000"/>
              <w:bottom w:val="single" w:sz="4" w:space="0" w:color="000000"/>
              <w:right w:val="single" w:sz="4" w:space="0" w:color="000000"/>
            </w:tcBorders>
            <w:hideMark/>
          </w:tcPr>
          <w:p w:rsidR="009451ED" w:rsidRPr="009451ED" w:rsidRDefault="009451ED" w:rsidP="001D6250">
            <w:pPr>
              <w:rPr>
                <w:rFonts w:ascii="Arial" w:eastAsia="Times New Roman" w:hAnsi="Arial" w:cs="Arial"/>
                <w:sz w:val="20"/>
                <w:szCs w:val="20"/>
              </w:rPr>
            </w:pPr>
            <w:r w:rsidRPr="009451ED">
              <w:rPr>
                <w:rFonts w:ascii="Arial" w:eastAsia="Times New Roman" w:hAnsi="Arial" w:cs="Arial"/>
                <w:sz w:val="20"/>
                <w:szCs w:val="20"/>
              </w:rPr>
              <w:t>Not permitted*</w:t>
            </w:r>
          </w:p>
        </w:tc>
      </w:tr>
    </w:tbl>
    <w:p w:rsidR="009451ED" w:rsidRDefault="009451ED">
      <w:pPr>
        <w:rPr>
          <w:rFonts w:ascii="Arial" w:hAnsi="Arial" w:cs="Arial"/>
        </w:rPr>
      </w:pPr>
    </w:p>
    <w:p w:rsidR="009451ED" w:rsidRPr="009451ED" w:rsidRDefault="009451ED" w:rsidP="009451ED">
      <w:pPr>
        <w:rPr>
          <w:rFonts w:ascii="Arial" w:hAnsi="Arial" w:cs="Arial"/>
          <w:sz w:val="20"/>
          <w:szCs w:val="20"/>
        </w:rPr>
      </w:pPr>
      <w:r w:rsidRPr="009451ED">
        <w:rPr>
          <w:rFonts w:ascii="Arial" w:hAnsi="Arial" w:cs="Arial"/>
          <w:sz w:val="20"/>
          <w:szCs w:val="20"/>
        </w:rPr>
        <w:t>Note -The above setbacks apply only to Class 1a and Class 10a buildings/structures.</w:t>
      </w:r>
    </w:p>
    <w:p w:rsidR="009451ED" w:rsidRPr="009451ED" w:rsidRDefault="009451ED" w:rsidP="009451ED">
      <w:pPr>
        <w:rPr>
          <w:rFonts w:ascii="Arial" w:hAnsi="Arial" w:cs="Arial"/>
          <w:sz w:val="20"/>
          <w:szCs w:val="20"/>
        </w:rPr>
      </w:pPr>
      <w:r w:rsidRPr="009451ED">
        <w:rPr>
          <w:rFonts w:ascii="Arial" w:hAnsi="Arial" w:cs="Arial"/>
          <w:sz w:val="20"/>
          <w:szCs w:val="20"/>
        </w:rPr>
        <w:br/>
        <w:t>Note - Max Length includes the length of walls of any other buildings on the same boundary. e.g. detached garage, carport or shed.</w:t>
      </w:r>
    </w:p>
    <w:p w:rsidR="009451ED" w:rsidRPr="009451ED" w:rsidRDefault="009451ED" w:rsidP="009451ED">
      <w:pPr>
        <w:rPr>
          <w:rFonts w:ascii="Arial" w:hAnsi="Arial" w:cs="Arial"/>
          <w:sz w:val="20"/>
          <w:szCs w:val="20"/>
        </w:rPr>
      </w:pPr>
      <w:r w:rsidRPr="009451ED">
        <w:rPr>
          <w:rFonts w:ascii="Arial" w:hAnsi="Arial" w:cs="Arial"/>
          <w:sz w:val="20"/>
          <w:szCs w:val="20"/>
        </w:rPr>
        <w:br/>
        <w:t>Note - For the maximum height of domestic outbuildings refer to the examples that achieve aspects of the performance outcomes for building height and domestic outbuildings.</w:t>
      </w:r>
    </w:p>
    <w:p w:rsidR="009451ED" w:rsidRPr="009451ED" w:rsidRDefault="009451ED">
      <w:pPr>
        <w:rPr>
          <w:rFonts w:ascii="Arial" w:hAnsi="Arial" w:cs="Arial"/>
          <w:sz w:val="20"/>
          <w:szCs w:val="20"/>
        </w:rPr>
      </w:pPr>
    </w:p>
    <w:p w:rsidR="009451ED" w:rsidRPr="009451ED" w:rsidRDefault="009451ED">
      <w:pPr>
        <w:rPr>
          <w:rFonts w:ascii="Arial" w:hAnsi="Arial" w:cs="Arial"/>
          <w:sz w:val="20"/>
          <w:szCs w:val="20"/>
        </w:rPr>
      </w:pPr>
      <w:r w:rsidRPr="009451ED">
        <w:rPr>
          <w:rFonts w:ascii="Arial" w:hAnsi="Arial" w:cs="Arial"/>
          <w:sz w:val="20"/>
          <w:szCs w:val="20"/>
        </w:rPr>
        <w:lastRenderedPageBreak/>
        <w:t>*Note - Built to boundary walls are not permitted, however, reduced side and rear boundary clearances may be permitted as prescribed (e.g. QDC). </w:t>
      </w:r>
    </w:p>
    <w:p w:rsidR="009451ED" w:rsidRDefault="009451ED">
      <w:pPr>
        <w:rPr>
          <w:rFonts w:ascii="Arial" w:hAnsi="Arial" w:cs="Arial"/>
        </w:rPr>
      </w:pPr>
    </w:p>
    <w:p w:rsidR="009451ED" w:rsidRDefault="009451ED">
      <w:pPr>
        <w:rPr>
          <w:rFonts w:ascii="Arial" w:hAnsi="Arial" w:cs="Arial"/>
        </w:rPr>
      </w:pPr>
    </w:p>
    <w:p w:rsidR="009451ED" w:rsidRPr="009451ED" w:rsidRDefault="009451ED" w:rsidP="009451ED">
      <w:pPr>
        <w:jc w:val="center"/>
        <w:rPr>
          <w:rFonts w:ascii="Arial" w:hAnsi="Arial" w:cs="Arial"/>
          <w:sz w:val="20"/>
          <w:szCs w:val="20"/>
        </w:rPr>
      </w:pPr>
      <w:r w:rsidRPr="009451ED">
        <w:rPr>
          <w:rStyle w:val="Strong"/>
          <w:rFonts w:ascii="Arial" w:eastAsia="Times New Roman" w:hAnsi="Arial" w:cs="Arial"/>
          <w:sz w:val="20"/>
          <w:szCs w:val="20"/>
        </w:rPr>
        <w:t>Figure 9.3.1.1 Morayfield South - Urban area</w:t>
      </w:r>
    </w:p>
    <w:p w:rsidR="009451ED" w:rsidRDefault="009451ED">
      <w:pPr>
        <w:rPr>
          <w:rFonts w:ascii="Arial" w:hAnsi="Arial" w:cs="Arial"/>
        </w:rPr>
      </w:pPr>
      <w:r>
        <w:rPr>
          <w:rFonts w:eastAsia="Times New Roman"/>
          <w:noProof/>
        </w:rPr>
        <w:drawing>
          <wp:anchor distT="0" distB="0" distL="114300" distR="114300" simplePos="0" relativeHeight="251658240" behindDoc="0" locked="0" layoutInCell="1" allowOverlap="1" wp14:anchorId="0E2E8AB7">
            <wp:simplePos x="0" y="0"/>
            <wp:positionH relativeFrom="margin">
              <wp:align>center</wp:align>
            </wp:positionH>
            <wp:positionV relativeFrom="paragraph">
              <wp:posOffset>286097</wp:posOffset>
            </wp:positionV>
            <wp:extent cx="5400675" cy="5000625"/>
            <wp:effectExtent l="0" t="0" r="9525" b="9525"/>
            <wp:wrapTopAndBottom/>
            <wp:docPr id="13" name="ID-2859427-532" descr="Morayfield South - Urba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59427-532" descr="Morayfield South - Urban area"/>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400675" cy="5000625"/>
                    </a:xfrm>
                    <a:prstGeom prst="rect">
                      <a:avLst/>
                    </a:prstGeom>
                    <a:noFill/>
                    <a:ln>
                      <a:noFill/>
                    </a:ln>
                  </pic:spPr>
                </pic:pic>
              </a:graphicData>
            </a:graphic>
          </wp:anchor>
        </w:drawing>
      </w:r>
    </w:p>
    <w:p w:rsidR="009451ED" w:rsidRDefault="009451ED">
      <w:pPr>
        <w:rPr>
          <w:rFonts w:ascii="Arial" w:hAnsi="Arial" w:cs="Arial"/>
        </w:rPr>
      </w:pPr>
    </w:p>
    <w:p w:rsidR="009451ED" w:rsidRPr="004E0E41" w:rsidRDefault="009451ED">
      <w:pPr>
        <w:rPr>
          <w:rFonts w:ascii="Arial" w:hAnsi="Arial" w:cs="Arial"/>
        </w:rPr>
      </w:pPr>
    </w:p>
    <w:sectPr w:rsidR="009451ED" w:rsidRPr="004E0E41" w:rsidSect="00816DE1">
      <w:footerReference w:type="default" r:id="rId1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EFD" w:rsidRDefault="00762EFD" w:rsidP="00C018E5">
      <w:r>
        <w:separator/>
      </w:r>
    </w:p>
  </w:endnote>
  <w:endnote w:type="continuationSeparator" w:id="0">
    <w:p w:rsidR="00762EFD" w:rsidRDefault="00762EFD" w:rsidP="00C0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8E5" w:rsidRPr="00C018E5" w:rsidRDefault="00C018E5" w:rsidP="00C018E5">
    <w:pPr>
      <w:pStyle w:val="Footer"/>
      <w:jc w:val="center"/>
      <w:rPr>
        <w:rFonts w:ascii="Arial" w:hAnsi="Arial" w:cs="Arial"/>
        <w:sz w:val="20"/>
        <w:szCs w:val="20"/>
      </w:rPr>
    </w:pPr>
    <w:r w:rsidRPr="00C018E5">
      <w:rPr>
        <w:rFonts w:ascii="Arial" w:hAnsi="Arial" w:cs="Arial"/>
        <w:sz w:val="20"/>
        <w:szCs w:val="20"/>
      </w:rPr>
      <w:t>MBRC Planning Scheme Version 4, Use codes - Dwelling house code - Assessable development</w:t>
    </w:r>
    <w:r w:rsidR="00C64A89">
      <w:rPr>
        <w:rFonts w:ascii="Arial" w:hAnsi="Arial" w:cs="Arial"/>
        <w:sz w:val="20"/>
        <w:szCs w:val="20"/>
      </w:rPr>
      <w:tab/>
    </w:r>
    <w:r w:rsidR="00C64A89">
      <w:rPr>
        <w:rFonts w:ascii="Arial" w:hAnsi="Arial" w:cs="Arial"/>
        <w:sz w:val="20"/>
        <w:szCs w:val="20"/>
      </w:rPr>
      <w:tab/>
    </w:r>
    <w:r w:rsidR="00C64A89">
      <w:rPr>
        <w:rFonts w:ascii="Arial" w:hAnsi="Arial" w:cs="Arial"/>
        <w:sz w:val="20"/>
        <w:szCs w:val="20"/>
      </w:rPr>
      <w:tab/>
    </w:r>
    <w:r w:rsidR="00C64A89">
      <w:rPr>
        <w:rFonts w:ascii="Arial" w:hAnsi="Arial" w:cs="Arial"/>
        <w:sz w:val="20"/>
        <w:szCs w:val="20"/>
      </w:rPr>
      <w:tab/>
    </w:r>
    <w:r w:rsidR="00C64A89">
      <w:rPr>
        <w:rFonts w:ascii="Arial" w:hAnsi="Arial" w:cs="Arial"/>
        <w:sz w:val="20"/>
        <w:szCs w:val="20"/>
      </w:rPr>
      <w:tab/>
    </w:r>
    <w:r w:rsidR="00C64A89">
      <w:rPr>
        <w:rFonts w:ascii="Arial" w:hAnsi="Arial" w:cs="Arial"/>
        <w:sz w:val="20"/>
        <w:szCs w:val="20"/>
      </w:rPr>
      <w:tab/>
    </w:r>
    <w:r w:rsidR="00C64A89">
      <w:rPr>
        <w:rFonts w:ascii="Arial" w:hAnsi="Arial" w:cs="Arial"/>
        <w:sz w:val="20"/>
        <w:szCs w:val="20"/>
      </w:rPr>
      <w:tab/>
    </w:r>
    <w:r w:rsidR="00C64A89">
      <w:rPr>
        <w:rFonts w:ascii="Arial" w:hAnsi="Arial" w:cs="Arial"/>
        <w:sz w:val="20"/>
        <w:szCs w:val="20"/>
      </w:rPr>
      <w:tab/>
    </w:r>
    <w:r w:rsidR="00C64A89" w:rsidRPr="00C64A89">
      <w:rPr>
        <w:rFonts w:ascii="Arial" w:hAnsi="Arial" w:cs="Arial"/>
        <w:sz w:val="20"/>
        <w:szCs w:val="20"/>
      </w:rPr>
      <w:fldChar w:fldCharType="begin"/>
    </w:r>
    <w:r w:rsidR="00C64A89" w:rsidRPr="00C64A89">
      <w:rPr>
        <w:rFonts w:ascii="Arial" w:hAnsi="Arial" w:cs="Arial"/>
        <w:sz w:val="20"/>
        <w:szCs w:val="20"/>
      </w:rPr>
      <w:instrText xml:space="preserve"> PAGE   \* MERGEFORMAT </w:instrText>
    </w:r>
    <w:r w:rsidR="00C64A89" w:rsidRPr="00C64A89">
      <w:rPr>
        <w:rFonts w:ascii="Arial" w:hAnsi="Arial" w:cs="Arial"/>
        <w:sz w:val="20"/>
        <w:szCs w:val="20"/>
      </w:rPr>
      <w:fldChar w:fldCharType="separate"/>
    </w:r>
    <w:r w:rsidR="00C64A89" w:rsidRPr="00C64A89">
      <w:rPr>
        <w:rFonts w:ascii="Arial" w:hAnsi="Arial" w:cs="Arial"/>
        <w:noProof/>
        <w:sz w:val="20"/>
        <w:szCs w:val="20"/>
      </w:rPr>
      <w:t>1</w:t>
    </w:r>
    <w:r w:rsidR="00C64A89" w:rsidRPr="00C64A89">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EFD" w:rsidRDefault="00762EFD" w:rsidP="00C018E5">
      <w:r>
        <w:separator/>
      </w:r>
    </w:p>
  </w:footnote>
  <w:footnote w:type="continuationSeparator" w:id="0">
    <w:p w:rsidR="00762EFD" w:rsidRDefault="00762EFD" w:rsidP="00C0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3890"/>
    <w:multiLevelType w:val="multilevel"/>
    <w:tmpl w:val="5FD026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EF4A19"/>
    <w:multiLevelType w:val="multilevel"/>
    <w:tmpl w:val="AF7465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4B1A05"/>
    <w:multiLevelType w:val="multilevel"/>
    <w:tmpl w:val="BB845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4D759B"/>
    <w:multiLevelType w:val="multilevel"/>
    <w:tmpl w:val="2E689C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2D97EA9"/>
    <w:multiLevelType w:val="multilevel"/>
    <w:tmpl w:val="005E7F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3C00012"/>
    <w:multiLevelType w:val="multilevel"/>
    <w:tmpl w:val="B97C3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49C149A"/>
    <w:multiLevelType w:val="multilevel"/>
    <w:tmpl w:val="162C1B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69D616F"/>
    <w:multiLevelType w:val="multilevel"/>
    <w:tmpl w:val="63FC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5E56D2"/>
    <w:multiLevelType w:val="multilevel"/>
    <w:tmpl w:val="E570B2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94849C5"/>
    <w:multiLevelType w:val="multilevel"/>
    <w:tmpl w:val="9948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B641DC"/>
    <w:multiLevelType w:val="multilevel"/>
    <w:tmpl w:val="976CA2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D6209D5"/>
    <w:multiLevelType w:val="multilevel"/>
    <w:tmpl w:val="DA1020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D9427DC"/>
    <w:multiLevelType w:val="multilevel"/>
    <w:tmpl w:val="9C4C8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ED11467"/>
    <w:multiLevelType w:val="multilevel"/>
    <w:tmpl w:val="C7ACC6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08A36A6"/>
    <w:multiLevelType w:val="multilevel"/>
    <w:tmpl w:val="9E8CE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13A20CD"/>
    <w:multiLevelType w:val="multilevel"/>
    <w:tmpl w:val="1E4C8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1D66DF5"/>
    <w:multiLevelType w:val="multilevel"/>
    <w:tmpl w:val="3BC2F9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2F3259B"/>
    <w:multiLevelType w:val="multilevel"/>
    <w:tmpl w:val="A5B469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3972E16"/>
    <w:multiLevelType w:val="multilevel"/>
    <w:tmpl w:val="77E4E2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4193761"/>
    <w:multiLevelType w:val="multilevel"/>
    <w:tmpl w:val="65EED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48D1938"/>
    <w:multiLevelType w:val="multilevel"/>
    <w:tmpl w:val="764CDA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5494FA4"/>
    <w:multiLevelType w:val="multilevel"/>
    <w:tmpl w:val="23DCFE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3" w15:restartNumberingAfterBreak="0">
    <w:nsid w:val="17764482"/>
    <w:multiLevelType w:val="multilevel"/>
    <w:tmpl w:val="D68AF8D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8CC0593"/>
    <w:multiLevelType w:val="multilevel"/>
    <w:tmpl w:val="2CD0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1667EB"/>
    <w:multiLevelType w:val="multilevel"/>
    <w:tmpl w:val="CDF0FE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E886F86"/>
    <w:multiLevelType w:val="multilevel"/>
    <w:tmpl w:val="4FBC31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01F04E9"/>
    <w:multiLevelType w:val="multilevel"/>
    <w:tmpl w:val="3BD4C1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2AB2376"/>
    <w:multiLevelType w:val="multilevel"/>
    <w:tmpl w:val="2E2CCB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2AE2F86"/>
    <w:multiLevelType w:val="multilevel"/>
    <w:tmpl w:val="C82490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3D6130F"/>
    <w:multiLevelType w:val="multilevel"/>
    <w:tmpl w:val="D954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5F8640E"/>
    <w:multiLevelType w:val="multilevel"/>
    <w:tmpl w:val="794AAB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9D506FB"/>
    <w:multiLevelType w:val="multilevel"/>
    <w:tmpl w:val="183E6F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E7157B8"/>
    <w:multiLevelType w:val="multilevel"/>
    <w:tmpl w:val="D4EC13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07A6FBD"/>
    <w:multiLevelType w:val="multilevel"/>
    <w:tmpl w:val="034A65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1610061"/>
    <w:multiLevelType w:val="multilevel"/>
    <w:tmpl w:val="909AE4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216417F"/>
    <w:multiLevelType w:val="multilevel"/>
    <w:tmpl w:val="F3FE0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2221178"/>
    <w:multiLevelType w:val="multilevel"/>
    <w:tmpl w:val="D214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50144E"/>
    <w:multiLevelType w:val="multilevel"/>
    <w:tmpl w:val="3A845E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509698E"/>
    <w:multiLevelType w:val="multilevel"/>
    <w:tmpl w:val="6A7C81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5E07FA0"/>
    <w:multiLevelType w:val="multilevel"/>
    <w:tmpl w:val="C80852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C62303F"/>
    <w:multiLevelType w:val="multilevel"/>
    <w:tmpl w:val="3DA66B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C827683"/>
    <w:multiLevelType w:val="multilevel"/>
    <w:tmpl w:val="7D106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D8D027C"/>
    <w:multiLevelType w:val="multilevel"/>
    <w:tmpl w:val="0A40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F162B5"/>
    <w:multiLevelType w:val="multilevel"/>
    <w:tmpl w:val="1AD47B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0D032B5"/>
    <w:multiLevelType w:val="multilevel"/>
    <w:tmpl w:val="0B7E449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3792E4A"/>
    <w:multiLevelType w:val="multilevel"/>
    <w:tmpl w:val="2A9AA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51D212E"/>
    <w:multiLevelType w:val="multilevel"/>
    <w:tmpl w:val="1326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3613D8"/>
    <w:multiLevelType w:val="multilevel"/>
    <w:tmpl w:val="D2940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8565E1B"/>
    <w:multiLevelType w:val="multilevel"/>
    <w:tmpl w:val="F49001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B567633"/>
    <w:multiLevelType w:val="multilevel"/>
    <w:tmpl w:val="CD7829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C6C1018"/>
    <w:multiLevelType w:val="multilevel"/>
    <w:tmpl w:val="59BABC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D087D62"/>
    <w:multiLevelType w:val="multilevel"/>
    <w:tmpl w:val="C9AEA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0D11E74"/>
    <w:multiLevelType w:val="multilevel"/>
    <w:tmpl w:val="EEA243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1487603"/>
    <w:multiLevelType w:val="multilevel"/>
    <w:tmpl w:val="2E3869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1EC21BE"/>
    <w:multiLevelType w:val="multilevel"/>
    <w:tmpl w:val="544A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2EE4EA1"/>
    <w:multiLevelType w:val="multilevel"/>
    <w:tmpl w:val="764EF31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3441651"/>
    <w:multiLevelType w:val="multilevel"/>
    <w:tmpl w:val="A87ADE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48A6FE6"/>
    <w:multiLevelType w:val="multilevel"/>
    <w:tmpl w:val="32FC78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63164D0"/>
    <w:multiLevelType w:val="multilevel"/>
    <w:tmpl w:val="783AC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694292E"/>
    <w:multiLevelType w:val="multilevel"/>
    <w:tmpl w:val="F8242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7006FE7"/>
    <w:multiLevelType w:val="multilevel"/>
    <w:tmpl w:val="9746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827196B"/>
    <w:multiLevelType w:val="multilevel"/>
    <w:tmpl w:val="C09E29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E8863D9"/>
    <w:multiLevelType w:val="multilevel"/>
    <w:tmpl w:val="A2BC7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F0336DD"/>
    <w:multiLevelType w:val="multilevel"/>
    <w:tmpl w:val="065E8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F0C0EE6"/>
    <w:multiLevelType w:val="multilevel"/>
    <w:tmpl w:val="A4389F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F533558"/>
    <w:multiLevelType w:val="multilevel"/>
    <w:tmpl w:val="675A7C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06E297B"/>
    <w:multiLevelType w:val="multilevel"/>
    <w:tmpl w:val="10D4E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0F02E8E"/>
    <w:multiLevelType w:val="multilevel"/>
    <w:tmpl w:val="82A46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217663D"/>
    <w:multiLevelType w:val="multilevel"/>
    <w:tmpl w:val="E45E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3AC1288"/>
    <w:multiLevelType w:val="multilevel"/>
    <w:tmpl w:val="50DEDF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63C24D88"/>
    <w:multiLevelType w:val="multilevel"/>
    <w:tmpl w:val="1CA666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7DC3E3E"/>
    <w:multiLevelType w:val="multilevel"/>
    <w:tmpl w:val="1270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9576CAB"/>
    <w:multiLevelType w:val="multilevel"/>
    <w:tmpl w:val="33D031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A324F24"/>
    <w:multiLevelType w:val="multilevel"/>
    <w:tmpl w:val="DB2A7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C0A1A6B"/>
    <w:multiLevelType w:val="multilevel"/>
    <w:tmpl w:val="590448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CB12141"/>
    <w:multiLevelType w:val="multilevel"/>
    <w:tmpl w:val="FEE0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2B40FB"/>
    <w:multiLevelType w:val="multilevel"/>
    <w:tmpl w:val="2722C8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6F0032DF"/>
    <w:multiLevelType w:val="multilevel"/>
    <w:tmpl w:val="8E049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FF672EF"/>
    <w:multiLevelType w:val="multilevel"/>
    <w:tmpl w:val="F0CEC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70CD4274"/>
    <w:multiLevelType w:val="multilevel"/>
    <w:tmpl w:val="47667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1481CCD"/>
    <w:multiLevelType w:val="multilevel"/>
    <w:tmpl w:val="51A6BD1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7494336E"/>
    <w:multiLevelType w:val="multilevel"/>
    <w:tmpl w:val="8B909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74F117B0"/>
    <w:multiLevelType w:val="multilevel"/>
    <w:tmpl w:val="CC7A1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56F67AE"/>
    <w:multiLevelType w:val="multilevel"/>
    <w:tmpl w:val="9EC681D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7582577F"/>
    <w:multiLevelType w:val="multilevel"/>
    <w:tmpl w:val="C166EE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92D7730"/>
    <w:multiLevelType w:val="multilevel"/>
    <w:tmpl w:val="959297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9797C74"/>
    <w:multiLevelType w:val="multilevel"/>
    <w:tmpl w:val="65969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A571CC7"/>
    <w:multiLevelType w:val="multilevel"/>
    <w:tmpl w:val="62329F4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D3F3214"/>
    <w:multiLevelType w:val="multilevel"/>
    <w:tmpl w:val="D92E34A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D9215A9"/>
    <w:multiLevelType w:val="multilevel"/>
    <w:tmpl w:val="576E8B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E6701FF"/>
    <w:multiLevelType w:val="multilevel"/>
    <w:tmpl w:val="A984B0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F930586"/>
    <w:multiLevelType w:val="multilevel"/>
    <w:tmpl w:val="38569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FC57C93"/>
    <w:multiLevelType w:val="multilevel"/>
    <w:tmpl w:val="B75A9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8"/>
  </w:num>
  <w:num w:numId="2">
    <w:abstractNumId w:val="78"/>
  </w:num>
  <w:num w:numId="3">
    <w:abstractNumId w:val="29"/>
  </w:num>
  <w:num w:numId="4">
    <w:abstractNumId w:val="11"/>
  </w:num>
  <w:num w:numId="5">
    <w:abstractNumId w:val="89"/>
  </w:num>
  <w:num w:numId="6">
    <w:abstractNumId w:val="75"/>
  </w:num>
  <w:num w:numId="7">
    <w:abstractNumId w:val="23"/>
  </w:num>
  <w:num w:numId="8">
    <w:abstractNumId w:val="48"/>
  </w:num>
  <w:num w:numId="9">
    <w:abstractNumId w:val="53"/>
  </w:num>
  <w:num w:numId="10">
    <w:abstractNumId w:val="56"/>
  </w:num>
  <w:num w:numId="11">
    <w:abstractNumId w:val="91"/>
  </w:num>
  <w:num w:numId="12">
    <w:abstractNumId w:val="69"/>
  </w:num>
  <w:num w:numId="13">
    <w:abstractNumId w:val="7"/>
  </w:num>
  <w:num w:numId="14">
    <w:abstractNumId w:val="55"/>
  </w:num>
  <w:num w:numId="15">
    <w:abstractNumId w:val="30"/>
  </w:num>
  <w:num w:numId="16">
    <w:abstractNumId w:val="9"/>
  </w:num>
  <w:num w:numId="17">
    <w:abstractNumId w:val="3"/>
  </w:num>
  <w:num w:numId="18">
    <w:abstractNumId w:val="45"/>
  </w:num>
  <w:num w:numId="19">
    <w:abstractNumId w:val="82"/>
  </w:num>
  <w:num w:numId="20">
    <w:abstractNumId w:val="39"/>
  </w:num>
  <w:num w:numId="21">
    <w:abstractNumId w:val="52"/>
  </w:num>
  <w:num w:numId="22">
    <w:abstractNumId w:val="83"/>
  </w:num>
  <w:num w:numId="23">
    <w:abstractNumId w:val="71"/>
  </w:num>
  <w:num w:numId="24">
    <w:abstractNumId w:val="90"/>
  </w:num>
  <w:num w:numId="25">
    <w:abstractNumId w:val="51"/>
  </w:num>
  <w:num w:numId="26">
    <w:abstractNumId w:val="73"/>
  </w:num>
  <w:num w:numId="27">
    <w:abstractNumId w:val="41"/>
  </w:num>
  <w:num w:numId="28">
    <w:abstractNumId w:val="85"/>
  </w:num>
  <w:num w:numId="29">
    <w:abstractNumId w:val="14"/>
  </w:num>
  <w:num w:numId="30">
    <w:abstractNumId w:val="10"/>
  </w:num>
  <w:num w:numId="31">
    <w:abstractNumId w:val="21"/>
  </w:num>
  <w:num w:numId="32">
    <w:abstractNumId w:val="88"/>
  </w:num>
  <w:num w:numId="33">
    <w:abstractNumId w:val="1"/>
  </w:num>
  <w:num w:numId="34">
    <w:abstractNumId w:val="16"/>
  </w:num>
  <w:num w:numId="35">
    <w:abstractNumId w:val="6"/>
  </w:num>
  <w:num w:numId="36">
    <w:abstractNumId w:val="18"/>
  </w:num>
  <w:num w:numId="37">
    <w:abstractNumId w:val="46"/>
  </w:num>
  <w:num w:numId="38">
    <w:abstractNumId w:val="84"/>
  </w:num>
  <w:num w:numId="39">
    <w:abstractNumId w:val="40"/>
  </w:num>
  <w:num w:numId="40">
    <w:abstractNumId w:val="92"/>
  </w:num>
  <w:num w:numId="41">
    <w:abstractNumId w:val="67"/>
  </w:num>
  <w:num w:numId="42">
    <w:abstractNumId w:val="80"/>
  </w:num>
  <w:num w:numId="43">
    <w:abstractNumId w:val="17"/>
  </w:num>
  <w:num w:numId="44">
    <w:abstractNumId w:val="38"/>
  </w:num>
  <w:num w:numId="45">
    <w:abstractNumId w:val="20"/>
  </w:num>
  <w:num w:numId="46">
    <w:abstractNumId w:val="87"/>
  </w:num>
  <w:num w:numId="47">
    <w:abstractNumId w:val="31"/>
  </w:num>
  <w:num w:numId="48">
    <w:abstractNumId w:val="65"/>
  </w:num>
  <w:num w:numId="49">
    <w:abstractNumId w:val="5"/>
  </w:num>
  <w:num w:numId="50">
    <w:abstractNumId w:val="33"/>
  </w:num>
  <w:num w:numId="51">
    <w:abstractNumId w:val="44"/>
  </w:num>
  <w:num w:numId="52">
    <w:abstractNumId w:val="27"/>
  </w:num>
  <w:num w:numId="53">
    <w:abstractNumId w:val="34"/>
  </w:num>
  <w:num w:numId="54">
    <w:abstractNumId w:val="57"/>
  </w:num>
  <w:num w:numId="55">
    <w:abstractNumId w:val="15"/>
  </w:num>
  <w:num w:numId="56">
    <w:abstractNumId w:val="42"/>
  </w:num>
  <w:num w:numId="57">
    <w:abstractNumId w:val="4"/>
  </w:num>
  <w:num w:numId="58">
    <w:abstractNumId w:val="74"/>
  </w:num>
  <w:num w:numId="59">
    <w:abstractNumId w:val="2"/>
  </w:num>
  <w:num w:numId="60">
    <w:abstractNumId w:val="28"/>
  </w:num>
  <w:num w:numId="61">
    <w:abstractNumId w:val="64"/>
  </w:num>
  <w:num w:numId="62">
    <w:abstractNumId w:val="60"/>
  </w:num>
  <w:num w:numId="63">
    <w:abstractNumId w:val="59"/>
  </w:num>
  <w:num w:numId="64">
    <w:abstractNumId w:val="50"/>
  </w:num>
  <w:num w:numId="65">
    <w:abstractNumId w:val="63"/>
  </w:num>
  <w:num w:numId="66">
    <w:abstractNumId w:val="36"/>
  </w:num>
  <w:num w:numId="67">
    <w:abstractNumId w:val="93"/>
  </w:num>
  <w:num w:numId="68">
    <w:abstractNumId w:val="8"/>
  </w:num>
  <w:num w:numId="69">
    <w:abstractNumId w:val="54"/>
  </w:num>
  <w:num w:numId="70">
    <w:abstractNumId w:val="35"/>
  </w:num>
  <w:num w:numId="71">
    <w:abstractNumId w:val="0"/>
  </w:num>
  <w:num w:numId="72">
    <w:abstractNumId w:val="32"/>
  </w:num>
  <w:num w:numId="73">
    <w:abstractNumId w:val="49"/>
  </w:num>
  <w:num w:numId="74">
    <w:abstractNumId w:val="13"/>
  </w:num>
  <w:num w:numId="75">
    <w:abstractNumId w:val="25"/>
  </w:num>
  <w:num w:numId="76">
    <w:abstractNumId w:val="26"/>
  </w:num>
  <w:num w:numId="77">
    <w:abstractNumId w:val="62"/>
  </w:num>
  <w:num w:numId="78">
    <w:abstractNumId w:val="79"/>
  </w:num>
  <w:num w:numId="79">
    <w:abstractNumId w:val="66"/>
  </w:num>
  <w:num w:numId="80">
    <w:abstractNumId w:val="12"/>
  </w:num>
  <w:num w:numId="81">
    <w:abstractNumId w:val="86"/>
  </w:num>
  <w:num w:numId="82">
    <w:abstractNumId w:val="19"/>
  </w:num>
  <w:num w:numId="83">
    <w:abstractNumId w:val="58"/>
  </w:num>
  <w:num w:numId="84">
    <w:abstractNumId w:val="81"/>
  </w:num>
  <w:num w:numId="85">
    <w:abstractNumId w:val="70"/>
  </w:num>
  <w:num w:numId="86">
    <w:abstractNumId w:val="37"/>
  </w:num>
  <w:num w:numId="87">
    <w:abstractNumId w:val="43"/>
  </w:num>
  <w:num w:numId="88">
    <w:abstractNumId w:val="47"/>
  </w:num>
  <w:num w:numId="89">
    <w:abstractNumId w:val="76"/>
  </w:num>
  <w:num w:numId="90">
    <w:abstractNumId w:val="72"/>
  </w:num>
  <w:num w:numId="91">
    <w:abstractNumId w:val="61"/>
  </w:num>
  <w:num w:numId="92">
    <w:abstractNumId w:val="24"/>
  </w:num>
  <w:num w:numId="93">
    <w:abstractNumId w:val="77"/>
  </w:num>
  <w:num w:numId="94">
    <w:abstractNumId w:val="2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E1"/>
    <w:rsid w:val="003D5BCB"/>
    <w:rsid w:val="004E0E41"/>
    <w:rsid w:val="00641E2E"/>
    <w:rsid w:val="0069586D"/>
    <w:rsid w:val="00762EFD"/>
    <w:rsid w:val="00816DE1"/>
    <w:rsid w:val="009451ED"/>
    <w:rsid w:val="009D1EB1"/>
    <w:rsid w:val="00A36F59"/>
    <w:rsid w:val="00B11E22"/>
    <w:rsid w:val="00C018E5"/>
    <w:rsid w:val="00C64A89"/>
    <w:rsid w:val="00C662F2"/>
    <w:rsid w:val="00D755D7"/>
    <w:rsid w:val="00E257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1216"/>
  <w15:chartTrackingRefBased/>
  <w15:docId w15:val="{D2568A3B-0A09-47A7-9557-EE27FFD5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DE1"/>
    <w:pPr>
      <w:spacing w:after="0" w:line="240" w:lineRule="auto"/>
    </w:pPr>
    <w:rPr>
      <w:rFonts w:ascii="Times New Roman" w:eastAsiaTheme="minorEastAsia" w:hAnsi="Times New Roman" w:cs="Times New Roman"/>
      <w:sz w:val="24"/>
      <w:szCs w:val="24"/>
      <w:lang w:eastAsia="en-AU"/>
    </w:rPr>
  </w:style>
  <w:style w:type="paragraph" w:styleId="Heading1">
    <w:name w:val="heading 1"/>
    <w:basedOn w:val="Normal"/>
    <w:link w:val="Heading1Char"/>
    <w:uiPriority w:val="9"/>
    <w:qFormat/>
    <w:rsid w:val="00816DE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6DE1"/>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6DE1"/>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816DE1"/>
    <w:pPr>
      <w:spacing w:before="100" w:beforeAutospacing="1" w:after="100" w:afterAutospacing="1"/>
      <w:outlineLvl w:val="3"/>
    </w:pPr>
    <w:rPr>
      <w:b/>
      <w:bCs/>
    </w:rPr>
  </w:style>
  <w:style w:type="paragraph" w:styleId="Heading5">
    <w:name w:val="heading 5"/>
    <w:basedOn w:val="Normal"/>
    <w:link w:val="Heading5Char"/>
    <w:uiPriority w:val="9"/>
    <w:qFormat/>
    <w:rsid w:val="00816DE1"/>
    <w:pPr>
      <w:spacing w:before="100" w:beforeAutospacing="1" w:after="100" w:afterAutospacing="1"/>
      <w:outlineLvl w:val="4"/>
    </w:pPr>
    <w:rPr>
      <w:b/>
      <w:bCs/>
      <w:sz w:val="20"/>
      <w:szCs w:val="20"/>
    </w:rPr>
  </w:style>
  <w:style w:type="paragraph" w:styleId="Heading6">
    <w:name w:val="heading 6"/>
    <w:basedOn w:val="Normal"/>
    <w:link w:val="Heading6Char"/>
    <w:uiPriority w:val="9"/>
    <w:qFormat/>
    <w:rsid w:val="00816DE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DE1"/>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16DE1"/>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816DE1"/>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816DE1"/>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816DE1"/>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816DE1"/>
    <w:rPr>
      <w:rFonts w:ascii="Times New Roman" w:eastAsiaTheme="minorEastAsia" w:hAnsi="Times New Roman" w:cs="Times New Roman"/>
      <w:b/>
      <w:bCs/>
      <w:sz w:val="15"/>
      <w:szCs w:val="15"/>
      <w:lang w:eastAsia="en-AU"/>
    </w:rPr>
  </w:style>
  <w:style w:type="paragraph" w:customStyle="1" w:styleId="msonormal0">
    <w:name w:val="msonormal"/>
    <w:basedOn w:val="Normal"/>
    <w:rsid w:val="00816DE1"/>
    <w:pPr>
      <w:spacing w:before="100" w:beforeAutospacing="1" w:after="100" w:afterAutospacing="1"/>
    </w:pPr>
  </w:style>
  <w:style w:type="character" w:styleId="Hyperlink">
    <w:name w:val="Hyperlink"/>
    <w:basedOn w:val="DefaultParagraphFont"/>
    <w:uiPriority w:val="99"/>
    <w:semiHidden/>
    <w:unhideWhenUsed/>
    <w:rsid w:val="00816DE1"/>
    <w:rPr>
      <w:color w:val="0000FF"/>
      <w:u w:val="single"/>
    </w:rPr>
  </w:style>
  <w:style w:type="character" w:styleId="FollowedHyperlink">
    <w:name w:val="FollowedHyperlink"/>
    <w:basedOn w:val="DefaultParagraphFont"/>
    <w:uiPriority w:val="99"/>
    <w:semiHidden/>
    <w:unhideWhenUsed/>
    <w:rsid w:val="00816DE1"/>
    <w:rPr>
      <w:color w:val="800080"/>
      <w:u w:val="single"/>
    </w:rPr>
  </w:style>
  <w:style w:type="paragraph" w:customStyle="1" w:styleId="hidden">
    <w:name w:val="hidden"/>
    <w:basedOn w:val="Normal"/>
    <w:rsid w:val="00816DE1"/>
    <w:pPr>
      <w:spacing w:before="100" w:beforeAutospacing="1" w:after="100" w:afterAutospacing="1"/>
    </w:pPr>
  </w:style>
  <w:style w:type="paragraph" w:styleId="NormalWeb">
    <w:name w:val="Normal (Web)"/>
    <w:basedOn w:val="Normal"/>
    <w:uiPriority w:val="99"/>
    <w:unhideWhenUsed/>
    <w:rsid w:val="00816DE1"/>
    <w:pPr>
      <w:spacing w:before="100" w:beforeAutospacing="1" w:after="100" w:afterAutospacing="1"/>
    </w:pPr>
  </w:style>
  <w:style w:type="character" w:styleId="Strong">
    <w:name w:val="Strong"/>
    <w:basedOn w:val="DefaultParagraphFont"/>
    <w:uiPriority w:val="22"/>
    <w:qFormat/>
    <w:rsid w:val="00816DE1"/>
    <w:rPr>
      <w:b/>
      <w:bCs/>
    </w:rPr>
  </w:style>
  <w:style w:type="character" w:styleId="Emphasis">
    <w:name w:val="Emphasis"/>
    <w:basedOn w:val="DefaultParagraphFont"/>
    <w:uiPriority w:val="20"/>
    <w:qFormat/>
    <w:rsid w:val="00816DE1"/>
    <w:rPr>
      <w:i/>
      <w:iCs/>
    </w:rPr>
  </w:style>
  <w:style w:type="character" w:customStyle="1" w:styleId="highlightbackground">
    <w:name w:val="highlightbackground"/>
    <w:basedOn w:val="DefaultParagraphFont"/>
    <w:rsid w:val="00816DE1"/>
  </w:style>
  <w:style w:type="character" w:customStyle="1" w:styleId="number">
    <w:name w:val="number"/>
    <w:basedOn w:val="DefaultParagraphFont"/>
    <w:rsid w:val="00816DE1"/>
  </w:style>
  <w:style w:type="character" w:customStyle="1" w:styleId="newwindow">
    <w:name w:val="newwindow"/>
    <w:basedOn w:val="DefaultParagraphFont"/>
    <w:rsid w:val="00816DE1"/>
  </w:style>
  <w:style w:type="character" w:customStyle="1" w:styleId="highlighttext">
    <w:name w:val="highlighttext"/>
    <w:basedOn w:val="DefaultParagraphFont"/>
    <w:rsid w:val="00816DE1"/>
  </w:style>
  <w:style w:type="paragraph" w:customStyle="1" w:styleId="right">
    <w:name w:val="right"/>
    <w:basedOn w:val="Normal"/>
    <w:rsid w:val="00816DE1"/>
    <w:pPr>
      <w:spacing w:before="100" w:beforeAutospacing="1" w:after="100" w:afterAutospacing="1"/>
    </w:pPr>
  </w:style>
  <w:style w:type="paragraph" w:styleId="BalloonText">
    <w:name w:val="Balloon Text"/>
    <w:basedOn w:val="Normal"/>
    <w:link w:val="BalloonTextChar"/>
    <w:uiPriority w:val="99"/>
    <w:semiHidden/>
    <w:unhideWhenUsed/>
    <w:rsid w:val="00816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DE1"/>
    <w:rPr>
      <w:rFonts w:ascii="Segoe UI" w:eastAsiaTheme="minorEastAsia" w:hAnsi="Segoe UI" w:cs="Segoe UI"/>
      <w:sz w:val="18"/>
      <w:szCs w:val="18"/>
      <w:lang w:eastAsia="en-AU"/>
    </w:rPr>
  </w:style>
  <w:style w:type="paragraph" w:styleId="Header">
    <w:name w:val="header"/>
    <w:basedOn w:val="Normal"/>
    <w:link w:val="HeaderChar"/>
    <w:uiPriority w:val="99"/>
    <w:unhideWhenUsed/>
    <w:rsid w:val="00C018E5"/>
    <w:pPr>
      <w:tabs>
        <w:tab w:val="center" w:pos="4513"/>
        <w:tab w:val="right" w:pos="9026"/>
      </w:tabs>
    </w:pPr>
  </w:style>
  <w:style w:type="character" w:customStyle="1" w:styleId="HeaderChar">
    <w:name w:val="Header Char"/>
    <w:basedOn w:val="DefaultParagraphFont"/>
    <w:link w:val="Header"/>
    <w:uiPriority w:val="99"/>
    <w:rsid w:val="00C018E5"/>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C018E5"/>
    <w:pPr>
      <w:tabs>
        <w:tab w:val="center" w:pos="4513"/>
        <w:tab w:val="right" w:pos="9026"/>
      </w:tabs>
    </w:pPr>
  </w:style>
  <w:style w:type="character" w:customStyle="1" w:styleId="FooterChar">
    <w:name w:val="Footer Char"/>
    <w:basedOn w:val="DefaultParagraphFont"/>
    <w:link w:val="Footer"/>
    <w:uiPriority w:val="99"/>
    <w:rsid w:val="00C018E5"/>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eang\OneDrive%20-%20Objective%20Corp\Desktop\HTML-Export\section_s1332743627723.html" TargetMode="External"/><Relationship Id="rId117" Type="http://schemas.openxmlformats.org/officeDocument/2006/relationships/hyperlink" Target="file:///C:\Users\seang\OneDrive%20-%20Objective%20Corp\Desktop\HTML-Export\section_s1332743627723.html" TargetMode="External"/><Relationship Id="rId21"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hyperlink" Target="file:///C:\Users\seang\OneDrive%20-%20Objective%20Corp\Desktop\HTML-Export\section_s1332743627723.html" TargetMode="External"/><Relationship Id="rId63" Type="http://schemas.openxmlformats.org/officeDocument/2006/relationships/hyperlink" Target="file:///C:\Users\seang\OneDrive%20-%20Objective%20Corp\Desktop\HTML-Export\section_s1332743627723.html" TargetMode="External"/><Relationship Id="rId68" Type="http://schemas.openxmlformats.org/officeDocument/2006/relationships/hyperlink" Target="file:///C:\Users\seang\OneDrive%20-%20Objective%20Corp\Desktop\HTML-Export\section_s1332743627723.html" TargetMode="External"/><Relationship Id="rId84" Type="http://schemas.openxmlformats.org/officeDocument/2006/relationships/hyperlink" Target="file:///C:\Users\seang\OneDrive%20-%20Objective%20Corp\Desktop\HTML-Export\section_s1332743627723.html" TargetMode="External"/><Relationship Id="rId89" Type="http://schemas.openxmlformats.org/officeDocument/2006/relationships/hyperlink" Target="file:///C:\Users\seang\OneDrive%20-%20Objective%20Corp\Desktop\HTML-Export\section_s1332743627723.html" TargetMode="External"/><Relationship Id="rId112" Type="http://schemas.openxmlformats.org/officeDocument/2006/relationships/hyperlink" Target="file:///C:\Users\seang\OneDrive%20-%20Objective%20Corp\Desktop\HTML-Export\section_s1332743627723.html" TargetMode="External"/><Relationship Id="rId16" Type="http://schemas.openxmlformats.org/officeDocument/2006/relationships/hyperlink" Target="file:///C:\Users\seang\OneDrive%20-%20Objective%20Corp\Desktop\HTML-Export\section_s1332743627723.html" TargetMode="External"/><Relationship Id="rId107" Type="http://schemas.openxmlformats.org/officeDocument/2006/relationships/hyperlink" Target="file:///C:\Users\seang\OneDrive%20-%20Objective%20Corp\Desktop\HTML-Export\section_s1332743627723.html" TargetMode="External"/><Relationship Id="rId11" Type="http://schemas.openxmlformats.org/officeDocument/2006/relationships/hyperlink" Target="file:///C:\Users\seang\OneDrive%20-%20Objective%20Corp\Desktop\HTML-Export\section_s1309829826592.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53" Type="http://schemas.openxmlformats.org/officeDocument/2006/relationships/hyperlink" Target="file:///C:\Users\seang\OneDrive%20-%20Objective%20Corp\Desktop\HTML-Export\section_s1332743627723.html" TargetMode="External"/><Relationship Id="rId58" Type="http://schemas.openxmlformats.org/officeDocument/2006/relationships/hyperlink" Target="file:///C:\Users\seang\OneDrive%20-%20Objective%20Corp\Desktop\HTML-Export\section_s1332743627723.html" TargetMode="External"/><Relationship Id="rId74" Type="http://schemas.openxmlformats.org/officeDocument/2006/relationships/hyperlink" Target="file:///C:\Users\seang\OneDrive%20-%20Objective%20Corp\Desktop\HTML-Export\section_s1332743627723.html" TargetMode="External"/><Relationship Id="rId79" Type="http://schemas.openxmlformats.org/officeDocument/2006/relationships/hyperlink" Target="file:///C:\Users\seang\OneDrive%20-%20Objective%20Corp\Desktop\HTML-Export\section_s1332743627723.html" TargetMode="External"/><Relationship Id="rId102"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61" Type="http://schemas.openxmlformats.org/officeDocument/2006/relationships/hyperlink" Target="file:///C:\Users\seang\OneDrive%20-%20Objective%20Corp\Desktop\HTML-Export\section_s1332743627723.html" TargetMode="External"/><Relationship Id="rId82" Type="http://schemas.openxmlformats.org/officeDocument/2006/relationships/hyperlink" Target="file:///C:\Users\seang\OneDrive%20-%20Objective%20Corp\Desktop\HTML-Export\section_s1332743627723.html" TargetMode="External"/><Relationship Id="rId90" Type="http://schemas.openxmlformats.org/officeDocument/2006/relationships/hyperlink" Target="file:///C:\Users\seang\OneDrive%20-%20Objective%20Corp\Desktop\HTML-Export\section_s1332743627723.html" TargetMode="External"/><Relationship Id="rId95"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09829826592.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image" Target="media/image3.jpeg"/><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hyperlink" Target="file:///C:\Users\seang\OneDrive%20-%20Objective%20Corp\Desktop\HTML-Export\section_s1332743627723.html" TargetMode="External"/><Relationship Id="rId56" Type="http://schemas.openxmlformats.org/officeDocument/2006/relationships/hyperlink" Target="file:///C:\Users\seang\OneDrive%20-%20Objective%20Corp\Desktop\HTML-Export\section_s1332743627723.html" TargetMode="External"/><Relationship Id="rId64" Type="http://schemas.openxmlformats.org/officeDocument/2006/relationships/hyperlink" Target="file:///C:\Users\seang\OneDrive%20-%20Objective%20Corp\Desktop\HTML-Export\section_s1332743627723.html" TargetMode="External"/><Relationship Id="rId69" Type="http://schemas.openxmlformats.org/officeDocument/2006/relationships/hyperlink" Target="file:///C:\Users\seang\OneDrive%20-%20Objective%20Corp\Desktop\HTML-Export\section_s1332743627723.html" TargetMode="External"/><Relationship Id="rId77" Type="http://schemas.openxmlformats.org/officeDocument/2006/relationships/hyperlink" Target="file:///C:\Users\seang\OneDrive%20-%20Objective%20Corp\Desktop\HTML-Export\section_s1332743627723.html" TargetMode="External"/><Relationship Id="rId100" Type="http://schemas.openxmlformats.org/officeDocument/2006/relationships/hyperlink" Target="file:///C:\Users\seang\OneDrive%20-%20Objective%20Corp\Desktop\HTML-Export\section_s1332743627723.html" TargetMode="External"/><Relationship Id="rId105" Type="http://schemas.openxmlformats.org/officeDocument/2006/relationships/hyperlink" Target="file:///C:\Users\seang\OneDrive%20-%20Objective%20Corp\Desktop\HTML-Export\section_s1332743627723.html" TargetMode="External"/><Relationship Id="rId113" Type="http://schemas.openxmlformats.org/officeDocument/2006/relationships/hyperlink" Target="file:///C:\Users\seang\OneDrive%20-%20Objective%20Corp\Desktop\HTML-Export\section_s1332743627723.html" TargetMode="External"/><Relationship Id="rId118" Type="http://schemas.openxmlformats.org/officeDocument/2006/relationships/image" Target="media/image4.jpg"/><Relationship Id="rId8" Type="http://schemas.openxmlformats.org/officeDocument/2006/relationships/hyperlink" Target="file:///C:\Users\seang\OneDrive%20-%20Objective%20Corp\Desktop\HTML-Export\section_s1309829826592.html" TargetMode="External"/><Relationship Id="rId51" Type="http://schemas.openxmlformats.org/officeDocument/2006/relationships/hyperlink" Target="file:///C:\Users\seang\OneDrive%20-%20Objective%20Corp\Desktop\HTML-Export\section_s1332743627723.html" TargetMode="External"/><Relationship Id="rId72" Type="http://schemas.openxmlformats.org/officeDocument/2006/relationships/hyperlink" Target="file:///C:\Users\seang\OneDrive%20-%20Objective%20Corp\Desktop\HTML-Export\section_s1332743627723.html" TargetMode="External"/><Relationship Id="rId80" Type="http://schemas.openxmlformats.org/officeDocument/2006/relationships/hyperlink" Target="file:///C:\Users\seang\OneDrive%20-%20Objective%20Corp\Desktop\HTML-Export\section_s1332743627723.html" TargetMode="External"/><Relationship Id="rId85" Type="http://schemas.openxmlformats.org/officeDocument/2006/relationships/hyperlink" Target="file:///C:\Users\seang\OneDrive%20-%20Objective%20Corp\Desktop\HTML-Export\section_s1332743627723.html" TargetMode="External"/><Relationship Id="rId93" Type="http://schemas.openxmlformats.org/officeDocument/2006/relationships/hyperlink" Target="file:///C:\Users\seang\OneDrive%20-%20Objective%20Corp\Desktop\HTML-Export\section_s1332743627723.html" TargetMode="External"/><Relationship Id="rId98" Type="http://schemas.openxmlformats.org/officeDocument/2006/relationships/hyperlink" Target="file:///C:\Users\seang\OneDrive%20-%20Objective%20Corp\Desktop\HTML-Export\section_s1332743627723.html"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C:\Users\seang\OneDrive%20-%20Objective%20Corp\Desktop\HTML-Export\section_s1309829826592.html" TargetMode="External"/><Relationship Id="rId17" Type="http://schemas.openxmlformats.org/officeDocument/2006/relationships/hyperlink" Target="file:///C:\Users\seang\OneDrive%20-%20Objective%20Corp\Desktop\HTML-Export\section_s1309829826592.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image" Target="media/image1.jpeg"/><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yperlink" Target="file:///C:\Users\seang\OneDrive%20-%20Objective%20Corp\Desktop\HTML-Export\section_s1332743627723.html" TargetMode="External"/><Relationship Id="rId59" Type="http://schemas.openxmlformats.org/officeDocument/2006/relationships/hyperlink" Target="file:///C:\Users\seang\OneDrive%20-%20Objective%20Corp\Desktop\HTML-Export\section_s1332743627723.html" TargetMode="External"/><Relationship Id="rId67" Type="http://schemas.openxmlformats.org/officeDocument/2006/relationships/hyperlink" Target="file:///C:\Users\seang\OneDrive%20-%20Objective%20Corp\Desktop\HTML-Export\section_s1332743627723.html" TargetMode="External"/><Relationship Id="rId103" Type="http://schemas.openxmlformats.org/officeDocument/2006/relationships/hyperlink" Target="file:///C:\Users\seang\OneDrive%20-%20Objective%20Corp\Desktop\HTML-Export\section_s1332743627723.html" TargetMode="External"/><Relationship Id="rId108" Type="http://schemas.openxmlformats.org/officeDocument/2006/relationships/hyperlink" Target="file:///C:\Users\seang\OneDrive%20-%20Objective%20Corp\Desktop\HTML-Export\section_s1332743627723.html" TargetMode="External"/><Relationship Id="rId1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54" Type="http://schemas.openxmlformats.org/officeDocument/2006/relationships/hyperlink" Target="file:///C:\Users\seang\OneDrive%20-%20Objective%20Corp\Desktop\HTML-Export\section_s1332743627723.html" TargetMode="External"/><Relationship Id="rId62" Type="http://schemas.openxmlformats.org/officeDocument/2006/relationships/hyperlink" Target="file:///C:\Users\seang\OneDrive%20-%20Objective%20Corp\Desktop\HTML-Export\section_s1332743627723.html" TargetMode="External"/><Relationship Id="rId70" Type="http://schemas.openxmlformats.org/officeDocument/2006/relationships/hyperlink" Target="file:///C:\Users\seang\OneDrive%20-%20Objective%20Corp\Desktop\HTML-Export\section_s1332743627723.html" TargetMode="External"/><Relationship Id="rId75" Type="http://schemas.openxmlformats.org/officeDocument/2006/relationships/hyperlink" Target="file:///C:\Users\seang\OneDrive%20-%20Objective%20Corp\Desktop\HTML-Export\section_s1332743627723.html" TargetMode="External"/><Relationship Id="rId83" Type="http://schemas.openxmlformats.org/officeDocument/2006/relationships/hyperlink" Target="file:///C:\Users\seang\OneDrive%20-%20Objective%20Corp\Desktop\HTML-Export\section_s1332743627723.html" TargetMode="External"/><Relationship Id="rId88" Type="http://schemas.openxmlformats.org/officeDocument/2006/relationships/hyperlink" Target="file:///C:\Users\seang\OneDrive%20-%20Objective%20Corp\Desktop\HTML-Export\section_s1332743627723.html" TargetMode="External"/><Relationship Id="rId91" Type="http://schemas.openxmlformats.org/officeDocument/2006/relationships/hyperlink" Target="file:///C:\Users\seang\OneDrive%20-%20Objective%20Corp\Desktop\HTML-Export\section_s1332743627723.html" TargetMode="External"/><Relationship Id="rId96" Type="http://schemas.openxmlformats.org/officeDocument/2006/relationships/hyperlink" Target="file:///C:\Users\seang\OneDrive%20-%20Objective%20Corp\Desktop\HTML-Export\section_s1332743627723.html" TargetMode="External"/><Relationship Id="rId111"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seang\OneDrive%20-%20Objective%20Corp\Desktop\HTML-Export\section_s1309829826592.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hyperlink" Target="file:///C:\Users\seang\OneDrive%20-%20Objective%20Corp\Desktop\HTML-Export\section_s1332743627723.html" TargetMode="External"/><Relationship Id="rId57" Type="http://schemas.openxmlformats.org/officeDocument/2006/relationships/hyperlink" Target="file:///C:\Users\seang\OneDrive%20-%20Objective%20Corp\Desktop\HTML-Export\section_s1332743627723.html" TargetMode="External"/><Relationship Id="rId106" Type="http://schemas.openxmlformats.org/officeDocument/2006/relationships/hyperlink" Target="file:///C:\Users\seang\OneDrive%20-%20Objective%20Corp\Desktop\HTML-Export\section_s1332743627723.html" TargetMode="External"/><Relationship Id="rId114" Type="http://schemas.openxmlformats.org/officeDocument/2006/relationships/hyperlink" Target="file:///C:\Users\seang\OneDrive%20-%20Objective%20Corp\Desktop\HTML-Export\section_s1332743627723.html" TargetMode="External"/><Relationship Id="rId119" Type="http://schemas.openxmlformats.org/officeDocument/2006/relationships/footer" Target="footer1.xml"/><Relationship Id="rId10" Type="http://schemas.openxmlformats.org/officeDocument/2006/relationships/hyperlink" Target="file:///C:\Users\seang\OneDrive%20-%20Objective%20Corp\Desktop\HTML-Export\section_s1309829826592.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52" Type="http://schemas.openxmlformats.org/officeDocument/2006/relationships/hyperlink" Target="file:///C:\Users\seang\OneDrive%20-%20Objective%20Corp\Desktop\HTML-Export\section_s1332743627723.html" TargetMode="External"/><Relationship Id="rId60" Type="http://schemas.openxmlformats.org/officeDocument/2006/relationships/hyperlink" Target="file:///C:\Users\seang\OneDrive%20-%20Objective%20Corp\Desktop\HTML-Export\section_s1332743627723.html" TargetMode="External"/><Relationship Id="rId65" Type="http://schemas.openxmlformats.org/officeDocument/2006/relationships/hyperlink" Target="file:///C:\Users\seang\OneDrive%20-%20Objective%20Corp\Desktop\HTML-Export\section_s1332743627723.html" TargetMode="External"/><Relationship Id="rId73" Type="http://schemas.openxmlformats.org/officeDocument/2006/relationships/hyperlink" Target="file:///C:\Users\seang\OneDrive%20-%20Objective%20Corp\Desktop\HTML-Export\section_s1332743627723.html" TargetMode="External"/><Relationship Id="rId78" Type="http://schemas.openxmlformats.org/officeDocument/2006/relationships/hyperlink" Target="file:///C:\Users\seang\OneDrive%20-%20Objective%20Corp\Desktop\HTML-Export\section_s1332743627723.html" TargetMode="External"/><Relationship Id="rId81" Type="http://schemas.openxmlformats.org/officeDocument/2006/relationships/hyperlink" Target="file:///C:\Users\seang\OneDrive%20-%20Objective%20Corp\Desktop\HTML-Export\section_s1332743627723.html" TargetMode="External"/><Relationship Id="rId86" Type="http://schemas.openxmlformats.org/officeDocument/2006/relationships/hyperlink" Target="file:///C:\Users\seang\OneDrive%20-%20Objective%20Corp\Desktop\HTML-Export\section_s1332743627723.html" TargetMode="External"/><Relationship Id="rId94" Type="http://schemas.openxmlformats.org/officeDocument/2006/relationships/hyperlink" Target="file:///C:\Users\seang\OneDrive%20-%20Objective%20Corp\Desktop\HTML-Export\section_s1332743627723.html" TargetMode="External"/><Relationship Id="rId99" Type="http://schemas.openxmlformats.org/officeDocument/2006/relationships/hyperlink" Target="file:///C:\Users\seang\OneDrive%20-%20Objective%20Corp\Desktop\HTML-Export\section_s1332743627723.html" TargetMode="External"/><Relationship Id="rId101"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09829826592.html" TargetMode="External"/><Relationship Id="rId13" Type="http://schemas.openxmlformats.org/officeDocument/2006/relationships/hyperlink" Target="file:///C:\Users\seang\OneDrive%20-%20Objective%20Corp\Desktop\HTML-Export\section_s1309829826592.html" TargetMode="External"/><Relationship Id="rId18" Type="http://schemas.openxmlformats.org/officeDocument/2006/relationships/hyperlink" Target="file:///C:\Users\seang\OneDrive%20-%20Objective%20Corp\Desktop\HTML-Export\section_s1309829826592.html" TargetMode="External"/><Relationship Id="rId39" Type="http://schemas.openxmlformats.org/officeDocument/2006/relationships/hyperlink" Target="file:///C:\Users\seang\OneDrive%20-%20Objective%20Corp\Desktop\HTML-Export\section_s1332743627723.html" TargetMode="External"/><Relationship Id="rId109" Type="http://schemas.openxmlformats.org/officeDocument/2006/relationships/hyperlink" Target="file:///C:\Users\seang\OneDrive%20-%20Objective%20Corp\Desktop\HTML-Export\section_s1332743627723.html" TargetMode="External"/><Relationship Id="rId34" Type="http://schemas.openxmlformats.org/officeDocument/2006/relationships/image" Target="media/image2.jpeg"/><Relationship Id="rId50" Type="http://schemas.openxmlformats.org/officeDocument/2006/relationships/hyperlink" Target="file:///C:\Users\seang\OneDrive%20-%20Objective%20Corp\Desktop\HTML-Export\section_s1332743627723.html" TargetMode="External"/><Relationship Id="rId55" Type="http://schemas.openxmlformats.org/officeDocument/2006/relationships/hyperlink" Target="file:///C:\Users\seang\OneDrive%20-%20Objective%20Corp\Desktop\HTML-Export\section_s1332743627723.html" TargetMode="External"/><Relationship Id="rId76" Type="http://schemas.openxmlformats.org/officeDocument/2006/relationships/hyperlink" Target="file:///C:\Users\seang\OneDrive%20-%20Objective%20Corp\Desktop\HTML-Export\section_s1332743627723.html" TargetMode="External"/><Relationship Id="rId97" Type="http://schemas.openxmlformats.org/officeDocument/2006/relationships/hyperlink" Target="file:///C:\Users\seang\OneDrive%20-%20Objective%20Corp\Desktop\HTML-Export\section_s1332743627723.html" TargetMode="External"/><Relationship Id="rId104" Type="http://schemas.openxmlformats.org/officeDocument/2006/relationships/hyperlink" Target="file:///C:\Users\seang\OneDrive%20-%20Objective%20Corp\Desktop\HTML-Export\section_s1332743627723.html" TargetMode="External"/><Relationship Id="rId120" Type="http://schemas.openxmlformats.org/officeDocument/2006/relationships/fontTable" Target="fontTable.xml"/><Relationship Id="rId7" Type="http://schemas.openxmlformats.org/officeDocument/2006/relationships/hyperlink" Target="file:///C:\Users\seang\OneDrive%20-%20Objective%20Corp\Desktop\HTML-Export\section_s1332743627723.html" TargetMode="External"/><Relationship Id="rId71" Type="http://schemas.openxmlformats.org/officeDocument/2006/relationships/hyperlink" Target="file:///C:\Users\seang\OneDrive%20-%20Objective%20Corp\Desktop\HTML-Export\section_s1332743627723.html" TargetMode="External"/><Relationship Id="rId92"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29"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yperlink" Target="file:///C:\Users\seang\OneDrive%20-%20Objective%20Corp\Desktop\HTML-Export\section_s1332743627723.html" TargetMode="External"/><Relationship Id="rId66" Type="http://schemas.openxmlformats.org/officeDocument/2006/relationships/hyperlink" Target="file:///C:\Users\seang\OneDrive%20-%20Objective%20Corp\Desktop\HTML-Export\section_s1332743627723.html" TargetMode="External"/><Relationship Id="rId87" Type="http://schemas.openxmlformats.org/officeDocument/2006/relationships/hyperlink" Target="file:///C:\Users\seang\OneDrive%20-%20Objective%20Corp\Desktop\HTML-Export\section_s1332743627723.html" TargetMode="External"/><Relationship Id="rId110" Type="http://schemas.openxmlformats.org/officeDocument/2006/relationships/hyperlink" Target="file:///C:\Users\seang\OneDrive%20-%20Objective%20Corp\Desktop\HTML-Export\section_s1332743627723.html" TargetMode="External"/><Relationship Id="rId115"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48</Pages>
  <Words>16508</Words>
  <Characters>94100</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Di Luigi</dc:creator>
  <cp:keywords/>
  <dc:description/>
  <cp:lastModifiedBy>Kasaia Bray</cp:lastModifiedBy>
  <cp:revision>6</cp:revision>
  <dcterms:created xsi:type="dcterms:W3CDTF">2019-12-12T03:37:00Z</dcterms:created>
  <dcterms:modified xsi:type="dcterms:W3CDTF">2020-01-06T06:37:00Z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A19466366</vt:lpwstr>
  </property>
  <property fmtid="{D5CDD505-2E9C-101B-9397-08002B2CF9AE}" pid="4" name="Objective-Title">
    <vt:lpwstr>9.3.1.2 Dwelling house code - Assessable UPDATED</vt:lpwstr>
  </property>
  <property fmtid="{D5CDD505-2E9C-101B-9397-08002B2CF9AE}" pid="5" name="Objective-Comment">
    <vt:lpwstr/>
  </property>
  <property fmtid="{D5CDD505-2E9C-101B-9397-08002B2CF9AE}" pid="6" name="Objective-CreationStamp">
    <vt:filetime>2019-12-12T04:25:17Z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2020-01-06T06:27:28Z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