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917"/>
        <w:gridCol w:w="8801"/>
        <w:gridCol w:w="2616"/>
        <w:gridCol w:w="3064"/>
      </w:tblGrid>
      <w:tr w:rsidR="00A86C6C" w:rsidRPr="00A86C6C" w:rsidTr="00A86C6C">
        <w:trPr>
          <w:tblCellSpacing w:w="15" w:type="dxa"/>
        </w:trPr>
        <w:tc>
          <w:tcPr>
            <w:tcW w:w="4981" w:type="pct"/>
            <w:gridSpan w:val="4"/>
            <w:tcBorders>
              <w:top w:val="nil"/>
              <w:left w:val="nil"/>
              <w:bottom w:val="nil"/>
              <w:right w:val="nil"/>
            </w:tcBorders>
            <w:shd w:val="clear" w:color="auto" w:fill="CCCCCC"/>
            <w:vAlign w:val="center"/>
            <w:hideMark/>
          </w:tcPr>
          <w:p w:rsidR="00A86C6C" w:rsidRPr="00A86C6C" w:rsidRDefault="00A86C6C" w:rsidP="00A86C6C">
            <w:pPr>
              <w:jc w:val="center"/>
              <w:rPr>
                <w:rStyle w:val="Strong"/>
                <w:rFonts w:ascii="Arial" w:eastAsia="Times New Roman" w:hAnsi="Arial" w:cs="Arial"/>
                <w:sz w:val="20"/>
                <w:szCs w:val="20"/>
              </w:rPr>
            </w:pPr>
            <w:r w:rsidRPr="00A86C6C">
              <w:rPr>
                <w:rStyle w:val="Strong"/>
                <w:rFonts w:ascii="Arial" w:eastAsia="Times New Roman" w:hAnsi="Arial" w:cs="Arial"/>
                <w:sz w:val="20"/>
                <w:szCs w:val="20"/>
              </w:rPr>
              <w:t>Table 9.3.1.1 Requirements for accepted development</w:t>
            </w: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Requirements for accepted development</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spacing w:before="0" w:beforeAutospacing="0" w:after="0" w:afterAutospacing="0"/>
              <w:rPr>
                <w:rFonts w:ascii="Arial" w:hAnsi="Arial" w:cs="Arial"/>
                <w:b/>
                <w:bCs/>
                <w:sz w:val="20"/>
                <w:szCs w:val="20"/>
              </w:rPr>
            </w:pPr>
            <w:r w:rsidRPr="00A86C6C">
              <w:rPr>
                <w:rFonts w:ascii="Arial" w:hAnsi="Arial" w:cs="Arial"/>
                <w:b/>
                <w:bCs/>
                <w:sz w:val="20"/>
                <w:szCs w:val="20"/>
              </w:rPr>
              <w:t>E Compliance</w:t>
            </w:r>
          </w:p>
          <w:p w:rsidR="00A86C6C" w:rsidRPr="00A86C6C" w:rsidRDefault="00A86C6C" w:rsidP="00835683">
            <w:pPr>
              <w:pStyle w:val="NormalWeb"/>
              <w:numPr>
                <w:ilvl w:val="0"/>
                <w:numId w:val="43"/>
              </w:numPr>
              <w:spacing w:before="0" w:beforeAutospacing="0" w:after="0" w:afterAutospacing="0"/>
              <w:rPr>
                <w:rFonts w:ascii="Arial" w:hAnsi="Arial" w:cs="Arial"/>
                <w:b/>
                <w:bCs/>
                <w:sz w:val="20"/>
                <w:szCs w:val="20"/>
              </w:rPr>
            </w:pPr>
            <w:r w:rsidRPr="00A86C6C">
              <w:rPr>
                <w:rFonts w:ascii="Arial" w:hAnsi="Arial" w:cs="Arial"/>
                <w:b/>
                <w:bCs/>
                <w:sz w:val="20"/>
                <w:szCs w:val="20"/>
              </w:rPr>
              <w:t>Yes</w:t>
            </w:r>
          </w:p>
          <w:p w:rsidR="00A86C6C" w:rsidRPr="00A86C6C" w:rsidRDefault="00A86C6C" w:rsidP="00835683">
            <w:pPr>
              <w:pStyle w:val="NormalWeb"/>
              <w:numPr>
                <w:ilvl w:val="0"/>
                <w:numId w:val="43"/>
              </w:numPr>
              <w:spacing w:before="0" w:beforeAutospacing="0" w:after="0" w:afterAutospacing="0"/>
              <w:rPr>
                <w:rFonts w:ascii="Arial" w:hAnsi="Arial" w:cs="Arial"/>
                <w:b/>
                <w:bCs/>
                <w:sz w:val="20"/>
                <w:szCs w:val="20"/>
              </w:rPr>
            </w:pPr>
            <w:r w:rsidRPr="00A86C6C">
              <w:rPr>
                <w:rFonts w:ascii="Arial" w:hAnsi="Arial" w:cs="Arial"/>
                <w:b/>
                <w:bCs/>
                <w:sz w:val="20"/>
                <w:szCs w:val="20"/>
              </w:rPr>
              <w:t>No See PO or</w:t>
            </w:r>
          </w:p>
          <w:p w:rsidR="00A86C6C" w:rsidRPr="00A86C6C" w:rsidRDefault="00A86C6C" w:rsidP="00835683">
            <w:pPr>
              <w:pStyle w:val="NormalWeb"/>
              <w:numPr>
                <w:ilvl w:val="0"/>
                <w:numId w:val="43"/>
              </w:numPr>
              <w:spacing w:before="0" w:beforeAutospacing="0" w:after="0" w:afterAutospacing="0"/>
              <w:rPr>
                <w:rStyle w:val="Strong"/>
                <w:rFonts w:ascii="Arial" w:hAnsi="Arial" w:cs="Arial"/>
                <w:sz w:val="20"/>
                <w:szCs w:val="20"/>
              </w:rPr>
            </w:pPr>
            <w:r w:rsidRPr="00A86C6C">
              <w:rPr>
                <w:rFonts w:ascii="Arial" w:hAnsi="Arial" w:cs="Arial"/>
                <w:b/>
                <w:bCs/>
                <w:sz w:val="20"/>
                <w:szCs w:val="20"/>
              </w:rPr>
              <w:t>NA</w:t>
            </w: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r w:rsidRPr="00A86C6C">
              <w:rPr>
                <w:rFonts w:ascii="Arial" w:hAnsi="Arial" w:cs="Arial"/>
                <w:b/>
                <w:bCs/>
                <w:sz w:val="20"/>
                <w:szCs w:val="20"/>
              </w:rPr>
              <w:t>Justification for compliance</w:t>
            </w:r>
          </w:p>
        </w:tc>
      </w:tr>
      <w:tr w:rsidR="00A86C6C" w:rsidRPr="00A86C6C" w:rsidTr="00A86C6C">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jc w:val="center"/>
              <w:rPr>
                <w:rStyle w:val="Strong"/>
                <w:rFonts w:ascii="Arial" w:hAnsi="Arial" w:cs="Arial"/>
                <w:sz w:val="20"/>
                <w:szCs w:val="20"/>
              </w:rPr>
            </w:pPr>
            <w:r w:rsidRPr="00A86C6C">
              <w:rPr>
                <w:rStyle w:val="Strong"/>
                <w:rFonts w:ascii="Arial" w:hAnsi="Arial" w:cs="Arial"/>
                <w:sz w:val="20"/>
                <w:szCs w:val="20"/>
              </w:rPr>
              <w:t>General requirements (All lots - Traditional lot, Narrow lot, Row lot and Laneway lot)</w:t>
            </w: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Building height</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213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Building height does not exceed that mapped on Overlay map – Building heights.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Minimum's mapped on Overlay map - Building heights, do not apply to Dwelling houses.</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The above does not apply to domestic outbuildings. Refer to requirements for Domestic outbuildings in this code.</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This is a quantifiable standard that is an alternative provision to the QDC, part MP1.1, A4 and part MP1.2, A4. Non-compliance with this provision for a Dwelling house</w:t>
                  </w:r>
                  <w:r w:rsidRPr="00A86C6C">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height of tall structures (e.g. antenna, aerial, chimney, flagpole or the like) projects no more than 8.5m above ground level and transmission and receiving dishes are no larger than 1.2m diameter.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Note - This is a quantifiable standard that relates to matters identified in Schedule 9, Part 3, Division 2, Table of Regulation. Non-compliance with this provision for a Dwelling house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Setbacks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Setbacks (excluding built to boundary walls) comply with:</w:t>
            </w:r>
          </w:p>
          <w:p w:rsidR="00A86C6C" w:rsidRPr="00A86C6C" w:rsidRDefault="00A86C6C" w:rsidP="00835683">
            <w:pPr>
              <w:pStyle w:val="NormalWeb"/>
              <w:numPr>
                <w:ilvl w:val="0"/>
                <w:numId w:val="1"/>
              </w:numPr>
              <w:rPr>
                <w:rFonts w:ascii="Arial" w:hAnsi="Arial" w:cs="Arial"/>
                <w:sz w:val="20"/>
                <w:szCs w:val="20"/>
              </w:rPr>
            </w:pPr>
            <w:r w:rsidRPr="00A86C6C">
              <w:rPr>
                <w:rFonts w:ascii="Arial" w:hAnsi="Arial" w:cs="Arial"/>
                <w:sz w:val="20"/>
                <w:szCs w:val="20"/>
              </w:rPr>
              <w:t>Emerging community zone:</w:t>
            </w:r>
          </w:p>
          <w:p w:rsidR="00A86C6C" w:rsidRPr="007B56B9" w:rsidRDefault="00A86C6C" w:rsidP="00835683">
            <w:pPr>
              <w:pStyle w:val="NormalWeb"/>
              <w:numPr>
                <w:ilvl w:val="1"/>
                <w:numId w:val="1"/>
              </w:numPr>
              <w:rPr>
                <w:rFonts w:ascii="Arial" w:hAnsi="Arial" w:cs="Arial"/>
                <w:sz w:val="20"/>
                <w:szCs w:val="20"/>
              </w:rPr>
            </w:pPr>
            <w:r w:rsidRPr="00A86C6C">
              <w:rPr>
                <w:rFonts w:ascii="Arial" w:hAnsi="Arial" w:cs="Arial"/>
                <w:sz w:val="20"/>
                <w:szCs w:val="20"/>
              </w:rPr>
              <w:t xml:space="preserve">Transition precinct (developed lot) Morayfield South urban area identified in </w:t>
            </w:r>
            <w:hyperlink r:id="rId8" w:anchor="ID-2859427-532" w:history="1">
              <w:r w:rsidRPr="007B56B9">
                <w:rPr>
                  <w:rStyle w:val="Hyperlink"/>
                  <w:rFonts w:ascii="Arial" w:hAnsi="Arial" w:cs="Arial"/>
                  <w:color w:val="auto"/>
                  <w:sz w:val="20"/>
                  <w:szCs w:val="20"/>
                  <w:u w:val="none"/>
                </w:rPr>
                <w:t>‘Figure 9.3.1.1 Morayfield South - Urban area ’</w:t>
              </w:r>
            </w:hyperlink>
            <w:r w:rsidRPr="007B56B9">
              <w:rPr>
                <w:rFonts w:ascii="Arial" w:hAnsi="Arial" w:cs="Arial"/>
                <w:sz w:val="20"/>
                <w:szCs w:val="20"/>
              </w:rPr>
              <w:t xml:space="preserve"> - </w:t>
            </w:r>
            <w:hyperlink r:id="rId9" w:anchor="ID-2859427-TABLE-9.3.1.6" w:history="1">
              <w:r w:rsidRPr="007B56B9">
                <w:rPr>
                  <w:rStyle w:val="Hyperlink"/>
                  <w:rFonts w:ascii="Arial" w:hAnsi="Arial" w:cs="Arial"/>
                  <w:color w:val="auto"/>
                  <w:sz w:val="20"/>
                  <w:szCs w:val="20"/>
                  <w:u w:val="none"/>
                </w:rPr>
                <w:t>Table 9.3.1.6 ‘Setbacks’</w:t>
              </w:r>
            </w:hyperlink>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Transition precinct (developed lot) all other areas - </w:t>
            </w:r>
            <w:hyperlink r:id="rId10" w:anchor="ID-2859427-TABLE-9.3.1.5" w:history="1">
              <w:r w:rsidRPr="007B56B9">
                <w:rPr>
                  <w:rStyle w:val="Hyperlink"/>
                  <w:rFonts w:ascii="Arial" w:hAnsi="Arial" w:cs="Arial"/>
                  <w:color w:val="auto"/>
                  <w:sz w:val="20"/>
                  <w:szCs w:val="20"/>
                  <w:u w:val="none"/>
                </w:rPr>
                <w:t>Table 9.3.1.5 ‘Setbacks’</w:t>
              </w:r>
            </w:hyperlink>
          </w:p>
          <w:p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t>General residential zone:</w:t>
            </w:r>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Coastal communities precinct - </w:t>
            </w:r>
            <w:hyperlink r:id="rId11" w:anchor="ID-2859427-TABLE-9.3.1.3" w:history="1">
              <w:r w:rsidRPr="007B56B9">
                <w:rPr>
                  <w:rStyle w:val="Hyperlink"/>
                  <w:rFonts w:ascii="Arial" w:hAnsi="Arial" w:cs="Arial"/>
                  <w:color w:val="auto"/>
                  <w:sz w:val="20"/>
                  <w:szCs w:val="20"/>
                  <w:u w:val="none"/>
                </w:rPr>
                <w:t>Table 9.3.1.3 ‘Setbacks’</w:t>
              </w:r>
            </w:hyperlink>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Suburban neighbourhood precinct - </w:t>
            </w:r>
            <w:hyperlink r:id="rId12" w:anchor="ID-2859427-TABLE-9.3.1.4" w:history="1">
              <w:r w:rsidRPr="007B56B9">
                <w:rPr>
                  <w:rStyle w:val="Hyperlink"/>
                  <w:rFonts w:ascii="Arial" w:hAnsi="Arial" w:cs="Arial"/>
                  <w:color w:val="auto"/>
                  <w:sz w:val="20"/>
                  <w:szCs w:val="20"/>
                  <w:u w:val="none"/>
                </w:rPr>
                <w:t>Table 9.3.1.4 ‘Setbacks’</w:t>
              </w:r>
            </w:hyperlink>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Next generation neighbourhood precinct - </w:t>
            </w:r>
            <w:hyperlink r:id="rId13" w:anchor="ID-2859427-TABLE-9.3.1.5" w:history="1">
              <w:r w:rsidRPr="007B56B9">
                <w:rPr>
                  <w:rStyle w:val="Hyperlink"/>
                  <w:rFonts w:ascii="Arial" w:hAnsi="Arial" w:cs="Arial"/>
                  <w:color w:val="auto"/>
                  <w:sz w:val="20"/>
                  <w:szCs w:val="20"/>
                  <w:u w:val="none"/>
                </w:rPr>
                <w:t>Table 9.3.1.5 ‘Setbacks’</w:t>
              </w:r>
            </w:hyperlink>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Urban neighbourhood precinct - Table 9.3.1.6</w:t>
            </w:r>
          </w:p>
          <w:p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lastRenderedPageBreak/>
              <w:t>Caboolture West local plan:</w:t>
            </w:r>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Urban living precinct - Next generation sub-precinct - </w:t>
            </w:r>
            <w:hyperlink r:id="rId14" w:anchor="ID-2859427-TABLE-9.3.1.5" w:history="1">
              <w:r w:rsidRPr="007B56B9">
                <w:rPr>
                  <w:rStyle w:val="Hyperlink"/>
                  <w:rFonts w:ascii="Arial" w:hAnsi="Arial" w:cs="Arial"/>
                  <w:color w:val="auto"/>
                  <w:sz w:val="20"/>
                  <w:szCs w:val="20"/>
                  <w:u w:val="none"/>
                </w:rPr>
                <w:t>Table 9.3.1.5 ‘Setbacks’</w:t>
              </w:r>
            </w:hyperlink>
          </w:p>
          <w:p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t>Redcliffe Kippa-Ring local plan:</w:t>
            </w:r>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Interim residential precinct - </w:t>
            </w:r>
            <w:hyperlink r:id="rId15" w:anchor="ID-2859427-TABLE-9.3.1.3" w:history="1">
              <w:r w:rsidRPr="007B56B9">
                <w:rPr>
                  <w:rStyle w:val="Hyperlink"/>
                  <w:rFonts w:ascii="Arial" w:hAnsi="Arial" w:cs="Arial"/>
                  <w:color w:val="auto"/>
                  <w:sz w:val="20"/>
                  <w:szCs w:val="20"/>
                  <w:u w:val="none"/>
                </w:rPr>
                <w:t>Table 9.3.1.3 ‘Setbacks’</w:t>
              </w:r>
            </w:hyperlink>
          </w:p>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Except for carports</w:t>
            </w:r>
            <w:r w:rsidRPr="00A86C6C">
              <w:rPr>
                <w:rFonts w:ascii="Arial" w:hAnsi="Arial" w:cs="Arial"/>
                <w:sz w:val="20"/>
                <w:szCs w:val="20"/>
              </w:rPr>
              <w:t> in the primary and secondary frontage where they:</w:t>
            </w:r>
          </w:p>
          <w:p w:rsidR="00A86C6C" w:rsidRPr="00A86C6C" w:rsidRDefault="00A86C6C" w:rsidP="00835683">
            <w:pPr>
              <w:numPr>
                <w:ilvl w:val="0"/>
                <w:numId w:val="2"/>
              </w:numPr>
              <w:spacing w:before="100" w:beforeAutospacing="1" w:after="100" w:afterAutospacing="1"/>
              <w:rPr>
                <w:rFonts w:ascii="Arial" w:hAnsi="Arial" w:cs="Arial"/>
                <w:sz w:val="20"/>
                <w:szCs w:val="20"/>
              </w:rPr>
            </w:pPr>
            <w:r w:rsidRPr="00A86C6C">
              <w:rPr>
                <w:rFonts w:ascii="Arial" w:hAnsi="Arial" w:cs="Arial"/>
                <w:sz w:val="20"/>
                <w:szCs w:val="20"/>
              </w:rPr>
              <w:t>are setback a minimum of:</w:t>
            </w:r>
          </w:p>
          <w:p w:rsidR="00A86C6C" w:rsidRPr="00A86C6C" w:rsidRDefault="00A86C6C" w:rsidP="00835683">
            <w:pPr>
              <w:numPr>
                <w:ilvl w:val="1"/>
                <w:numId w:val="2"/>
              </w:numPr>
              <w:spacing w:before="100" w:beforeAutospacing="1" w:after="100" w:afterAutospacing="1"/>
              <w:rPr>
                <w:rFonts w:ascii="Arial" w:hAnsi="Arial" w:cs="Arial"/>
                <w:sz w:val="20"/>
                <w:szCs w:val="20"/>
              </w:rPr>
            </w:pPr>
            <w:r w:rsidRPr="00A86C6C">
              <w:rPr>
                <w:rFonts w:ascii="Arial" w:hAnsi="Arial" w:cs="Arial"/>
                <w:sz w:val="20"/>
                <w:szCs w:val="20"/>
              </w:rPr>
              <w:t>5.4m; or</w:t>
            </w:r>
          </w:p>
          <w:p w:rsidR="00A86C6C" w:rsidRPr="00A86C6C" w:rsidRDefault="00A86C6C" w:rsidP="00835683">
            <w:pPr>
              <w:numPr>
                <w:ilvl w:val="1"/>
                <w:numId w:val="2"/>
              </w:numPr>
              <w:spacing w:before="100" w:beforeAutospacing="1" w:after="100" w:afterAutospacing="1"/>
              <w:rPr>
                <w:rFonts w:ascii="Arial" w:hAnsi="Arial" w:cs="Arial"/>
                <w:sz w:val="20"/>
                <w:szCs w:val="20"/>
              </w:rPr>
            </w:pPr>
            <w:r w:rsidRPr="00A86C6C">
              <w:rPr>
                <w:rFonts w:ascii="Arial" w:hAnsi="Arial" w:cs="Arial"/>
                <w:sz w:val="20"/>
                <w:szCs w:val="20"/>
              </w:rPr>
              <w:t>if the dwelling was built before 2005:</w:t>
            </w:r>
          </w:p>
          <w:p w:rsidR="00A86C6C" w:rsidRPr="00A86C6C" w:rsidRDefault="00A86C6C" w:rsidP="00835683">
            <w:pPr>
              <w:numPr>
                <w:ilvl w:val="2"/>
                <w:numId w:val="2"/>
              </w:numPr>
              <w:spacing w:before="100" w:beforeAutospacing="1" w:after="100" w:afterAutospacing="1"/>
              <w:rPr>
                <w:rFonts w:ascii="Arial" w:hAnsi="Arial" w:cs="Arial"/>
                <w:sz w:val="20"/>
                <w:szCs w:val="20"/>
              </w:rPr>
            </w:pPr>
            <w:r w:rsidRPr="00A86C6C">
              <w:rPr>
                <w:rFonts w:ascii="Arial" w:hAnsi="Arial" w:cs="Arial"/>
                <w:sz w:val="20"/>
                <w:szCs w:val="20"/>
              </w:rPr>
              <w:t>not less than the setback to an existing lawfully constructed carport or garage on an adjoining lot having the same road frontage (where a lawfully constructed carport or garage is located on both sides, the lesser of the two is applicable); or</w:t>
            </w:r>
          </w:p>
          <w:p w:rsidR="00A86C6C" w:rsidRPr="00A86C6C" w:rsidRDefault="00A86C6C" w:rsidP="00835683">
            <w:pPr>
              <w:numPr>
                <w:ilvl w:val="2"/>
                <w:numId w:val="2"/>
              </w:numPr>
              <w:spacing w:before="100" w:beforeAutospacing="1" w:after="100" w:afterAutospacing="1"/>
              <w:rPr>
                <w:rFonts w:ascii="Arial" w:hAnsi="Arial" w:cs="Arial"/>
                <w:sz w:val="20"/>
                <w:szCs w:val="20"/>
              </w:rPr>
            </w:pPr>
            <w:r w:rsidRPr="00A86C6C">
              <w:rPr>
                <w:rFonts w:ascii="Arial" w:hAnsi="Arial" w:cs="Arial"/>
                <w:sz w:val="20"/>
                <w:szCs w:val="20"/>
              </w:rPr>
              <w:t>0.5m, whichever is the greater; and</w:t>
            </w:r>
          </w:p>
          <w:p w:rsidR="00A86C6C" w:rsidRPr="00A86C6C" w:rsidRDefault="00A86C6C" w:rsidP="00835683">
            <w:pPr>
              <w:numPr>
                <w:ilvl w:val="0"/>
                <w:numId w:val="2"/>
              </w:numPr>
              <w:spacing w:before="100" w:beforeAutospacing="1" w:after="100" w:afterAutospacing="1"/>
              <w:rPr>
                <w:rFonts w:ascii="Arial" w:hAnsi="Arial" w:cs="Arial"/>
                <w:sz w:val="20"/>
                <w:szCs w:val="20"/>
              </w:rPr>
            </w:pPr>
            <w:r w:rsidRPr="00A86C6C">
              <w:rPr>
                <w:rFonts w:ascii="Arial" w:hAnsi="Arial" w:cs="Arial"/>
                <w:sz w:val="20"/>
                <w:szCs w:val="20"/>
              </w:rPr>
              <w:t>remain open and are not enclosed by walls, screens, doors or the like.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A1 (a), (b) and (c), A2 (a), (b) and (d) and part MP1.2, A1 (a), (b) and (c), A2 (a), (b) and (d). Non-compliance with this provision for a Dwelling house</w:t>
                  </w:r>
                  <w:r w:rsidRPr="007B56B9">
                    <w:rPr>
                      <w:rFonts w:ascii="Arial" w:hAnsi="Arial" w:cs="Arial"/>
                      <w:sz w:val="18"/>
                      <w:szCs w:val="20"/>
                      <w:vertAlign w:val="superscript"/>
                    </w:rPr>
                    <w:t>(</w:t>
                  </w:r>
                  <w:hyperlink r:id="rId1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 Note - Greater setbacks may be required if the lot adjoins an environmental corridor or area (Refer to values and constraints for details).</w:t>
                  </w:r>
                </w:p>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above setbacks apply only to Class 1a and Class 10a buildings/structures.</w:t>
                  </w:r>
                </w:p>
                <w:p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The location and design of the Dwelling house, specifically garages and covered car parking spaces are to ensure the design and location of any resultant driveways and crossovers </w:t>
                  </w:r>
                  <w:proofErr w:type="gramStart"/>
                  <w:r w:rsidRPr="007B56B9">
                    <w:rPr>
                      <w:rFonts w:ascii="Arial" w:hAnsi="Arial" w:cs="Arial"/>
                      <w:sz w:val="18"/>
                      <w:szCs w:val="20"/>
                    </w:rPr>
                    <w:t>are able to</w:t>
                  </w:r>
                  <w:proofErr w:type="gramEnd"/>
                  <w:r w:rsidRPr="007B56B9">
                    <w:rPr>
                      <w:rFonts w:ascii="Arial" w:hAnsi="Arial" w:cs="Arial"/>
                      <w:sz w:val="18"/>
                      <w:szCs w:val="20"/>
                    </w:rPr>
                    <w:t xml:space="preserve"> comply with relevant criteria of Planning scheme policy - Integrated design (Appendix A) for Driveways, Vehicle and Pedestrian Crossover.</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7B56B9">
        <w:trPr>
          <w:trHeight w:val="4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Built to boundary walls are:</w:t>
            </w:r>
          </w:p>
          <w:p w:rsidR="00A86C6C" w:rsidRPr="00A86C6C" w:rsidRDefault="00A86C6C" w:rsidP="00835683">
            <w:pPr>
              <w:pStyle w:val="NormalWeb"/>
              <w:numPr>
                <w:ilvl w:val="0"/>
                <w:numId w:val="3"/>
              </w:numPr>
              <w:rPr>
                <w:rFonts w:ascii="Arial" w:hAnsi="Arial" w:cs="Arial"/>
                <w:sz w:val="20"/>
                <w:szCs w:val="20"/>
              </w:rPr>
            </w:pPr>
            <w:r w:rsidRPr="00A86C6C">
              <w:rPr>
                <w:rFonts w:ascii="Arial" w:hAnsi="Arial" w:cs="Arial"/>
                <w:sz w:val="20"/>
                <w:szCs w:val="20"/>
              </w:rPr>
              <w:t xml:space="preserve">provided on lots if required by an existing approval issued by </w:t>
            </w:r>
            <w:proofErr w:type="spellStart"/>
            <w:proofErr w:type="gramStart"/>
            <w:r w:rsidRPr="00A86C6C">
              <w:rPr>
                <w:rFonts w:ascii="Arial" w:hAnsi="Arial" w:cs="Arial"/>
                <w:sz w:val="20"/>
                <w:szCs w:val="20"/>
              </w:rPr>
              <w:t>Council,and</w:t>
            </w:r>
            <w:proofErr w:type="spellEnd"/>
            <w:proofErr w:type="gramEnd"/>
            <w:r w:rsidRPr="00A86C6C">
              <w:rPr>
                <w:rFonts w:ascii="Arial" w:hAnsi="Arial" w:cs="Arial"/>
                <w:sz w:val="20"/>
                <w:szCs w:val="20"/>
              </w:rPr>
              <w:t xml:space="preserve"> are established in accordance with the plan of development under that existing approval (including any subsequent amendments to that plan of development that are approved by council in writing)</w:t>
            </w:r>
            <w:r w:rsidRPr="00A86C6C">
              <w:rPr>
                <w:rFonts w:ascii="Arial" w:hAnsi="Arial" w:cs="Arial"/>
                <w:sz w:val="20"/>
                <w:szCs w:val="20"/>
              </w:rPr>
              <w:br/>
            </w:r>
            <w:r w:rsidRPr="00A86C6C">
              <w:rPr>
                <w:rFonts w:ascii="Arial" w:hAnsi="Arial" w:cs="Arial"/>
                <w:sz w:val="20"/>
                <w:szCs w:val="20"/>
              </w:rPr>
              <w:br/>
              <w:t>OR</w:t>
            </w:r>
          </w:p>
          <w:p w:rsidR="00A86C6C" w:rsidRPr="007B56B9" w:rsidRDefault="00A86C6C" w:rsidP="00A86C6C">
            <w:pPr>
              <w:pStyle w:val="NormalWeb"/>
              <w:ind w:left="720"/>
              <w:rPr>
                <w:rFonts w:ascii="Arial" w:hAnsi="Arial" w:cs="Arial"/>
                <w:sz w:val="20"/>
                <w:szCs w:val="20"/>
              </w:rPr>
            </w:pPr>
            <w:r w:rsidRPr="00A86C6C">
              <w:rPr>
                <w:rFonts w:ascii="Arial" w:hAnsi="Arial" w:cs="Arial"/>
                <w:sz w:val="20"/>
                <w:szCs w:val="20"/>
              </w:rPr>
              <w:lastRenderedPageBreak/>
              <w:t>if no approved plan of development applies to the land, are only established on lots having a primary frontage of 18m or less and where permitted in </w:t>
            </w:r>
            <w:hyperlink r:id="rId17" w:anchor="ID-2859427-TABLE-9.3.1.7" w:history="1">
              <w:r w:rsidRPr="007B56B9">
                <w:rPr>
                  <w:rStyle w:val="Hyperlink"/>
                  <w:rFonts w:ascii="Arial" w:hAnsi="Arial" w:cs="Arial"/>
                  <w:color w:val="auto"/>
                  <w:sz w:val="20"/>
                  <w:szCs w:val="20"/>
                  <w:u w:val="none"/>
                </w:rPr>
                <w:t>Table 9.3.1.7 ‘Built to boundary walls’</w:t>
              </w:r>
            </w:hyperlink>
            <w:r w:rsidRPr="007B56B9">
              <w:rPr>
                <w:rFonts w:ascii="Arial" w:hAnsi="Arial" w:cs="Arial"/>
                <w:sz w:val="20"/>
                <w:szCs w:val="20"/>
              </w:rPr>
              <w:t>;</w:t>
            </w:r>
          </w:p>
          <w:p w:rsidR="00A86C6C" w:rsidRPr="007B56B9" w:rsidRDefault="00A86C6C" w:rsidP="00835683">
            <w:pPr>
              <w:pStyle w:val="NormalWeb"/>
              <w:numPr>
                <w:ilvl w:val="0"/>
                <w:numId w:val="3"/>
              </w:numPr>
              <w:rPr>
                <w:rFonts w:ascii="Arial" w:hAnsi="Arial" w:cs="Arial"/>
                <w:sz w:val="20"/>
                <w:szCs w:val="20"/>
              </w:rPr>
            </w:pPr>
            <w:r w:rsidRPr="007B56B9">
              <w:rPr>
                <w:rFonts w:ascii="Arial" w:hAnsi="Arial" w:cs="Arial"/>
                <w:sz w:val="20"/>
                <w:szCs w:val="20"/>
              </w:rPr>
              <w:t xml:space="preserve">of a length and height not exceeding that specified in </w:t>
            </w:r>
            <w:hyperlink r:id="rId18" w:anchor="ID-2859427-TABLE-9.3.1.7" w:history="1">
              <w:r w:rsidRPr="007B56B9">
                <w:rPr>
                  <w:rStyle w:val="Hyperlink"/>
                  <w:rFonts w:ascii="Arial" w:hAnsi="Arial" w:cs="Arial"/>
                  <w:color w:val="auto"/>
                  <w:sz w:val="20"/>
                  <w:szCs w:val="20"/>
                  <w:u w:val="none"/>
                </w:rPr>
                <w:t>Table 9.3.1.7 ‘Built to boundary walls’</w:t>
              </w:r>
            </w:hyperlink>
            <w:r w:rsidRPr="007B56B9">
              <w:rPr>
                <w:rFonts w:ascii="Arial" w:hAnsi="Arial" w:cs="Arial"/>
                <w:sz w:val="20"/>
                <w:szCs w:val="20"/>
              </w:rPr>
              <w:t>;</w:t>
            </w:r>
          </w:p>
          <w:p w:rsidR="00A86C6C" w:rsidRPr="007B56B9" w:rsidRDefault="00A86C6C" w:rsidP="00835683">
            <w:pPr>
              <w:pStyle w:val="NormalWeb"/>
              <w:numPr>
                <w:ilvl w:val="0"/>
                <w:numId w:val="3"/>
              </w:numPr>
              <w:rPr>
                <w:rFonts w:ascii="Arial" w:hAnsi="Arial" w:cs="Arial"/>
                <w:sz w:val="20"/>
                <w:szCs w:val="20"/>
              </w:rPr>
            </w:pPr>
            <w:r w:rsidRPr="007B56B9">
              <w:rPr>
                <w:rFonts w:ascii="Arial" w:hAnsi="Arial" w:cs="Arial"/>
                <w:sz w:val="20"/>
                <w:szCs w:val="20"/>
              </w:rPr>
              <w:t>setback from the side boundary:</w:t>
            </w:r>
          </w:p>
          <w:p w:rsidR="00A86C6C" w:rsidRPr="00A86C6C" w:rsidRDefault="00A86C6C" w:rsidP="00835683">
            <w:pPr>
              <w:pStyle w:val="NormalWeb"/>
              <w:numPr>
                <w:ilvl w:val="1"/>
                <w:numId w:val="3"/>
              </w:numPr>
              <w:rPr>
                <w:rFonts w:ascii="Arial" w:hAnsi="Arial" w:cs="Arial"/>
                <w:sz w:val="20"/>
                <w:szCs w:val="20"/>
              </w:rPr>
            </w:pPr>
            <w:r w:rsidRPr="00A86C6C">
              <w:rPr>
                <w:rFonts w:ascii="Arial" w:hAnsi="Arial" w:cs="Arial"/>
                <w:sz w:val="20"/>
                <w:szCs w:val="20"/>
              </w:rPr>
              <w:t>if a plan of development provides for only one built to boundary wall on the one boundary, not more than 200mm; or</w:t>
            </w:r>
          </w:p>
          <w:p w:rsidR="00A86C6C" w:rsidRPr="00A86C6C" w:rsidRDefault="00A86C6C" w:rsidP="00835683">
            <w:pPr>
              <w:pStyle w:val="NormalWeb"/>
              <w:numPr>
                <w:ilvl w:val="1"/>
                <w:numId w:val="3"/>
              </w:numPr>
              <w:rPr>
                <w:rFonts w:ascii="Arial" w:hAnsi="Arial" w:cs="Arial"/>
                <w:sz w:val="20"/>
                <w:szCs w:val="20"/>
              </w:rPr>
            </w:pPr>
            <w:r w:rsidRPr="00A86C6C">
              <w:rPr>
                <w:rFonts w:ascii="Arial" w:hAnsi="Arial" w:cs="Arial"/>
                <w:sz w:val="20"/>
                <w:szCs w:val="20"/>
              </w:rPr>
              <w:t>if a built to boundary wall may be built on each side of the same boundary, not more than 20mm;</w:t>
            </w:r>
          </w:p>
          <w:p w:rsidR="00A86C6C" w:rsidRPr="00A86C6C" w:rsidRDefault="00A86C6C" w:rsidP="00835683">
            <w:pPr>
              <w:pStyle w:val="NormalWeb"/>
              <w:numPr>
                <w:ilvl w:val="0"/>
                <w:numId w:val="3"/>
              </w:numPr>
              <w:rPr>
                <w:rFonts w:ascii="Arial" w:hAnsi="Arial" w:cs="Arial"/>
                <w:sz w:val="20"/>
                <w:szCs w:val="20"/>
              </w:rPr>
            </w:pPr>
            <w:r w:rsidRPr="00A86C6C">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w:t>
                  </w:r>
                  <w:proofErr w:type="gramStart"/>
                  <w:r w:rsidRPr="007B56B9">
                    <w:rPr>
                      <w:rFonts w:ascii="Arial" w:hAnsi="Arial" w:cs="Arial"/>
                      <w:sz w:val="18"/>
                      <w:szCs w:val="20"/>
                    </w:rPr>
                    <w:t>a</w:t>
                  </w:r>
                  <w:proofErr w:type="gramEnd"/>
                  <w:r w:rsidRPr="007B56B9">
                    <w:rPr>
                      <w:rFonts w:ascii="Arial" w:hAnsi="Arial" w:cs="Arial"/>
                      <w:sz w:val="18"/>
                      <w:szCs w:val="20"/>
                    </w:rPr>
                    <w:t xml:space="preserve"> 'easement for maintenance purposes' is recommended. </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above setbacks apply only to Class 1a and Class 10a buildings/structures.</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A1 (a), (b) and (c), A2 (a), (b) and (d) and part MP1.2, A1 (a), (b) and (c), A2 (a), (b) and (d). Non-compliance with this provision for a Dwelling house</w:t>
                  </w:r>
                  <w:r w:rsidRPr="007B56B9">
                    <w:rPr>
                      <w:rFonts w:ascii="Arial" w:hAnsi="Arial" w:cs="Arial"/>
                      <w:sz w:val="18"/>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A wall is not to be built to the boundary if it has a window or if a wall of a building on an adjoining lot:</w:t>
                  </w:r>
                </w:p>
                <w:p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within 900mm of that boundary;</w:t>
                  </w:r>
                </w:p>
                <w:p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within 1.5m of that boundary and has an opening/window to a habitable room;</w:t>
                  </w:r>
                </w:p>
                <w:p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not constructed from masonry or other material fire rated in accordance with the Building Code of Australia.</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Site cover</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7B56B9">
        <w:trPr>
          <w:trHeight w:val="656"/>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Site cover (excluding eaves, sun shading devices, patios, balconies and other unenclosed structures) does not exceed:</w:t>
            </w:r>
          </w:p>
          <w:p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Emerging community zone:</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Transition precinct (developed lot) - in accordance with the table below</w:t>
            </w:r>
          </w:p>
          <w:p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General residential zone:</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 xml:space="preserve">Coastal </w:t>
            </w:r>
            <w:proofErr w:type="gramStart"/>
            <w:r w:rsidRPr="00A86C6C">
              <w:rPr>
                <w:rFonts w:ascii="Arial" w:hAnsi="Arial" w:cs="Arial"/>
                <w:sz w:val="20"/>
                <w:szCs w:val="20"/>
              </w:rPr>
              <w:t>communities</w:t>
            </w:r>
            <w:proofErr w:type="gramEnd"/>
            <w:r w:rsidRPr="00A86C6C">
              <w:rPr>
                <w:rFonts w:ascii="Arial" w:hAnsi="Arial" w:cs="Arial"/>
                <w:sz w:val="20"/>
                <w:szCs w:val="20"/>
              </w:rPr>
              <w:t xml:space="preserve"> precinct – 50%</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Suburban neighbourhood precinct – 50%</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Next generation neighbourhood precinct – in accordance with the table below</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lastRenderedPageBreak/>
              <w:t>Urban neighbourhood precinct – in accordance with the table below</w:t>
            </w:r>
          </w:p>
          <w:p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Caboolture west local plan:</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Urban living precinct - Next generation sub-precinct - in accordance with the table below</w:t>
            </w:r>
          </w:p>
          <w:p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Redcliffe Kippa-Ring local plan:</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Interim residential precinct - 50%</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11"/>
              <w:gridCol w:w="1384"/>
              <w:gridCol w:w="1141"/>
              <w:gridCol w:w="1141"/>
              <w:gridCol w:w="1250"/>
              <w:gridCol w:w="2138"/>
            </w:tblGrid>
            <w:tr w:rsidR="00A86C6C" w:rsidRPr="00A86C6C" w:rsidTr="00A86C6C">
              <w:trPr>
                <w:tblCellSpacing w:w="15" w:type="dxa"/>
              </w:trPr>
              <w:tc>
                <w:tcPr>
                  <w:tcW w:w="2631"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Building height</w:t>
                  </w:r>
                </w:p>
              </w:tc>
              <w:tc>
                <w:tcPr>
                  <w:tcW w:w="11635" w:type="dxa"/>
                  <w:gridSpan w:val="5"/>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Lot Size</w:t>
                  </w:r>
                </w:p>
              </w:tc>
            </w:tr>
            <w:tr w:rsidR="00A86C6C" w:rsidRPr="00A86C6C" w:rsidTr="00A86C6C">
              <w:trPr>
                <w:tblCellSpacing w:w="15" w:type="dxa"/>
              </w:trPr>
              <w:tc>
                <w:tcPr>
                  <w:tcW w:w="2631" w:type="dxa"/>
                  <w:vMerge/>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hAnsi="Arial" w:cs="Arial"/>
                      <w:sz w:val="20"/>
                      <w:szCs w:val="20"/>
                    </w:rPr>
                  </w:pPr>
                </w:p>
              </w:tc>
              <w:tc>
                <w:tcPr>
                  <w:tcW w:w="2262"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300m</w:t>
                  </w:r>
                  <w:r w:rsidRPr="00A86C6C">
                    <w:rPr>
                      <w:rStyle w:val="Strong"/>
                      <w:rFonts w:ascii="Arial" w:hAnsi="Arial" w:cs="Arial"/>
                      <w:sz w:val="20"/>
                      <w:szCs w:val="20"/>
                      <w:vertAlign w:val="superscript"/>
                    </w:rPr>
                    <w:t>2</w:t>
                  </w:r>
                  <w:r w:rsidRPr="00A86C6C">
                    <w:rPr>
                      <w:rStyle w:val="Strong"/>
                      <w:rFonts w:ascii="Arial" w:hAnsi="Arial" w:cs="Arial"/>
                      <w:sz w:val="20"/>
                      <w:szCs w:val="20"/>
                    </w:rPr>
                    <w:t xml:space="preserve"> or less</w:t>
                  </w:r>
                </w:p>
              </w:tc>
              <w:tc>
                <w:tcPr>
                  <w:tcW w:w="1841"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301-400m</w:t>
                  </w:r>
                  <w:r w:rsidRPr="00A86C6C">
                    <w:rPr>
                      <w:rStyle w:val="Strong"/>
                      <w:rFonts w:ascii="Arial" w:hAnsi="Arial" w:cs="Arial"/>
                      <w:sz w:val="20"/>
                      <w:szCs w:val="20"/>
                      <w:vertAlign w:val="superscript"/>
                    </w:rPr>
                    <w:t>2</w:t>
                  </w:r>
                </w:p>
              </w:tc>
              <w:tc>
                <w:tcPr>
                  <w:tcW w:w="1841"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401-500m</w:t>
                  </w:r>
                  <w:r w:rsidRPr="00A86C6C">
                    <w:rPr>
                      <w:rStyle w:val="Strong"/>
                      <w:rFonts w:ascii="Arial" w:hAnsi="Arial" w:cs="Arial"/>
                      <w:sz w:val="20"/>
                      <w:szCs w:val="20"/>
                      <w:vertAlign w:val="superscript"/>
                    </w:rPr>
                    <w:t>2</w:t>
                  </w:r>
                </w:p>
              </w:tc>
              <w:tc>
                <w:tcPr>
                  <w:tcW w:w="2030"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501-1000m</w:t>
                  </w:r>
                  <w:r w:rsidRPr="00A86C6C">
                    <w:rPr>
                      <w:rStyle w:val="Strong"/>
                      <w:rFonts w:ascii="Arial" w:hAnsi="Arial" w:cs="Arial"/>
                      <w:sz w:val="20"/>
                      <w:szCs w:val="20"/>
                      <w:vertAlign w:val="superscript"/>
                    </w:rPr>
                    <w:t>2</w:t>
                  </w:r>
                </w:p>
              </w:tc>
              <w:tc>
                <w:tcPr>
                  <w:tcW w:w="3541"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Greater than 1000m</w:t>
                  </w:r>
                  <w:r w:rsidRPr="00A86C6C">
                    <w:rPr>
                      <w:rStyle w:val="Strong"/>
                      <w:rFonts w:ascii="Arial" w:hAnsi="Arial" w:cs="Arial"/>
                      <w:sz w:val="20"/>
                      <w:szCs w:val="20"/>
                      <w:vertAlign w:val="superscript"/>
                    </w:rPr>
                    <w:t>2</w:t>
                  </w:r>
                </w:p>
              </w:tc>
            </w:tr>
            <w:tr w:rsidR="00A86C6C" w:rsidRPr="00A86C6C" w:rsidTr="00A86C6C">
              <w:trPr>
                <w:tblCellSpacing w:w="15" w:type="dxa"/>
              </w:trPr>
              <w:tc>
                <w:tcPr>
                  <w:tcW w:w="263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8.5m or less</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75%</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70%</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w:t>
                  </w:r>
                </w:p>
              </w:tc>
              <w:tc>
                <w:tcPr>
                  <w:tcW w:w="35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w:t>
                  </w:r>
                </w:p>
              </w:tc>
            </w:tr>
            <w:tr w:rsidR="00A86C6C" w:rsidRPr="00A86C6C" w:rsidTr="00A86C6C">
              <w:trPr>
                <w:tblCellSpacing w:w="15" w:type="dxa"/>
              </w:trPr>
              <w:tc>
                <w:tcPr>
                  <w:tcW w:w="263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&gt;8.5m – 12.0m</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c>
                <w:tcPr>
                  <w:tcW w:w="35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r>
            <w:tr w:rsidR="00A86C6C" w:rsidRPr="00A86C6C" w:rsidTr="00A86C6C">
              <w:trPr>
                <w:tblCellSpacing w:w="15" w:type="dxa"/>
              </w:trPr>
              <w:tc>
                <w:tcPr>
                  <w:tcW w:w="263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&gt;12.0m</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N/A</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N/A</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N/A</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c>
                <w:tcPr>
                  <w:tcW w:w="35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40%</w:t>
                  </w:r>
                </w:p>
              </w:tc>
            </w:tr>
          </w:tbl>
          <w:p w:rsidR="00A86C6C" w:rsidRPr="00A86C6C" w:rsidRDefault="00A86C6C" w:rsidP="00A86C6C">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is an alternative provision to the QDC, part MP1.1, A3 and part MP1.2, A3. Non-compliance with this provision for a Dwelling house</w:t>
                  </w:r>
                  <w:r w:rsidRPr="007B56B9">
                    <w:rPr>
                      <w:rFonts w:ascii="Arial" w:hAnsi="Arial" w:cs="Arial"/>
                      <w:sz w:val="18"/>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Car parking</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RAD6</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Car parking spaces are provided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9"/>
              <w:gridCol w:w="5565"/>
              <w:gridCol w:w="2840"/>
              <w:gridCol w:w="201"/>
            </w:tblGrid>
            <w:tr w:rsidR="00A86C6C" w:rsidRPr="00A86C6C" w:rsidTr="00A86C6C">
              <w:trPr>
                <w:gridBefore w:val="1"/>
                <w:gridAfter w:val="1"/>
                <w:wAfter w:w="85"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Location</w:t>
                  </w:r>
                </w:p>
                <w:p w:rsidR="00A86C6C" w:rsidRPr="00A86C6C" w:rsidRDefault="00A86C6C" w:rsidP="00A86C6C">
                  <w:pPr>
                    <w:rPr>
                      <w:rFonts w:ascii="Arial" w:eastAsia="Times New Roman" w:hAnsi="Arial" w:cs="Arial"/>
                      <w:sz w:val="20"/>
                      <w:szCs w:val="20"/>
                    </w:rPr>
                  </w:pPr>
                </w:p>
              </w:tc>
              <w:tc>
                <w:tcPr>
                  <w:tcW w:w="1650" w:type="pc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 xml:space="preserve">Minimum number of </w:t>
                  </w:r>
                  <w:proofErr w:type="spellStart"/>
                  <w:r w:rsidRPr="00A86C6C">
                    <w:rPr>
                      <w:rStyle w:val="Strong"/>
                      <w:rFonts w:ascii="Arial" w:hAnsi="Arial" w:cs="Arial"/>
                      <w:sz w:val="20"/>
                      <w:szCs w:val="20"/>
                    </w:rPr>
                    <w:t>carspaces</w:t>
                  </w:r>
                  <w:proofErr w:type="spellEnd"/>
                  <w:r w:rsidRPr="00A86C6C">
                    <w:rPr>
                      <w:rStyle w:val="Strong"/>
                      <w:rFonts w:ascii="Arial" w:hAnsi="Arial" w:cs="Arial"/>
                      <w:sz w:val="20"/>
                      <w:szCs w:val="20"/>
                    </w:rPr>
                    <w:t xml:space="preserve"> to be provided</w:t>
                  </w:r>
                </w:p>
              </w:tc>
            </w:tr>
            <w:tr w:rsidR="00A86C6C" w:rsidRPr="00A86C6C" w:rsidTr="00A86C6C">
              <w:trPr>
                <w:gridBefore w:val="1"/>
                <w:gridAfter w:val="1"/>
                <w:wAfter w:w="85"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General residential zone:</w:t>
                  </w:r>
                </w:p>
                <w:p w:rsidR="00A86C6C" w:rsidRPr="00A86C6C" w:rsidRDefault="00A86C6C" w:rsidP="00835683">
                  <w:pPr>
                    <w:pStyle w:val="NormalWeb"/>
                    <w:numPr>
                      <w:ilvl w:val="0"/>
                      <w:numId w:val="6"/>
                    </w:numPr>
                    <w:rPr>
                      <w:rFonts w:ascii="Arial" w:hAnsi="Arial" w:cs="Arial"/>
                      <w:sz w:val="20"/>
                      <w:szCs w:val="20"/>
                    </w:rPr>
                  </w:pPr>
                  <w:r w:rsidRPr="00A86C6C">
                    <w:rPr>
                      <w:rFonts w:ascii="Arial" w:hAnsi="Arial" w:cs="Arial"/>
                      <w:sz w:val="20"/>
                      <w:szCs w:val="20"/>
                    </w:rPr>
                    <w:t xml:space="preserve">Coastal </w:t>
                  </w:r>
                  <w:proofErr w:type="gramStart"/>
                  <w:r w:rsidRPr="00A86C6C">
                    <w:rPr>
                      <w:rFonts w:ascii="Arial" w:hAnsi="Arial" w:cs="Arial"/>
                      <w:sz w:val="20"/>
                      <w:szCs w:val="20"/>
                    </w:rPr>
                    <w:t>communities</w:t>
                  </w:r>
                  <w:proofErr w:type="gramEnd"/>
                  <w:r w:rsidRPr="00A86C6C">
                    <w:rPr>
                      <w:rFonts w:ascii="Arial" w:hAnsi="Arial" w:cs="Arial"/>
                      <w:sz w:val="20"/>
                      <w:szCs w:val="20"/>
                    </w:rPr>
                    <w:t xml:space="preserve"> precinct</w:t>
                  </w:r>
                </w:p>
                <w:p w:rsidR="00A86C6C" w:rsidRPr="00A86C6C" w:rsidRDefault="00A86C6C" w:rsidP="00835683">
                  <w:pPr>
                    <w:pStyle w:val="NormalWeb"/>
                    <w:numPr>
                      <w:ilvl w:val="0"/>
                      <w:numId w:val="6"/>
                    </w:numPr>
                    <w:rPr>
                      <w:rFonts w:ascii="Arial" w:hAnsi="Arial" w:cs="Arial"/>
                      <w:sz w:val="20"/>
                      <w:szCs w:val="20"/>
                    </w:rPr>
                  </w:pPr>
                  <w:r w:rsidRPr="00A86C6C">
                    <w:rPr>
                      <w:rFonts w:ascii="Arial" w:hAnsi="Arial" w:cs="Arial"/>
                      <w:sz w:val="20"/>
                      <w:szCs w:val="20"/>
                    </w:rPr>
                    <w:t>Suburban neighbourhood precinct</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Redcliffe Kippa-Ring local plan:</w:t>
                  </w:r>
                </w:p>
                <w:p w:rsidR="00A86C6C" w:rsidRPr="00A86C6C" w:rsidRDefault="00A86C6C" w:rsidP="00835683">
                  <w:pPr>
                    <w:pStyle w:val="NormalWeb"/>
                    <w:numPr>
                      <w:ilvl w:val="0"/>
                      <w:numId w:val="7"/>
                    </w:numPr>
                    <w:rPr>
                      <w:rFonts w:ascii="Arial" w:hAnsi="Arial" w:cs="Arial"/>
                      <w:sz w:val="20"/>
                      <w:szCs w:val="20"/>
                    </w:rPr>
                  </w:pPr>
                  <w:r w:rsidRPr="00A86C6C">
                    <w:rPr>
                      <w:rFonts w:ascii="Arial" w:hAnsi="Arial" w:cs="Arial"/>
                      <w:sz w:val="20"/>
                      <w:szCs w:val="20"/>
                    </w:rPr>
                    <w:t>Interim residential precinct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3 per Dwelling house</w:t>
                  </w:r>
                  <w:r w:rsidRPr="00A86C6C">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tc>
            </w:tr>
            <w:tr w:rsidR="00A86C6C" w:rsidRPr="00A86C6C" w:rsidTr="00A86C6C">
              <w:trPr>
                <w:gridBefore w:val="1"/>
                <w:gridAfter w:val="1"/>
                <w:wAfter w:w="85"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Emerging community zone:</w:t>
                  </w:r>
                </w:p>
                <w:p w:rsidR="00A86C6C" w:rsidRPr="00A86C6C" w:rsidRDefault="00A86C6C" w:rsidP="00835683">
                  <w:pPr>
                    <w:pStyle w:val="NormalWeb"/>
                    <w:numPr>
                      <w:ilvl w:val="0"/>
                      <w:numId w:val="8"/>
                    </w:numPr>
                    <w:rPr>
                      <w:rFonts w:ascii="Arial" w:hAnsi="Arial" w:cs="Arial"/>
                      <w:sz w:val="20"/>
                      <w:szCs w:val="20"/>
                    </w:rPr>
                  </w:pPr>
                  <w:r w:rsidRPr="00A86C6C">
                    <w:rPr>
                      <w:rFonts w:ascii="Arial" w:hAnsi="Arial" w:cs="Arial"/>
                      <w:sz w:val="20"/>
                      <w:szCs w:val="20"/>
                    </w:rPr>
                    <w:lastRenderedPageBreak/>
                    <w:t>Transition precinct (developed lot)</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General residential zone:</w:t>
                  </w:r>
                </w:p>
                <w:p w:rsidR="00A86C6C" w:rsidRPr="00A86C6C" w:rsidRDefault="00A86C6C" w:rsidP="00835683">
                  <w:pPr>
                    <w:pStyle w:val="NormalWeb"/>
                    <w:numPr>
                      <w:ilvl w:val="0"/>
                      <w:numId w:val="9"/>
                    </w:numPr>
                    <w:rPr>
                      <w:rFonts w:ascii="Arial" w:hAnsi="Arial" w:cs="Arial"/>
                      <w:sz w:val="20"/>
                      <w:szCs w:val="20"/>
                    </w:rPr>
                  </w:pPr>
                  <w:r w:rsidRPr="00A86C6C">
                    <w:rPr>
                      <w:rFonts w:ascii="Arial" w:hAnsi="Arial" w:cs="Arial"/>
                      <w:sz w:val="20"/>
                      <w:szCs w:val="20"/>
                    </w:rPr>
                    <w:t>Next generation neighbourhood precinct</w:t>
                  </w:r>
                </w:p>
                <w:p w:rsidR="00A86C6C" w:rsidRPr="00A86C6C" w:rsidRDefault="00A86C6C" w:rsidP="00835683">
                  <w:pPr>
                    <w:pStyle w:val="NormalWeb"/>
                    <w:numPr>
                      <w:ilvl w:val="0"/>
                      <w:numId w:val="9"/>
                    </w:numPr>
                    <w:rPr>
                      <w:rFonts w:ascii="Arial" w:hAnsi="Arial" w:cs="Arial"/>
                      <w:sz w:val="20"/>
                      <w:szCs w:val="20"/>
                    </w:rPr>
                  </w:pPr>
                  <w:r w:rsidRPr="00A86C6C">
                    <w:rPr>
                      <w:rFonts w:ascii="Arial" w:hAnsi="Arial" w:cs="Arial"/>
                      <w:sz w:val="20"/>
                      <w:szCs w:val="20"/>
                    </w:rPr>
                    <w:t>Urban neighbourhood precinct</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Caboolture west local plan code:</w:t>
                  </w:r>
                </w:p>
                <w:p w:rsidR="00A86C6C" w:rsidRPr="00A86C6C" w:rsidRDefault="00A86C6C" w:rsidP="00835683">
                  <w:pPr>
                    <w:pStyle w:val="NormalWeb"/>
                    <w:numPr>
                      <w:ilvl w:val="0"/>
                      <w:numId w:val="10"/>
                    </w:numPr>
                    <w:rPr>
                      <w:rFonts w:ascii="Arial" w:hAnsi="Arial" w:cs="Arial"/>
                      <w:sz w:val="20"/>
                      <w:szCs w:val="20"/>
                    </w:rPr>
                  </w:pPr>
                  <w:r w:rsidRPr="00A86C6C">
                    <w:rPr>
                      <w:rFonts w:ascii="Arial" w:hAnsi="Arial" w:cs="Arial"/>
                      <w:sz w:val="20"/>
                      <w:szCs w:val="20"/>
                    </w:rPr>
                    <w:t>Urban living precinct - Next generation sub-precinct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lastRenderedPageBreak/>
                    <w:t>1 per Dwelling house</w:t>
                  </w:r>
                  <w:r w:rsidRPr="00A86C6C">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tc>
            </w:tr>
            <w:tr w:rsidR="00A86C6C" w:rsidRPr="007B56B9" w:rsidTr="00A86C6C">
              <w:tblPrEx>
                <w:tblBorders>
                  <w:top w:val="none" w:sz="0" w:space="0" w:color="auto"/>
                  <w:left w:val="none" w:sz="0" w:space="0" w:color="auto"/>
                  <w:bottom w:val="none" w:sz="0" w:space="0" w:color="auto"/>
                  <w:right w:val="none" w:sz="0" w:space="0" w:color="auto"/>
                </w:tblBorders>
              </w:tblPrEx>
              <w:trPr>
                <w:tblCellSpacing w:w="15" w:type="dxa"/>
              </w:trPr>
              <w:tc>
                <w:tcPr>
                  <w:tcW w:w="14296" w:type="dxa"/>
                  <w:gridSpan w:val="4"/>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Does not include the parking of Heavy Vehicles or Heavy Machinery.</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A8 and par MP1.2, A8. Non-compliance with this provision for a Dwelling house</w:t>
                  </w:r>
                  <w:r w:rsidRPr="007B56B9">
                    <w:rPr>
                      <w:rFonts w:ascii="Arial" w:hAnsi="Arial" w:cs="Arial"/>
                      <w:sz w:val="18"/>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provision of the third parking space may be provided in tandem on site.</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RAD7</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Garage and carport openings, where located within 20m of the site frontage, are in accordance with the table below: </w:t>
            </w:r>
          </w:p>
          <w:tbl>
            <w:tblPr>
              <w:tblW w:w="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325"/>
              <w:gridCol w:w="10457"/>
              <w:gridCol w:w="75"/>
            </w:tblGrid>
            <w:tr w:rsidR="00A86C6C" w:rsidRPr="00A86C6C" w:rsidTr="00A86C6C">
              <w:trPr>
                <w:gridBefore w:val="1"/>
                <w:gridAfter w:val="1"/>
                <w:wAfter w:w="30" w:type="dxa"/>
                <w:tblCellSpacing w:w="15" w:type="dxa"/>
              </w:trPr>
              <w:tc>
                <w:tcPr>
                  <w:tcW w:w="3295"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Primary or Secondary frontage</w:t>
                  </w:r>
                </w:p>
              </w:tc>
              <w:tc>
                <w:tcPr>
                  <w:tcW w:w="10427"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Covered car space opening(s) per street frontage</w:t>
                  </w:r>
                </w:p>
              </w:tc>
            </w:tr>
            <w:tr w:rsidR="00A86C6C" w:rsidRPr="00A86C6C" w:rsidTr="00A86C6C">
              <w:trPr>
                <w:gridBefore w:val="1"/>
                <w:gridAfter w:val="1"/>
                <w:wAfter w:w="30" w:type="dxa"/>
                <w:tblCellSpacing w:w="15" w:type="dxa"/>
              </w:trPr>
              <w:tc>
                <w:tcPr>
                  <w:tcW w:w="3295"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Greater than 18m</w:t>
                  </w:r>
                </w:p>
              </w:tc>
              <w:tc>
                <w:tcPr>
                  <w:tcW w:w="10427"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Not specified</w:t>
                  </w:r>
                </w:p>
              </w:tc>
            </w:tr>
            <w:tr w:rsidR="00A86C6C" w:rsidRPr="00A86C6C" w:rsidTr="00A86C6C">
              <w:trPr>
                <w:gridBefore w:val="1"/>
                <w:gridAfter w:val="1"/>
                <w:wAfter w:w="30" w:type="dxa"/>
                <w:tblCellSpacing w:w="15" w:type="dxa"/>
              </w:trPr>
              <w:tc>
                <w:tcPr>
                  <w:tcW w:w="3295"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12.5m to 18m</w:t>
                  </w:r>
                </w:p>
              </w:tc>
              <w:tc>
                <w:tcPr>
                  <w:tcW w:w="10427"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6m wide maximum</w:t>
                  </w:r>
                </w:p>
              </w:tc>
            </w:tr>
            <w:tr w:rsidR="00A86C6C" w:rsidRPr="00A86C6C" w:rsidTr="00A86C6C">
              <w:trPr>
                <w:gridBefore w:val="1"/>
                <w:gridAfter w:val="1"/>
                <w:wAfter w:w="30" w:type="dxa"/>
                <w:tblCellSpacing w:w="15" w:type="dxa"/>
              </w:trPr>
              <w:tc>
                <w:tcPr>
                  <w:tcW w:w="3295"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Less than 12.5m*</w:t>
                  </w:r>
                </w:p>
              </w:tc>
              <w:tc>
                <w:tcPr>
                  <w:tcW w:w="10427"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Single storey dwelling:</w:t>
                  </w:r>
                </w:p>
                <w:p w:rsidR="00A86C6C" w:rsidRPr="00A86C6C" w:rsidRDefault="00A86C6C" w:rsidP="00835683">
                  <w:pPr>
                    <w:numPr>
                      <w:ilvl w:val="0"/>
                      <w:numId w:val="11"/>
                    </w:numPr>
                    <w:spacing w:before="100" w:beforeAutospacing="1" w:after="100" w:afterAutospacing="1"/>
                    <w:rPr>
                      <w:rFonts w:ascii="Arial" w:hAnsi="Arial" w:cs="Arial"/>
                      <w:sz w:val="20"/>
                      <w:szCs w:val="20"/>
                    </w:rPr>
                  </w:pPr>
                  <w:r w:rsidRPr="00A86C6C">
                    <w:rPr>
                      <w:rFonts w:ascii="Arial" w:hAnsi="Arial" w:cs="Arial"/>
                      <w:sz w:val="20"/>
                      <w:szCs w:val="20"/>
                    </w:rPr>
                    <w:t>maximum 50% of the frontage width (being the frontage vehicle access is from);</w:t>
                  </w:r>
                </w:p>
                <w:p w:rsidR="00A86C6C" w:rsidRPr="00A86C6C" w:rsidRDefault="00A86C6C" w:rsidP="00835683">
                  <w:pPr>
                    <w:numPr>
                      <w:ilvl w:val="0"/>
                      <w:numId w:val="11"/>
                    </w:numPr>
                    <w:spacing w:before="100" w:beforeAutospacing="1" w:after="100" w:afterAutospacing="1"/>
                    <w:rPr>
                      <w:rFonts w:ascii="Arial" w:hAnsi="Arial" w:cs="Arial"/>
                      <w:sz w:val="20"/>
                      <w:szCs w:val="20"/>
                    </w:rPr>
                  </w:pPr>
                  <w:r w:rsidRPr="00A86C6C">
                    <w:rPr>
                      <w:rFonts w:ascii="Arial" w:hAnsi="Arial" w:cs="Arial"/>
                      <w:sz w:val="20"/>
                      <w:szCs w:val="20"/>
                    </w:rPr>
                    <w:t>recessed:</w:t>
                  </w:r>
                </w:p>
                <w:p w:rsidR="00A86C6C" w:rsidRPr="00A86C6C" w:rsidRDefault="00A86C6C" w:rsidP="00835683">
                  <w:pPr>
                    <w:numPr>
                      <w:ilvl w:val="1"/>
                      <w:numId w:val="11"/>
                    </w:numPr>
                    <w:spacing w:before="100" w:beforeAutospacing="1" w:after="100" w:afterAutospacing="1"/>
                    <w:rPr>
                      <w:rFonts w:ascii="Arial" w:hAnsi="Arial" w:cs="Arial"/>
                      <w:sz w:val="20"/>
                      <w:szCs w:val="20"/>
                    </w:rPr>
                  </w:pPr>
                  <w:r w:rsidRPr="00A86C6C">
                    <w:rPr>
                      <w:rFonts w:ascii="Arial" w:hAnsi="Arial" w:cs="Arial"/>
                      <w:sz w:val="20"/>
                      <w:szCs w:val="20"/>
                    </w:rPr>
                    <w:t>at least 1.0m behind the main building line;</w:t>
                  </w:r>
                  <w:r w:rsidRPr="00A86C6C">
                    <w:rPr>
                      <w:rFonts w:ascii="Arial" w:hAnsi="Arial" w:cs="Arial"/>
                      <w:sz w:val="20"/>
                      <w:szCs w:val="20"/>
                    </w:rPr>
                    <w:br/>
                    <w:t>or</w:t>
                  </w:r>
                </w:p>
                <w:p w:rsidR="00A86C6C" w:rsidRPr="00A86C6C" w:rsidRDefault="00A86C6C" w:rsidP="00835683">
                  <w:pPr>
                    <w:numPr>
                      <w:ilvl w:val="1"/>
                      <w:numId w:val="11"/>
                    </w:numPr>
                    <w:spacing w:before="100" w:beforeAutospacing="1" w:after="100" w:afterAutospacing="1"/>
                    <w:rPr>
                      <w:rFonts w:ascii="Arial" w:hAnsi="Arial" w:cs="Arial"/>
                      <w:sz w:val="20"/>
                      <w:szCs w:val="20"/>
                    </w:rPr>
                  </w:pPr>
                  <w:r w:rsidRPr="00A86C6C">
                    <w:rPr>
                      <w:rFonts w:ascii="Arial" w:hAnsi="Arial" w:cs="Arial"/>
                      <w:sz w:val="20"/>
                      <w:szCs w:val="20"/>
                    </w:rPr>
                    <w:t>at least 1.0m behind a front portico and no more than 2.0m in front of the main building line.</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Two storey dwelling:</w:t>
                  </w:r>
                </w:p>
                <w:p w:rsidR="00A86C6C" w:rsidRPr="00A86C6C" w:rsidRDefault="00A86C6C" w:rsidP="00835683">
                  <w:pPr>
                    <w:numPr>
                      <w:ilvl w:val="0"/>
                      <w:numId w:val="12"/>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6.0m wide maximum;</w:t>
                  </w:r>
                </w:p>
                <w:p w:rsidR="00A86C6C" w:rsidRPr="00A86C6C" w:rsidRDefault="00A86C6C" w:rsidP="00835683">
                  <w:pPr>
                    <w:numPr>
                      <w:ilvl w:val="0"/>
                      <w:numId w:val="12"/>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recessed 1.0m behind the front wall or balcony of upper level.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22"/>
                  </w:tblGrid>
                  <w:tr w:rsidR="00A86C6C" w:rsidRPr="00A86C6C" w:rsidTr="00A86C6C">
                    <w:trPr>
                      <w:tblCellSpacing w:w="15" w:type="dxa"/>
                    </w:trPr>
                    <w:tc>
                      <w:tcPr>
                        <w:tcW w:w="10277" w:type="dxa"/>
                        <w:vAlign w:val="center"/>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lastRenderedPageBreak/>
                          <w:t>Editor's note - Front wall is to have a minimum length of 40% of the adjoining frontage.</w:t>
                        </w:r>
                      </w:p>
                    </w:tc>
                  </w:tr>
                </w:tbl>
                <w:p w:rsidR="00A86C6C" w:rsidRPr="00A86C6C" w:rsidRDefault="00A86C6C" w:rsidP="00A86C6C">
                  <w:pPr>
                    <w:pStyle w:val="NormalWeb"/>
                    <w:rPr>
                      <w:rFonts w:ascii="Arial" w:hAnsi="Arial" w:cs="Arial"/>
                      <w:sz w:val="20"/>
                      <w:szCs w:val="20"/>
                    </w:rPr>
                  </w:pPr>
                  <w:r w:rsidRPr="00A86C6C">
                    <w:rPr>
                      <w:rFonts w:ascii="Arial" w:hAnsi="Arial" w:cs="Arial"/>
                      <w:sz w:val="20"/>
                      <w:szCs w:val="20"/>
                    </w:rPr>
                    <w:t>OR</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For a laneway lot (Single or two storey): no maximum</w:t>
                  </w:r>
                </w:p>
              </w:tc>
            </w:tr>
            <w:tr w:rsidR="00A86C6C" w:rsidRPr="007B56B9" w:rsidTr="00A86C6C">
              <w:tblPrEx>
                <w:tblBorders>
                  <w:top w:val="none" w:sz="0" w:space="0" w:color="auto"/>
                  <w:left w:val="none" w:sz="0" w:space="0" w:color="auto"/>
                  <w:bottom w:val="none" w:sz="0" w:space="0" w:color="auto"/>
                  <w:right w:val="none" w:sz="0" w:space="0" w:color="auto"/>
                </w:tblBorders>
              </w:tblPrEx>
              <w:trPr>
                <w:tblCellSpacing w:w="15" w:type="dxa"/>
              </w:trPr>
              <w:tc>
                <w:tcPr>
                  <w:tcW w:w="13842" w:type="dxa"/>
                  <w:gridSpan w:val="4"/>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*For a laneway lot, vehicle access and parking must be provided via the laneway.</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rHeight w:val="255"/>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 Residential design for details and examples.</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A1 (b). Non-compliance with this provision for a Dwelling house</w:t>
                  </w:r>
                  <w:r w:rsidRPr="007B56B9">
                    <w:rPr>
                      <w:rFonts w:ascii="Arial" w:hAnsi="Arial" w:cs="Arial"/>
                      <w:sz w:val="18"/>
                      <w:szCs w:val="20"/>
                      <w:vertAlign w:val="superscript"/>
                    </w:rPr>
                    <w:t>(</w:t>
                  </w:r>
                  <w:hyperlink r:id="rId2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on a lot under 450m</w:t>
                  </w:r>
                  <w:r w:rsidRPr="007B56B9">
                    <w:rPr>
                      <w:rFonts w:ascii="Arial" w:hAnsi="Arial" w:cs="Arial"/>
                      <w:sz w:val="18"/>
                      <w:szCs w:val="20"/>
                      <w:vertAlign w:val="superscript"/>
                    </w:rPr>
                    <w:t>2</w:t>
                  </w:r>
                  <w:r w:rsidRPr="007B56B9">
                    <w:rPr>
                      <w:rFonts w:ascii="Arial" w:hAnsi="Arial" w:cs="Arial"/>
                      <w:sz w:val="18"/>
                      <w:szCs w:val="20"/>
                    </w:rPr>
                    <w:t xml:space="preserve"> requires a concurrence agency response from Council.</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the amenity and aesthetic impacts of the building or structure. Non-compliance with this provision for a Dwelling house</w:t>
                  </w:r>
                  <w:r w:rsidRPr="007B56B9">
                    <w:rPr>
                      <w:rFonts w:ascii="Arial" w:hAnsi="Arial" w:cs="Arial"/>
                      <w:sz w:val="18"/>
                      <w:szCs w:val="20"/>
                      <w:vertAlign w:val="superscript"/>
                    </w:rPr>
                    <w:t>(</w:t>
                  </w:r>
                  <w:hyperlink r:id="rId2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on a lot over 450m</w:t>
                  </w:r>
                  <w:r w:rsidRPr="007B56B9">
                    <w:rPr>
                      <w:rFonts w:ascii="Arial" w:hAnsi="Arial" w:cs="Arial"/>
                      <w:sz w:val="18"/>
                      <w:szCs w:val="20"/>
                      <w:vertAlign w:val="superscript"/>
                    </w:rPr>
                    <w:t>2</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Access and driveways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51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RAD8</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Any new crossovers and driveways or changes to existing crossovers and driveways:</w:t>
            </w:r>
          </w:p>
          <w:p w:rsidR="00A86C6C" w:rsidRPr="00A86C6C" w:rsidRDefault="00A86C6C" w:rsidP="00835683">
            <w:pPr>
              <w:numPr>
                <w:ilvl w:val="0"/>
                <w:numId w:val="13"/>
              </w:numPr>
              <w:spacing w:before="100" w:beforeAutospacing="1" w:after="100" w:afterAutospacing="1"/>
              <w:rPr>
                <w:rFonts w:ascii="Arial" w:hAnsi="Arial" w:cs="Arial"/>
                <w:sz w:val="20"/>
                <w:szCs w:val="20"/>
              </w:rPr>
            </w:pPr>
            <w:r w:rsidRPr="00A86C6C">
              <w:rPr>
                <w:rFonts w:ascii="Arial" w:hAnsi="Arial" w:cs="Arial"/>
                <w:sz w:val="20"/>
                <w:szCs w:val="20"/>
              </w:rPr>
              <w:t xml:space="preserve">if there is an approved plan of development, </w:t>
            </w:r>
            <w:proofErr w:type="gramStart"/>
            <w:r w:rsidRPr="00A86C6C">
              <w:rPr>
                <w:rFonts w:ascii="Arial" w:hAnsi="Arial" w:cs="Arial"/>
                <w:sz w:val="20"/>
                <w:szCs w:val="20"/>
              </w:rPr>
              <w:t>are located in</w:t>
            </w:r>
            <w:proofErr w:type="gramEnd"/>
            <w:r w:rsidRPr="00A86C6C">
              <w:rPr>
                <w:rFonts w:ascii="Arial" w:hAnsi="Arial" w:cs="Arial"/>
                <w:sz w:val="20"/>
                <w:szCs w:val="20"/>
              </w:rPr>
              <w:t xml:space="preserve"> accordance with the plan of development approved by council as part of a development approval or as otherwise amended by council in writing; or</w:t>
            </w:r>
          </w:p>
          <w:p w:rsidR="00A86C6C" w:rsidRPr="00A86C6C" w:rsidRDefault="00A86C6C" w:rsidP="00835683">
            <w:pPr>
              <w:numPr>
                <w:ilvl w:val="0"/>
                <w:numId w:val="13"/>
              </w:numPr>
              <w:spacing w:before="100" w:beforeAutospacing="1" w:after="100" w:afterAutospacing="1"/>
              <w:rPr>
                <w:rFonts w:ascii="Arial" w:hAnsi="Arial" w:cs="Arial"/>
                <w:sz w:val="20"/>
                <w:szCs w:val="20"/>
              </w:rPr>
            </w:pPr>
            <w:r w:rsidRPr="00A86C6C">
              <w:rPr>
                <w:rFonts w:ascii="Arial" w:hAnsi="Arial" w:cs="Arial"/>
                <w:sz w:val="20"/>
                <w:szCs w:val="20"/>
              </w:rPr>
              <w:t xml:space="preserve">if no approved plan of development applies to the land, </w:t>
            </w:r>
            <w:proofErr w:type="gramStart"/>
            <w:r w:rsidRPr="00A86C6C">
              <w:rPr>
                <w:rFonts w:ascii="Arial" w:hAnsi="Arial" w:cs="Arial"/>
                <w:sz w:val="20"/>
                <w:szCs w:val="20"/>
              </w:rPr>
              <w:t>are located in</w:t>
            </w:r>
            <w:proofErr w:type="gramEnd"/>
            <w:r w:rsidRPr="00A86C6C">
              <w:rPr>
                <w:rFonts w:ascii="Arial" w:hAnsi="Arial" w:cs="Arial"/>
                <w:sz w:val="20"/>
                <w:szCs w:val="20"/>
              </w:rPr>
              <w:t xml:space="preserve">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RAD9</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Driveways do not include a reversing bay, manoeuvring area or visitor parking spaces (other than tandem spaces) in the front setback.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2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79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RAD10</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Crossovers and driveways are designed and constructed in accordance with:</w:t>
            </w:r>
          </w:p>
          <w:p w:rsidR="00A86C6C" w:rsidRPr="00A86C6C" w:rsidRDefault="00A86C6C" w:rsidP="00835683">
            <w:pPr>
              <w:numPr>
                <w:ilvl w:val="0"/>
                <w:numId w:val="14"/>
              </w:numPr>
              <w:spacing w:before="100" w:beforeAutospacing="1" w:after="100" w:afterAutospacing="1"/>
              <w:rPr>
                <w:rFonts w:ascii="Arial" w:hAnsi="Arial" w:cs="Arial"/>
                <w:sz w:val="20"/>
                <w:szCs w:val="20"/>
              </w:rPr>
            </w:pPr>
            <w:r w:rsidRPr="00A86C6C">
              <w:rPr>
                <w:rFonts w:ascii="Arial" w:hAnsi="Arial" w:cs="Arial"/>
                <w:sz w:val="20"/>
                <w:szCs w:val="20"/>
              </w:rPr>
              <w:t>where for a Council-controlled road, Planning scheme policy - Integrated design;</w:t>
            </w:r>
          </w:p>
          <w:p w:rsidR="00A86C6C" w:rsidRPr="00A86C6C" w:rsidRDefault="00A86C6C" w:rsidP="00835683">
            <w:pPr>
              <w:numPr>
                <w:ilvl w:val="0"/>
                <w:numId w:val="14"/>
              </w:numPr>
              <w:spacing w:before="100" w:beforeAutospacing="1" w:after="100" w:afterAutospacing="1"/>
              <w:rPr>
                <w:rFonts w:ascii="Arial" w:hAnsi="Arial" w:cs="Arial"/>
                <w:sz w:val="20"/>
                <w:szCs w:val="20"/>
              </w:rPr>
            </w:pPr>
            <w:r w:rsidRPr="00A86C6C">
              <w:rPr>
                <w:rFonts w:ascii="Arial" w:hAnsi="Arial" w:cs="Arial"/>
                <w:sz w:val="20"/>
                <w:szCs w:val="20"/>
              </w:rPr>
              <w:lastRenderedPageBreak/>
              <w:t xml:space="preserve">where for a State-controlled road, the Safe Intersection Sight Distance requirements in </w:t>
            </w:r>
            <w:proofErr w:type="spellStart"/>
            <w:r w:rsidRPr="00A86C6C">
              <w:rPr>
                <w:rFonts w:ascii="Arial" w:hAnsi="Arial" w:cs="Arial"/>
                <w:sz w:val="20"/>
                <w:szCs w:val="20"/>
              </w:rPr>
              <w:t>AustRoads</w:t>
            </w:r>
            <w:proofErr w:type="spellEnd"/>
            <w:r w:rsidRPr="00A86C6C">
              <w:rPr>
                <w:rFonts w:ascii="Arial" w:hAnsi="Arial" w:cs="Arial"/>
                <w:sz w:val="20"/>
                <w:szCs w:val="20"/>
              </w:rPr>
              <w:t xml:space="preserve"> and the appropriate IPWEAQ standard drawings, or a copy of a Transport Infrastructure Act, section 62 approval.</w:t>
            </w:r>
          </w:p>
          <w:tbl>
            <w:tblPr>
              <w:tblW w:w="86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59"/>
            </w:tblGrid>
            <w:tr w:rsidR="00A86C6C" w:rsidRPr="00A86C6C" w:rsidTr="007B56B9">
              <w:trPr>
                <w:tblCellSpacing w:w="15" w:type="dxa"/>
              </w:trPr>
              <w:tc>
                <w:tcPr>
                  <w:tcW w:w="8599"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2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Casual surveillance</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RAD11</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house (or the primary dwelling if including a secondary dwelling) must address primary frontages (excluding motorway and arterial roads) with a minimum of a front door, window(s) and pedestrian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If an acoustic fence has been conditioned as part of a reconfiguring a lot approval this provision does not apply to that frontage.</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Overlay map - Road hierarchy for road classification.</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2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62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RAD12</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Each dwelling (primary and secondary), excluding domestic outbuildings and garages, that overlooks an adjoining public space (street, public open space or laneway) provides one habitable room window with an area of at least 1m</w:t>
            </w:r>
            <w:r w:rsidRPr="00A86C6C">
              <w:rPr>
                <w:rFonts w:ascii="Arial" w:hAnsi="Arial" w:cs="Arial"/>
                <w:sz w:val="20"/>
                <w:szCs w:val="20"/>
                <w:vertAlign w:val="superscript"/>
              </w:rPr>
              <w:t xml:space="preserve">2 </w:t>
            </w:r>
            <w:r w:rsidRPr="00A86C6C">
              <w:rPr>
                <w:rFonts w:ascii="Arial" w:hAnsi="Arial" w:cs="Arial"/>
                <w:sz w:val="20"/>
                <w:szCs w:val="20"/>
              </w:rPr>
              <w:t>or multiple habitable room windows having a combined area of at least 2.5m</w:t>
            </w:r>
            <w:r w:rsidRPr="00A86C6C">
              <w:rPr>
                <w:rFonts w:ascii="Arial" w:hAnsi="Arial" w:cs="Arial"/>
                <w:sz w:val="20"/>
                <w:szCs w:val="20"/>
                <w:vertAlign w:val="superscript"/>
              </w:rPr>
              <w:t xml:space="preserve">2 </w:t>
            </w:r>
            <w:r w:rsidRPr="00A86C6C">
              <w:rPr>
                <w:rFonts w:ascii="Arial" w:hAnsi="Arial" w:cs="Arial"/>
                <w:sz w:val="20"/>
                <w:szCs w:val="20"/>
              </w:rPr>
              <w:t>overlooking each adjoining public space (street, public open space or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Secondary dwellings are not required to provide a habitable room window where only the secondary dwelling garage overlooks the adjoining public space and all habitable rooms do not adjoin a public space.</w:t>
                  </w:r>
                </w:p>
              </w:tc>
            </w:tr>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2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Waste</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7B56B9">
        <w:trPr>
          <w:trHeight w:val="231"/>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RAD13</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Each dwelling (primary and secondary) includes a bin storage area that:</w:t>
            </w:r>
          </w:p>
          <w:p w:rsidR="00A86C6C" w:rsidRPr="00A86C6C" w:rsidRDefault="00A86C6C" w:rsidP="00835683">
            <w:pPr>
              <w:pStyle w:val="NormalWeb"/>
              <w:numPr>
                <w:ilvl w:val="0"/>
                <w:numId w:val="15"/>
              </w:numPr>
              <w:rPr>
                <w:rFonts w:ascii="Arial" w:hAnsi="Arial" w:cs="Arial"/>
                <w:sz w:val="20"/>
                <w:szCs w:val="20"/>
              </w:rPr>
            </w:pPr>
            <w:r w:rsidRPr="00A86C6C">
              <w:rPr>
                <w:rFonts w:ascii="Arial" w:hAnsi="Arial" w:cs="Arial"/>
                <w:sz w:val="20"/>
                <w:szCs w:val="20"/>
              </w:rPr>
              <w:t>is not visible from public areas or screened from public areas;</w:t>
            </w:r>
          </w:p>
          <w:p w:rsidR="00A86C6C" w:rsidRPr="00A86C6C" w:rsidRDefault="00A86C6C" w:rsidP="00835683">
            <w:pPr>
              <w:pStyle w:val="NormalWeb"/>
              <w:numPr>
                <w:ilvl w:val="0"/>
                <w:numId w:val="15"/>
              </w:numPr>
              <w:rPr>
                <w:rFonts w:ascii="Arial" w:hAnsi="Arial" w:cs="Arial"/>
                <w:sz w:val="20"/>
                <w:szCs w:val="20"/>
              </w:rPr>
            </w:pPr>
            <w:r w:rsidRPr="00A86C6C">
              <w:rPr>
                <w:rFonts w:ascii="Arial" w:hAnsi="Arial" w:cs="Arial"/>
                <w:sz w:val="20"/>
                <w:szCs w:val="20"/>
              </w:rPr>
              <w:t>is not located in the primary frontage setback, unless the dwelling is built to boundary on both sides of the lot with only one frontage;</w:t>
            </w:r>
          </w:p>
          <w:p w:rsidR="00A86C6C" w:rsidRPr="00A86C6C" w:rsidRDefault="00A86C6C" w:rsidP="00835683">
            <w:pPr>
              <w:pStyle w:val="NormalWeb"/>
              <w:numPr>
                <w:ilvl w:val="0"/>
                <w:numId w:val="15"/>
              </w:numPr>
              <w:rPr>
                <w:rFonts w:ascii="Arial" w:hAnsi="Arial" w:cs="Arial"/>
                <w:sz w:val="20"/>
                <w:szCs w:val="20"/>
              </w:rPr>
            </w:pPr>
            <w:r w:rsidRPr="00A86C6C">
              <w:rPr>
                <w:rFonts w:ascii="Arial" w:hAnsi="Arial" w:cs="Arial"/>
                <w:sz w:val="20"/>
                <w:szCs w:val="20"/>
              </w:rPr>
              <w:t>is not located in an enclosed garage;</w:t>
            </w:r>
          </w:p>
          <w:p w:rsidR="00A86C6C" w:rsidRPr="00A86C6C" w:rsidRDefault="00A86C6C" w:rsidP="00835683">
            <w:pPr>
              <w:pStyle w:val="NormalWeb"/>
              <w:numPr>
                <w:ilvl w:val="0"/>
                <w:numId w:val="15"/>
              </w:numPr>
              <w:rPr>
                <w:rFonts w:ascii="Arial" w:hAnsi="Arial" w:cs="Arial"/>
                <w:sz w:val="20"/>
                <w:szCs w:val="20"/>
              </w:rPr>
            </w:pPr>
            <w:r w:rsidRPr="00A86C6C">
              <w:rPr>
                <w:rFonts w:ascii="Arial" w:hAnsi="Arial" w:cs="Arial"/>
                <w:sz w:val="20"/>
                <w:szCs w:val="20"/>
              </w:rPr>
              <w:t>has a minimum area of 1m x 2m;</w:t>
            </w:r>
          </w:p>
          <w:p w:rsidR="00A86C6C" w:rsidRPr="00A86C6C" w:rsidRDefault="00A86C6C" w:rsidP="00835683">
            <w:pPr>
              <w:pStyle w:val="NormalWeb"/>
              <w:numPr>
                <w:ilvl w:val="0"/>
                <w:numId w:val="15"/>
              </w:numPr>
              <w:rPr>
                <w:rFonts w:ascii="Arial" w:hAnsi="Arial" w:cs="Arial"/>
                <w:sz w:val="20"/>
                <w:szCs w:val="20"/>
              </w:rPr>
            </w:pPr>
            <w:r w:rsidRPr="00A86C6C">
              <w:rPr>
                <w:rFonts w:ascii="Arial" w:hAnsi="Arial" w:cs="Arial"/>
                <w:sz w:val="20"/>
                <w:szCs w:val="20"/>
              </w:rPr>
              <w:lastRenderedPageBreak/>
              <w:t>has access to the collection point without going through a dwelling (excluding a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 Residential design for details and examples.</w:t>
                  </w:r>
                </w:p>
              </w:tc>
            </w:tr>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Utilities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217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RAD14</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is connected to:</w:t>
            </w:r>
          </w:p>
          <w:p w:rsidR="00A86C6C" w:rsidRPr="00A86C6C" w:rsidRDefault="00A86C6C" w:rsidP="00835683">
            <w:pPr>
              <w:pStyle w:val="NormalWeb"/>
              <w:numPr>
                <w:ilvl w:val="0"/>
                <w:numId w:val="16"/>
              </w:numPr>
              <w:rPr>
                <w:rFonts w:ascii="Arial" w:hAnsi="Arial" w:cs="Arial"/>
                <w:sz w:val="20"/>
                <w:szCs w:val="20"/>
              </w:rPr>
            </w:pPr>
            <w:r w:rsidRPr="00A86C6C">
              <w:rPr>
                <w:rFonts w:ascii="Arial" w:hAnsi="Arial" w:cs="Arial"/>
                <w:sz w:val="20"/>
                <w:szCs w:val="20"/>
              </w:rPr>
              <w:t>an existing reticulated electricity supply;</w:t>
            </w:r>
          </w:p>
          <w:p w:rsidR="00A86C6C" w:rsidRPr="00A86C6C" w:rsidRDefault="00A86C6C" w:rsidP="00835683">
            <w:pPr>
              <w:pStyle w:val="NormalWeb"/>
              <w:numPr>
                <w:ilvl w:val="0"/>
                <w:numId w:val="16"/>
              </w:numPr>
              <w:rPr>
                <w:rFonts w:ascii="Arial" w:hAnsi="Arial" w:cs="Arial"/>
                <w:sz w:val="20"/>
                <w:szCs w:val="20"/>
              </w:rPr>
            </w:pPr>
            <w:r w:rsidRPr="00A86C6C">
              <w:rPr>
                <w:rFonts w:ascii="Arial" w:hAnsi="Arial" w:cs="Arial"/>
                <w:sz w:val="20"/>
                <w:szCs w:val="20"/>
              </w:rPr>
              <w:t>reticulated sewerage where in a reticulated area;</w:t>
            </w:r>
          </w:p>
          <w:p w:rsidR="00A86C6C" w:rsidRPr="00A86C6C" w:rsidRDefault="00A86C6C" w:rsidP="00835683">
            <w:pPr>
              <w:pStyle w:val="NormalWeb"/>
              <w:numPr>
                <w:ilvl w:val="0"/>
                <w:numId w:val="16"/>
              </w:numPr>
              <w:rPr>
                <w:rFonts w:ascii="Arial" w:hAnsi="Arial" w:cs="Arial"/>
                <w:sz w:val="20"/>
                <w:szCs w:val="20"/>
              </w:rPr>
            </w:pPr>
            <w:r w:rsidRPr="00A86C6C">
              <w:rPr>
                <w:rFonts w:ascii="Arial" w:hAnsi="Arial" w:cs="Arial"/>
                <w:sz w:val="20"/>
                <w:szCs w:val="20"/>
              </w:rPr>
              <w:t>reticulated water;</w:t>
            </w:r>
          </w:p>
          <w:p w:rsidR="00A86C6C" w:rsidRPr="00A86C6C" w:rsidRDefault="00A86C6C" w:rsidP="00835683">
            <w:pPr>
              <w:pStyle w:val="NormalWeb"/>
              <w:numPr>
                <w:ilvl w:val="0"/>
                <w:numId w:val="16"/>
              </w:numPr>
              <w:rPr>
                <w:rFonts w:ascii="Arial" w:hAnsi="Arial" w:cs="Arial"/>
                <w:sz w:val="20"/>
                <w:szCs w:val="20"/>
              </w:rPr>
            </w:pPr>
            <w:r w:rsidRPr="00A86C6C">
              <w:rPr>
                <w:rFonts w:ascii="Arial" w:hAnsi="Arial" w:cs="Arial"/>
                <w:sz w:val="20"/>
                <w:szCs w:val="20"/>
              </w:rPr>
              <w:t>dedicated and constructed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Earthworks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163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RAD15</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Filling and excavation that is outside of the external walls of any on-site building does not:</w:t>
            </w:r>
          </w:p>
          <w:p w:rsidR="00A86C6C" w:rsidRPr="00A86C6C" w:rsidRDefault="00A86C6C" w:rsidP="00835683">
            <w:pPr>
              <w:numPr>
                <w:ilvl w:val="0"/>
                <w:numId w:val="17"/>
              </w:numPr>
              <w:spacing w:before="100" w:beforeAutospacing="1" w:after="100" w:afterAutospacing="1"/>
              <w:rPr>
                <w:rFonts w:ascii="Arial" w:hAnsi="Arial" w:cs="Arial"/>
                <w:sz w:val="20"/>
                <w:szCs w:val="20"/>
              </w:rPr>
            </w:pPr>
            <w:r w:rsidRPr="00A86C6C">
              <w:rPr>
                <w:rFonts w:ascii="Arial" w:hAnsi="Arial" w:cs="Arial"/>
                <w:sz w:val="20"/>
                <w:szCs w:val="20"/>
              </w:rPr>
              <w:t>involve a change in level of more than 1.0m relative to natural ground level</w:t>
            </w:r>
            <w:r w:rsidRPr="00A86C6C">
              <w:rPr>
                <w:rFonts w:ascii="Arial" w:hAnsi="Arial" w:cs="Arial"/>
                <w:sz w:val="20"/>
                <w:szCs w:val="20"/>
              </w:rPr>
              <w:br/>
              <w:t>or</w:t>
            </w:r>
            <w:r w:rsidRPr="00A86C6C">
              <w:rPr>
                <w:rFonts w:ascii="Arial" w:hAnsi="Arial" w:cs="Arial"/>
                <w:sz w:val="20"/>
                <w:szCs w:val="20"/>
              </w:rPr>
              <w:br/>
              <w:t>result in a batter greater than 1V:6H relative to natural ground level;</w:t>
            </w:r>
          </w:p>
          <w:p w:rsidR="00A86C6C" w:rsidRPr="00A86C6C" w:rsidRDefault="00A86C6C" w:rsidP="00835683">
            <w:pPr>
              <w:numPr>
                <w:ilvl w:val="0"/>
                <w:numId w:val="17"/>
              </w:numPr>
              <w:spacing w:before="100" w:beforeAutospacing="1" w:after="100" w:afterAutospacing="1"/>
              <w:rPr>
                <w:rFonts w:ascii="Arial" w:hAnsi="Arial" w:cs="Arial"/>
                <w:sz w:val="20"/>
                <w:szCs w:val="20"/>
              </w:rPr>
            </w:pPr>
            <w:r w:rsidRPr="00A86C6C">
              <w:rPr>
                <w:rFonts w:ascii="Arial" w:hAnsi="Arial" w:cs="Arial"/>
                <w:sz w:val="20"/>
                <w:szCs w:val="20"/>
              </w:rPr>
              <w:t>necessitate the construction of a freestanding retaining wall exceeding 1.0m in height relative to natural ground level;</w:t>
            </w:r>
          </w:p>
          <w:p w:rsidR="00A86C6C" w:rsidRPr="00A86C6C" w:rsidRDefault="00A86C6C" w:rsidP="00835683">
            <w:pPr>
              <w:numPr>
                <w:ilvl w:val="0"/>
                <w:numId w:val="17"/>
              </w:numPr>
              <w:spacing w:before="100" w:beforeAutospacing="1" w:after="100" w:afterAutospacing="1"/>
              <w:rPr>
                <w:rFonts w:ascii="Arial" w:hAnsi="Arial" w:cs="Arial"/>
                <w:sz w:val="20"/>
                <w:szCs w:val="20"/>
              </w:rPr>
            </w:pPr>
            <w:r w:rsidRPr="00A86C6C">
              <w:rPr>
                <w:rFonts w:ascii="Arial" w:hAnsi="Arial" w:cs="Arial"/>
                <w:sz w:val="20"/>
                <w:szCs w:val="20"/>
              </w:rPr>
              <w:t>result in the top of any cut batter, or the exposed face of any freestanding retaining wall supporting that cut, being closer than 500mm to a property boundary;</w:t>
            </w:r>
          </w:p>
          <w:p w:rsidR="00A86C6C" w:rsidRPr="00A86C6C" w:rsidRDefault="00A86C6C" w:rsidP="00835683">
            <w:pPr>
              <w:numPr>
                <w:ilvl w:val="0"/>
                <w:numId w:val="17"/>
              </w:numPr>
              <w:spacing w:before="100" w:beforeAutospacing="1" w:after="100" w:afterAutospacing="1"/>
              <w:rPr>
                <w:rFonts w:ascii="Arial" w:hAnsi="Arial" w:cs="Arial"/>
                <w:sz w:val="20"/>
                <w:szCs w:val="20"/>
              </w:rPr>
            </w:pPr>
            <w:r w:rsidRPr="00A86C6C">
              <w:rPr>
                <w:rFonts w:ascii="Arial" w:hAnsi="Arial" w:cs="Arial"/>
                <w:sz w:val="20"/>
                <w:szCs w:val="20"/>
              </w:rPr>
              <w:t>result in the toe of any fill batter, or exposed face of any freestanding retaining wall supporting that fill, being closer than 1.0m to a property boundary unless:</w:t>
            </w:r>
          </w:p>
          <w:p w:rsidR="00A86C6C" w:rsidRPr="00A86C6C" w:rsidRDefault="00A86C6C" w:rsidP="00835683">
            <w:pPr>
              <w:numPr>
                <w:ilvl w:val="1"/>
                <w:numId w:val="17"/>
              </w:numPr>
              <w:spacing w:before="100" w:beforeAutospacing="1" w:after="100" w:afterAutospacing="1"/>
              <w:rPr>
                <w:rFonts w:ascii="Arial" w:hAnsi="Arial" w:cs="Arial"/>
                <w:sz w:val="20"/>
                <w:szCs w:val="20"/>
              </w:rPr>
            </w:pPr>
            <w:r w:rsidRPr="00A86C6C">
              <w:rPr>
                <w:rFonts w:ascii="Arial" w:hAnsi="Arial" w:cs="Arial"/>
                <w:sz w:val="20"/>
                <w:szCs w:val="20"/>
              </w:rPr>
              <w:t>the depth of fill within that 1.0m strip does not exceed 200mm relative to natural ground level; or</w:t>
            </w:r>
          </w:p>
          <w:p w:rsidR="00A86C6C" w:rsidRPr="00A86C6C" w:rsidRDefault="00A86C6C" w:rsidP="00835683">
            <w:pPr>
              <w:numPr>
                <w:ilvl w:val="1"/>
                <w:numId w:val="17"/>
              </w:numPr>
              <w:spacing w:before="100" w:beforeAutospacing="1" w:after="100" w:afterAutospacing="1"/>
              <w:rPr>
                <w:rFonts w:ascii="Arial" w:hAnsi="Arial" w:cs="Arial"/>
                <w:sz w:val="20"/>
                <w:szCs w:val="20"/>
              </w:rPr>
            </w:pPr>
            <w:r w:rsidRPr="00A86C6C">
              <w:rPr>
                <w:rFonts w:ascii="Arial" w:hAnsi="Arial" w:cs="Arial"/>
                <w:sz w:val="20"/>
                <w:szCs w:val="20"/>
              </w:rPr>
              <w:t>the batter slope within that 1.0m strip is no steeper than 1V:2H.</w:t>
            </w:r>
          </w:p>
          <w:p w:rsidR="00A86C6C" w:rsidRPr="00A86C6C" w:rsidRDefault="00A86C6C" w:rsidP="007B56B9">
            <w:pPr>
              <w:jc w:val="center"/>
              <w:rPr>
                <w:rFonts w:ascii="Arial" w:eastAsia="Times New Roman" w:hAnsi="Arial" w:cs="Arial"/>
                <w:sz w:val="20"/>
                <w:szCs w:val="20"/>
              </w:rPr>
            </w:pPr>
            <w:r w:rsidRPr="00A86C6C">
              <w:rPr>
                <w:rStyle w:val="Strong"/>
                <w:rFonts w:ascii="Arial" w:eastAsia="Times New Roman" w:hAnsi="Arial" w:cs="Arial"/>
                <w:sz w:val="20"/>
                <w:szCs w:val="20"/>
              </w:rPr>
              <w:t>Figure - Filling or Excavation</w:t>
            </w:r>
          </w:p>
          <w:p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48391B81" wp14:editId="51E0F3E3">
                  <wp:extent cx="4676775" cy="3705225"/>
                  <wp:effectExtent l="0" t="0" r="9525" b="9525"/>
                  <wp:docPr id="2" name="ID-2693433-847141" descr="Filling or Exca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847141" descr="Filling or Excav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775" cy="3705225"/>
                          </a:xfrm>
                          <a:prstGeom prst="rect">
                            <a:avLst/>
                          </a:prstGeom>
                          <a:noFill/>
                          <a:ln>
                            <a:noFill/>
                          </a:ln>
                        </pic:spPr>
                      </pic:pic>
                    </a:graphicData>
                  </a:graphic>
                </wp:inline>
              </w:drawing>
            </w:r>
          </w:p>
          <w:p w:rsidR="00A86C6C" w:rsidRPr="00A86C6C" w:rsidRDefault="00A86C6C" w:rsidP="00A86C6C">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the amenity and aesthetic impacts of the building or structure. Non-compliance with this provision for a Dwelling house</w:t>
                  </w:r>
                  <w:r w:rsidRPr="007B56B9">
                    <w:rPr>
                      <w:rFonts w:ascii="Arial" w:hAnsi="Arial" w:cs="Arial"/>
                      <w:sz w:val="18"/>
                      <w:szCs w:val="20"/>
                      <w:vertAlign w:val="superscript"/>
                    </w:rPr>
                    <w:t>(</w:t>
                  </w:r>
                  <w:hyperlink r:id="rId3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Development on a laneway</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204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RAD16</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house</w:t>
            </w:r>
            <w:r w:rsidRPr="00A86C6C">
              <w:rPr>
                <w:rFonts w:ascii="Arial" w:hAnsi="Arial" w:cs="Arial"/>
                <w:sz w:val="20"/>
                <w:szCs w:val="20"/>
                <w:vertAlign w:val="superscript"/>
              </w:rPr>
              <w:t>(</w:t>
            </w:r>
            <w:hyperlink r:id="rId3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(or the primary dwelling where including a secondary dwelling)</w:t>
            </w:r>
          </w:p>
          <w:p w:rsidR="00A86C6C" w:rsidRPr="00A86C6C" w:rsidRDefault="00A86C6C" w:rsidP="00835683">
            <w:pPr>
              <w:pStyle w:val="NormalWeb"/>
              <w:numPr>
                <w:ilvl w:val="0"/>
                <w:numId w:val="18"/>
              </w:numPr>
              <w:rPr>
                <w:rFonts w:ascii="Arial" w:hAnsi="Arial" w:cs="Arial"/>
                <w:sz w:val="20"/>
                <w:szCs w:val="20"/>
              </w:rPr>
            </w:pPr>
            <w:r w:rsidRPr="00A86C6C">
              <w:rPr>
                <w:rFonts w:ascii="Arial" w:hAnsi="Arial" w:cs="Arial"/>
                <w:sz w:val="20"/>
                <w:szCs w:val="20"/>
              </w:rPr>
              <w:t>faces the non-laneway frontage;</w:t>
            </w:r>
          </w:p>
          <w:p w:rsidR="00A86C6C" w:rsidRPr="00A86C6C" w:rsidRDefault="00A86C6C" w:rsidP="00835683">
            <w:pPr>
              <w:pStyle w:val="NormalWeb"/>
              <w:numPr>
                <w:ilvl w:val="0"/>
                <w:numId w:val="18"/>
              </w:numPr>
              <w:rPr>
                <w:rFonts w:ascii="Arial" w:hAnsi="Arial" w:cs="Arial"/>
                <w:sz w:val="20"/>
                <w:szCs w:val="20"/>
              </w:rPr>
            </w:pPr>
            <w:r w:rsidRPr="00A86C6C">
              <w:rPr>
                <w:rFonts w:ascii="Arial" w:hAnsi="Arial" w:cs="Arial"/>
                <w:sz w:val="20"/>
                <w:szCs w:val="20"/>
              </w:rPr>
              <w:t xml:space="preserve">has its main pedestrian entrance (front door) from the non-laneway </w:t>
            </w:r>
            <w:proofErr w:type="gramStart"/>
            <w:r w:rsidRPr="00A86C6C">
              <w:rPr>
                <w:rFonts w:ascii="Arial" w:hAnsi="Arial" w:cs="Arial"/>
                <w:sz w:val="20"/>
                <w:szCs w:val="20"/>
              </w:rPr>
              <w:t>frontage.</w:t>
            </w:r>
            <w:proofErr w:type="gramEnd"/>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20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RAD17</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All vehicle access must be via the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Secondary dwelling</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262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RAD18</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siting and design of dwellings ensures that the secondary dwelling is:</w:t>
            </w:r>
          </w:p>
          <w:p w:rsidR="00A86C6C" w:rsidRPr="00A86C6C" w:rsidRDefault="00A86C6C" w:rsidP="00835683">
            <w:pPr>
              <w:pStyle w:val="NormalWeb"/>
              <w:numPr>
                <w:ilvl w:val="0"/>
                <w:numId w:val="19"/>
              </w:numPr>
              <w:rPr>
                <w:rFonts w:ascii="Arial" w:hAnsi="Arial" w:cs="Arial"/>
                <w:sz w:val="20"/>
                <w:szCs w:val="20"/>
              </w:rPr>
            </w:pPr>
            <w:r w:rsidRPr="00A86C6C">
              <w:rPr>
                <w:rFonts w:ascii="Arial" w:hAnsi="Arial" w:cs="Arial"/>
                <w:sz w:val="20"/>
                <w:szCs w:val="20"/>
              </w:rPr>
              <w:t>not located in front of the primary dwelling;</w:t>
            </w:r>
          </w:p>
          <w:p w:rsidR="00A86C6C" w:rsidRPr="00A86C6C" w:rsidRDefault="00A86C6C" w:rsidP="00835683">
            <w:pPr>
              <w:pStyle w:val="NormalWeb"/>
              <w:numPr>
                <w:ilvl w:val="0"/>
                <w:numId w:val="19"/>
              </w:numPr>
              <w:rPr>
                <w:rFonts w:ascii="Arial" w:hAnsi="Arial" w:cs="Arial"/>
                <w:sz w:val="20"/>
                <w:szCs w:val="20"/>
              </w:rPr>
            </w:pPr>
            <w:r w:rsidRPr="00A86C6C">
              <w:rPr>
                <w:rFonts w:ascii="Arial" w:hAnsi="Arial" w:cs="Arial"/>
                <w:sz w:val="20"/>
                <w:szCs w:val="20"/>
              </w:rPr>
              <w:t>annexed to (adjoining, below or above) or located within 10.0m of the primary dwelling (excluding domestic outbuildings).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 Residential design for details and examples.</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08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RAD19</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No more than 1 secondary dwelling is located on an allotment.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98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RAD20</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GFA of the secondary dwelling does not exceed:</w:t>
            </w:r>
          </w:p>
          <w:p w:rsidR="00A86C6C" w:rsidRPr="00A86C6C" w:rsidRDefault="00A86C6C" w:rsidP="00835683">
            <w:pPr>
              <w:pStyle w:val="NormalWeb"/>
              <w:numPr>
                <w:ilvl w:val="0"/>
                <w:numId w:val="20"/>
              </w:numPr>
              <w:rPr>
                <w:rFonts w:ascii="Arial" w:hAnsi="Arial" w:cs="Arial"/>
                <w:sz w:val="20"/>
                <w:szCs w:val="20"/>
              </w:rPr>
            </w:pPr>
            <w:r w:rsidRPr="00A86C6C">
              <w:rPr>
                <w:rFonts w:ascii="Arial" w:hAnsi="Arial" w:cs="Arial"/>
                <w:sz w:val="20"/>
                <w:szCs w:val="20"/>
              </w:rPr>
              <w:t>45m</w:t>
            </w:r>
            <w:r w:rsidRPr="00A86C6C">
              <w:rPr>
                <w:rFonts w:ascii="Arial" w:hAnsi="Arial" w:cs="Arial"/>
                <w:sz w:val="20"/>
                <w:szCs w:val="20"/>
                <w:vertAlign w:val="superscript"/>
              </w:rPr>
              <w:t>2</w:t>
            </w:r>
            <w:r w:rsidRPr="00A86C6C">
              <w:rPr>
                <w:rFonts w:ascii="Arial" w:hAnsi="Arial" w:cs="Arial"/>
                <w:sz w:val="20"/>
                <w:szCs w:val="20"/>
              </w:rPr>
              <w:t xml:space="preserve"> GFA for a lot with a primary frontage less than 15m; or</w:t>
            </w:r>
          </w:p>
          <w:p w:rsidR="00A86C6C" w:rsidRPr="00A86C6C" w:rsidRDefault="00A86C6C" w:rsidP="00835683">
            <w:pPr>
              <w:pStyle w:val="NormalWeb"/>
              <w:numPr>
                <w:ilvl w:val="0"/>
                <w:numId w:val="20"/>
              </w:numPr>
              <w:rPr>
                <w:rFonts w:ascii="Arial" w:hAnsi="Arial" w:cs="Arial"/>
                <w:sz w:val="20"/>
                <w:szCs w:val="20"/>
              </w:rPr>
            </w:pPr>
            <w:r w:rsidRPr="00A86C6C">
              <w:rPr>
                <w:rFonts w:ascii="Arial" w:hAnsi="Arial" w:cs="Arial"/>
                <w:sz w:val="20"/>
                <w:szCs w:val="20"/>
              </w:rPr>
              <w:t>55m</w:t>
            </w:r>
            <w:r w:rsidRPr="00A86C6C">
              <w:rPr>
                <w:rFonts w:ascii="Arial" w:hAnsi="Arial" w:cs="Arial"/>
                <w:sz w:val="20"/>
                <w:szCs w:val="20"/>
                <w:vertAlign w:val="superscript"/>
              </w:rPr>
              <w:t>2</w:t>
            </w:r>
            <w:r w:rsidRPr="00A86C6C">
              <w:rPr>
                <w:rFonts w:ascii="Arial" w:hAnsi="Arial" w:cs="Arial"/>
                <w:sz w:val="20"/>
                <w:szCs w:val="20"/>
              </w:rPr>
              <w:t xml:space="preserve"> GFA for a lot with a primary frontage of 15m or more.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32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RAD21</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tc>
            </w:tr>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4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Residential design for details and examples.</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Domestic outbuildings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7B56B9">
        <w:trPr>
          <w:trHeight w:val="335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RAD22</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Domestic outbuildings:</w:t>
            </w:r>
          </w:p>
          <w:p w:rsidR="00A86C6C" w:rsidRPr="00A86C6C" w:rsidRDefault="00A86C6C" w:rsidP="00835683">
            <w:pPr>
              <w:pStyle w:val="NormalWeb"/>
              <w:numPr>
                <w:ilvl w:val="0"/>
                <w:numId w:val="21"/>
              </w:numPr>
              <w:rPr>
                <w:rFonts w:ascii="Arial" w:hAnsi="Arial" w:cs="Arial"/>
                <w:sz w:val="20"/>
                <w:szCs w:val="20"/>
              </w:rPr>
            </w:pPr>
            <w:r w:rsidRPr="00A86C6C">
              <w:rPr>
                <w:rFonts w:ascii="Arial" w:hAnsi="Arial" w:cs="Arial"/>
                <w:sz w:val="20"/>
                <w:szCs w:val="20"/>
              </w:rPr>
              <w:t>have a total combined maximum roofed area as outlined in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158"/>
              <w:gridCol w:w="4507"/>
            </w:tblGrid>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Size of lot</w:t>
                  </w:r>
                </w:p>
              </w:tc>
              <w:tc>
                <w:tcPr>
                  <w:tcW w:w="2550" w:type="pc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Maximum roofed area</w:t>
                  </w:r>
                </w:p>
              </w:tc>
            </w:tr>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Less than 600m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50m</w:t>
                  </w:r>
                  <w:r w:rsidRPr="00A86C6C">
                    <w:rPr>
                      <w:rFonts w:ascii="Arial" w:hAnsi="Arial" w:cs="Arial"/>
                      <w:sz w:val="20"/>
                      <w:szCs w:val="20"/>
                      <w:vertAlign w:val="superscript"/>
                    </w:rPr>
                    <w:t>2</w:t>
                  </w:r>
                </w:p>
              </w:tc>
            </w:tr>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600m</w:t>
                  </w:r>
                  <w:r w:rsidRPr="00A86C6C">
                    <w:rPr>
                      <w:rFonts w:ascii="Arial" w:hAnsi="Arial" w:cs="Arial"/>
                      <w:sz w:val="20"/>
                      <w:szCs w:val="20"/>
                      <w:vertAlign w:val="superscript"/>
                    </w:rPr>
                    <w:t xml:space="preserve">2 </w:t>
                  </w:r>
                  <w:r w:rsidRPr="00A86C6C">
                    <w:rPr>
                      <w:rFonts w:ascii="Arial" w:hAnsi="Arial" w:cs="Arial"/>
                      <w:sz w:val="20"/>
                      <w:szCs w:val="20"/>
                    </w:rPr>
                    <w:t>- 1000m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70m</w:t>
                  </w:r>
                  <w:r w:rsidRPr="00A86C6C">
                    <w:rPr>
                      <w:rFonts w:ascii="Arial" w:hAnsi="Arial" w:cs="Arial"/>
                      <w:sz w:val="20"/>
                      <w:szCs w:val="20"/>
                      <w:vertAlign w:val="superscript"/>
                    </w:rPr>
                    <w:t>2</w:t>
                  </w:r>
                </w:p>
              </w:tc>
            </w:tr>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&gt;1000m</w:t>
                  </w:r>
                  <w:r w:rsidRPr="00A86C6C">
                    <w:rPr>
                      <w:rFonts w:ascii="Arial" w:hAnsi="Arial" w:cs="Arial"/>
                      <w:sz w:val="20"/>
                      <w:szCs w:val="20"/>
                      <w:vertAlign w:val="superscript"/>
                    </w:rPr>
                    <w:t>2</w:t>
                  </w:r>
                  <w:r w:rsidRPr="00A86C6C">
                    <w:rPr>
                      <w:rFonts w:ascii="Arial" w:hAnsi="Arial" w:cs="Arial"/>
                      <w:sz w:val="20"/>
                      <w:szCs w:val="20"/>
                    </w:rPr>
                    <w:t xml:space="preserve"> – 2000m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80m</w:t>
                  </w:r>
                  <w:r w:rsidRPr="00A86C6C">
                    <w:rPr>
                      <w:rFonts w:ascii="Arial" w:hAnsi="Arial" w:cs="Arial"/>
                      <w:sz w:val="20"/>
                      <w:szCs w:val="20"/>
                      <w:vertAlign w:val="superscript"/>
                    </w:rPr>
                    <w:t>2</w:t>
                  </w:r>
                </w:p>
              </w:tc>
            </w:tr>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Greater than 2000m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150m</w:t>
                  </w:r>
                  <w:r w:rsidRPr="00A86C6C">
                    <w:rPr>
                      <w:rFonts w:ascii="Arial" w:hAnsi="Arial" w:cs="Arial"/>
                      <w:sz w:val="20"/>
                      <w:szCs w:val="20"/>
                      <w:vertAlign w:val="superscript"/>
                    </w:rPr>
                    <w:t>2</w:t>
                  </w:r>
                </w:p>
              </w:tc>
            </w:tr>
          </w:tbl>
          <w:p w:rsidR="00A86C6C" w:rsidRPr="00A86C6C" w:rsidRDefault="00A86C6C" w:rsidP="00835683">
            <w:pPr>
              <w:pStyle w:val="NormalWeb"/>
              <w:numPr>
                <w:ilvl w:val="0"/>
                <w:numId w:val="22"/>
              </w:numPr>
              <w:rPr>
                <w:rFonts w:ascii="Arial" w:hAnsi="Arial" w:cs="Arial"/>
                <w:sz w:val="20"/>
                <w:szCs w:val="20"/>
              </w:rPr>
            </w:pPr>
            <w:r w:rsidRPr="00A86C6C">
              <w:rPr>
                <w:rFonts w:ascii="Arial" w:hAnsi="Arial" w:cs="Arial"/>
                <w:sz w:val="20"/>
                <w:szCs w:val="20"/>
              </w:rPr>
              <w:t>have a maximum and mean building height as follows:</w:t>
            </w:r>
          </w:p>
          <w:p w:rsidR="00A86C6C" w:rsidRPr="00A86C6C" w:rsidRDefault="00A86C6C" w:rsidP="00835683">
            <w:pPr>
              <w:pStyle w:val="NormalWeb"/>
              <w:numPr>
                <w:ilvl w:val="1"/>
                <w:numId w:val="22"/>
              </w:numPr>
              <w:rPr>
                <w:rFonts w:ascii="Arial" w:hAnsi="Arial" w:cs="Arial"/>
                <w:sz w:val="20"/>
                <w:szCs w:val="20"/>
              </w:rPr>
            </w:pPr>
            <w:r w:rsidRPr="00A86C6C">
              <w:rPr>
                <w:rFonts w:ascii="Arial" w:hAnsi="Arial" w:cs="Arial"/>
                <w:sz w:val="20"/>
                <w:szCs w:val="20"/>
              </w:rPr>
              <w:t>where in front of the main building line for a carport - have a maximum building height of 3.3m and a mean height not exceeding 2.7m; or</w:t>
            </w:r>
          </w:p>
          <w:p w:rsidR="00A86C6C" w:rsidRPr="00A86C6C" w:rsidRDefault="00A86C6C" w:rsidP="00835683">
            <w:pPr>
              <w:pStyle w:val="NormalWeb"/>
              <w:numPr>
                <w:ilvl w:val="1"/>
                <w:numId w:val="22"/>
              </w:numPr>
              <w:rPr>
                <w:rFonts w:ascii="Arial" w:hAnsi="Arial" w:cs="Arial"/>
                <w:sz w:val="20"/>
                <w:szCs w:val="20"/>
              </w:rPr>
            </w:pPr>
            <w:r w:rsidRPr="00A86C6C">
              <w:rPr>
                <w:rFonts w:ascii="Arial" w:hAnsi="Arial" w:cs="Arial"/>
                <w:sz w:val="20"/>
                <w:szCs w:val="20"/>
              </w:rPr>
              <w:t>for all other instances - have a maximum building height of 4m and a mean height not exceeding 3.5m;</w:t>
            </w:r>
          </w:p>
          <w:p w:rsidR="00A86C6C" w:rsidRPr="00A86C6C" w:rsidRDefault="00A86C6C" w:rsidP="00835683">
            <w:pPr>
              <w:pStyle w:val="NormalWeb"/>
              <w:numPr>
                <w:ilvl w:val="0"/>
                <w:numId w:val="22"/>
              </w:numPr>
              <w:rPr>
                <w:rFonts w:ascii="Arial" w:hAnsi="Arial" w:cs="Arial"/>
                <w:sz w:val="20"/>
                <w:szCs w:val="20"/>
              </w:rPr>
            </w:pPr>
            <w:r w:rsidRPr="00A86C6C">
              <w:rPr>
                <w:rFonts w:ascii="Arial" w:hAnsi="Arial" w:cs="Arial"/>
                <w:sz w:val="20"/>
                <w:szCs w:val="20"/>
              </w:rPr>
              <w:t>are located behind the main building line and not within the primary frontage, secondary frontage or trafficable water body setbacks except where for a carport and complying with the front setback for carports specified in this code.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for c. above to determine the main building line a trafficable water body boundary is to be treated the same as a secondary frontage.</w:t>
                  </w:r>
                </w:p>
              </w:tc>
            </w:tr>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lastRenderedPageBreak/>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A4 and part MP1.2, A4. Non-compliance with this provision for a Dwelling house (22) requires a concurrence agency response from Council.</w:t>
                  </w:r>
                </w:p>
                <w:p w:rsidR="00A86C6C" w:rsidRPr="007B56B9" w:rsidRDefault="00A86C6C" w:rsidP="00A86C6C">
                  <w:pPr>
                    <w:rPr>
                      <w:rFonts w:ascii="Arial" w:hAnsi="Arial" w:cs="Arial"/>
                      <w:sz w:val="18"/>
                      <w:szCs w:val="20"/>
                    </w:rPr>
                  </w:pPr>
                  <w:r w:rsidRPr="007B56B9">
                    <w:rPr>
                      <w:rFonts w:ascii="Arial" w:hAnsi="Arial" w:cs="Arial"/>
                      <w:sz w:val="18"/>
                      <w:szCs w:val="20"/>
                    </w:rPr>
                    <w:t xml:space="preserve">Note - This is a quantifiable standard that is an alternative provision to the QDC, part MP1.1, A1 (a), (b) and (c), A2 (a), (b) and (d) and part MP1.2, A1 (a), (b) and (c), A2 (a), (b) and (d). Non-compliance with this provision for a Dwelling </w:t>
                  </w:r>
                  <w:proofErr w:type="gramStart"/>
                  <w:r w:rsidRPr="007B56B9">
                    <w:rPr>
                      <w:rFonts w:ascii="Arial" w:hAnsi="Arial" w:cs="Arial"/>
                      <w:sz w:val="18"/>
                      <w:szCs w:val="20"/>
                    </w:rPr>
                    <w:t>house(</w:t>
                  </w:r>
                  <w:proofErr w:type="gramEnd"/>
                  <w:r w:rsidRPr="007B56B9">
                    <w:rPr>
                      <w:rFonts w:ascii="Arial" w:hAnsi="Arial" w:cs="Arial"/>
                      <w:sz w:val="18"/>
                      <w:szCs w:val="20"/>
                    </w:rPr>
                    <w:t>22) requires a concurrence agency response from Council. Note - Greater setbacks may be required if the lot adjoins an environmental corridor or area (Refer to values and constraints for details).</w:t>
                  </w:r>
                </w:p>
              </w:tc>
            </w:tr>
          </w:tbl>
          <w:p w:rsidR="00A86C6C" w:rsidRPr="00A86C6C" w:rsidRDefault="00A86C6C" w:rsidP="00A86C6C">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 xml:space="preserve">Editor's note </w:t>
                  </w:r>
                  <w:proofErr w:type="gramStart"/>
                  <w:r w:rsidRPr="007B56B9">
                    <w:rPr>
                      <w:rFonts w:ascii="Arial" w:hAnsi="Arial" w:cs="Arial"/>
                      <w:sz w:val="18"/>
                      <w:szCs w:val="20"/>
                    </w:rPr>
                    <w:t>-  The</w:t>
                  </w:r>
                  <w:proofErr w:type="gramEnd"/>
                  <w:r w:rsidRPr="007B56B9">
                    <w:rPr>
                      <w:rFonts w:ascii="Arial" w:hAnsi="Arial" w:cs="Arial"/>
                      <w:sz w:val="18"/>
                      <w:szCs w:val="20"/>
                    </w:rPr>
                    <w:t xml:space="preserve"> calculation for mean height is defined in the QDC.</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jc w:val="center"/>
              <w:rPr>
                <w:rFonts w:ascii="Arial" w:hAnsi="Arial" w:cs="Arial"/>
                <w:sz w:val="20"/>
                <w:szCs w:val="20"/>
              </w:rPr>
            </w:pPr>
            <w:r w:rsidRPr="00A86C6C">
              <w:rPr>
                <w:rStyle w:val="Strong"/>
                <w:rFonts w:ascii="Arial" w:hAnsi="Arial" w:cs="Arial"/>
                <w:sz w:val="20"/>
                <w:szCs w:val="20"/>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jc w:val="center"/>
              </w:trPr>
              <w:tc>
                <w:tcPr>
                  <w:tcW w:w="14940" w:type="dxa"/>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FE64F8" w:rsidRPr="00A86C6C" w:rsidRDefault="00FE64F8" w:rsidP="00A86C6C">
            <w:pPr>
              <w:pStyle w:val="NormalWeb"/>
              <w:jc w:val="center"/>
              <w:rPr>
                <w:rStyle w:val="Strong"/>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 xml:space="preserve">Acid </w:t>
            </w:r>
            <w:proofErr w:type="spellStart"/>
            <w:r w:rsidRPr="00A86C6C">
              <w:rPr>
                <w:rStyle w:val="Strong"/>
                <w:rFonts w:ascii="Arial" w:hAnsi="Arial" w:cs="Arial"/>
                <w:sz w:val="20"/>
                <w:szCs w:val="20"/>
              </w:rPr>
              <w:t>sulfate</w:t>
            </w:r>
            <w:proofErr w:type="spellEnd"/>
            <w:r w:rsidRPr="00A86C6C">
              <w:rPr>
                <w:rStyle w:val="Strong"/>
                <w:rFonts w:ascii="Arial" w:hAnsi="Arial" w:cs="Arial"/>
                <w:sz w:val="20"/>
                <w:szCs w:val="20"/>
              </w:rPr>
              <w:t xml:space="preserve"> soils - (refer Overlay map - Acid </w:t>
            </w:r>
            <w:proofErr w:type="spellStart"/>
            <w:r w:rsidRPr="00A86C6C">
              <w:rPr>
                <w:rStyle w:val="Strong"/>
                <w:rFonts w:ascii="Arial" w:hAnsi="Arial" w:cs="Arial"/>
                <w:sz w:val="20"/>
                <w:szCs w:val="20"/>
              </w:rPr>
              <w:t>sulfate</w:t>
            </w:r>
            <w:proofErr w:type="spellEnd"/>
            <w:r w:rsidRPr="00A86C6C">
              <w:rPr>
                <w:rStyle w:val="Strong"/>
                <w:rFonts w:ascii="Arial" w:hAnsi="Arial" w:cs="Arial"/>
                <w:sz w:val="20"/>
                <w:szCs w:val="20"/>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shd w:val="clear" w:color="auto" w:fill="CCCCCC"/>
                  <w:vAlign w:val="center"/>
                  <w:hideMark/>
                </w:tcPr>
                <w:p w:rsidR="00FE64F8" w:rsidRPr="00A86C6C" w:rsidRDefault="00FE64F8" w:rsidP="00A86C6C">
                  <w:pPr>
                    <w:rPr>
                      <w:rFonts w:ascii="Arial" w:eastAsia="Times New Roman" w:hAnsi="Arial" w:cs="Arial"/>
                      <w:sz w:val="20"/>
                      <w:szCs w:val="20"/>
                    </w:rPr>
                  </w:pPr>
                  <w:r w:rsidRPr="00A86C6C">
                    <w:rPr>
                      <w:rFonts w:ascii="Arial" w:eastAsia="Times New Roman" w:hAnsi="Arial" w:cs="Arial"/>
                      <w:sz w:val="20"/>
                      <w:szCs w:val="20"/>
                    </w:rPr>
                    <w:t xml:space="preserve">Note - Planning scheme policy - Acid </w:t>
                  </w:r>
                  <w:proofErr w:type="spellStart"/>
                  <w:r w:rsidRPr="00A86C6C">
                    <w:rPr>
                      <w:rFonts w:ascii="Arial" w:eastAsia="Times New Roman" w:hAnsi="Arial" w:cs="Arial"/>
                      <w:sz w:val="20"/>
                      <w:szCs w:val="20"/>
                    </w:rPr>
                    <w:t>sulfate</w:t>
                  </w:r>
                  <w:proofErr w:type="spellEnd"/>
                  <w:r w:rsidRPr="00A86C6C">
                    <w:rPr>
                      <w:rFonts w:ascii="Arial" w:eastAsia="Times New Roman" w:hAnsi="Arial" w:cs="Arial"/>
                      <w:sz w:val="20"/>
                      <w:szCs w:val="20"/>
                    </w:rPr>
                    <w:t xml:space="preserve"> soils </w:t>
                  </w:r>
                  <w:proofErr w:type="gramStart"/>
                  <w:r w:rsidRPr="00A86C6C">
                    <w:rPr>
                      <w:rFonts w:ascii="Arial" w:eastAsia="Times New Roman" w:hAnsi="Arial" w:cs="Arial"/>
                      <w:sz w:val="20"/>
                      <w:szCs w:val="20"/>
                    </w:rPr>
                    <w:t>provides</w:t>
                  </w:r>
                  <w:proofErr w:type="gramEnd"/>
                  <w:r w:rsidRPr="00A86C6C">
                    <w:rPr>
                      <w:rFonts w:ascii="Arial" w:eastAsia="Times New Roman" w:hAnsi="Arial" w:cs="Arial"/>
                      <w:sz w:val="20"/>
                      <w:szCs w:val="20"/>
                    </w:rPr>
                    <w:t xml:space="preserve"> guidance for requirements for accepted development that has the potential to disturb acid </w:t>
                  </w:r>
                  <w:proofErr w:type="spellStart"/>
                  <w:r w:rsidRPr="00A86C6C">
                    <w:rPr>
                      <w:rFonts w:ascii="Arial" w:eastAsia="Times New Roman" w:hAnsi="Arial" w:cs="Arial"/>
                      <w:sz w:val="20"/>
                      <w:szCs w:val="20"/>
                    </w:rPr>
                    <w:t>sulfate</w:t>
                  </w:r>
                  <w:proofErr w:type="spellEnd"/>
                  <w:r w:rsidRPr="00A86C6C">
                    <w:rPr>
                      <w:rFonts w:ascii="Arial" w:eastAsia="Times New Roman" w:hAnsi="Arial" w:cs="Arial"/>
                      <w:sz w:val="20"/>
                      <w:szCs w:val="20"/>
                    </w:rPr>
                    <w:t xml:space="preserve"> soils i.e. development involving filling or excavation works below the thresholds of 100m</w:t>
                  </w:r>
                  <w:r w:rsidRPr="00A86C6C">
                    <w:rPr>
                      <w:rFonts w:ascii="Arial" w:eastAsia="Times New Roman" w:hAnsi="Arial" w:cs="Arial"/>
                      <w:sz w:val="20"/>
                      <w:szCs w:val="20"/>
                      <w:vertAlign w:val="superscript"/>
                    </w:rPr>
                    <w:t>3</w:t>
                  </w:r>
                  <w:r w:rsidRPr="00A86C6C">
                    <w:rPr>
                      <w:rFonts w:ascii="Arial" w:eastAsia="Times New Roman" w:hAnsi="Arial" w:cs="Arial"/>
                      <w:sz w:val="20"/>
                      <w:szCs w:val="20"/>
                    </w:rPr>
                    <w:t xml:space="preserve"> and 500m</w:t>
                  </w:r>
                  <w:r w:rsidRPr="00A86C6C">
                    <w:rPr>
                      <w:rFonts w:ascii="Arial" w:eastAsia="Times New Roman" w:hAnsi="Arial" w:cs="Arial"/>
                      <w:sz w:val="20"/>
                      <w:szCs w:val="20"/>
                      <w:vertAlign w:val="superscript"/>
                    </w:rPr>
                    <w:t>3</w:t>
                  </w:r>
                  <w:r w:rsidRPr="00A86C6C">
                    <w:rPr>
                      <w:rFonts w:ascii="Arial" w:eastAsia="Times New Roman" w:hAnsi="Arial" w:cs="Arial"/>
                      <w:sz w:val="20"/>
                      <w:szCs w:val="20"/>
                    </w:rPr>
                    <w:t xml:space="preserve"> respectively.</w:t>
                  </w:r>
                </w:p>
              </w:tc>
            </w:tr>
          </w:tbl>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RAD23</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w:t>
            </w:r>
          </w:p>
          <w:p w:rsidR="00A86C6C" w:rsidRPr="00A86C6C" w:rsidRDefault="00A86C6C" w:rsidP="00835683">
            <w:pPr>
              <w:pStyle w:val="NormalWeb"/>
              <w:numPr>
                <w:ilvl w:val="0"/>
                <w:numId w:val="23"/>
              </w:numPr>
              <w:rPr>
                <w:rFonts w:ascii="Arial" w:hAnsi="Arial" w:cs="Arial"/>
                <w:sz w:val="20"/>
                <w:szCs w:val="20"/>
              </w:rPr>
            </w:pPr>
            <w:r w:rsidRPr="00A86C6C">
              <w:rPr>
                <w:rFonts w:ascii="Arial" w:hAnsi="Arial" w:cs="Arial"/>
                <w:sz w:val="20"/>
                <w:szCs w:val="20"/>
              </w:rPr>
              <w:t>excavation or otherwise removing of more than 100m</w:t>
            </w:r>
            <w:r w:rsidRPr="00A86C6C">
              <w:rPr>
                <w:rFonts w:ascii="Arial" w:hAnsi="Arial" w:cs="Arial"/>
                <w:sz w:val="20"/>
                <w:szCs w:val="20"/>
                <w:vertAlign w:val="superscript"/>
              </w:rPr>
              <w:t>3</w:t>
            </w:r>
            <w:r w:rsidRPr="00A86C6C">
              <w:rPr>
                <w:rFonts w:ascii="Arial" w:hAnsi="Arial" w:cs="Arial"/>
                <w:sz w:val="20"/>
                <w:szCs w:val="20"/>
              </w:rPr>
              <w:t xml:space="preserve"> of soil or sediment where below 5m Australian Height Datum AHD, or</w:t>
            </w:r>
          </w:p>
          <w:p w:rsidR="00A86C6C" w:rsidRPr="00A86C6C" w:rsidRDefault="00A86C6C" w:rsidP="00835683">
            <w:pPr>
              <w:pStyle w:val="NormalWeb"/>
              <w:numPr>
                <w:ilvl w:val="0"/>
                <w:numId w:val="23"/>
              </w:numPr>
              <w:spacing w:after="240" w:afterAutospacing="0"/>
              <w:rPr>
                <w:rFonts w:ascii="Arial" w:hAnsi="Arial" w:cs="Arial"/>
                <w:sz w:val="20"/>
                <w:szCs w:val="20"/>
              </w:rPr>
            </w:pPr>
            <w:r w:rsidRPr="00A86C6C">
              <w:rPr>
                <w:rFonts w:ascii="Arial" w:hAnsi="Arial" w:cs="Arial"/>
                <w:sz w:val="20"/>
                <w:szCs w:val="20"/>
              </w:rPr>
              <w:t>filling of land of more than 500m</w:t>
            </w:r>
            <w:r w:rsidRPr="00A86C6C">
              <w:rPr>
                <w:rFonts w:ascii="Arial" w:hAnsi="Arial" w:cs="Arial"/>
                <w:sz w:val="20"/>
                <w:szCs w:val="20"/>
                <w:vertAlign w:val="superscript"/>
              </w:rPr>
              <w:t>3</w:t>
            </w:r>
            <w:r w:rsidRPr="00A86C6C">
              <w:rPr>
                <w:rFonts w:ascii="Arial" w:hAnsi="Arial" w:cs="Arial"/>
                <w:sz w:val="20"/>
                <w:szCs w:val="20"/>
              </w:rPr>
              <w:t xml:space="preserve"> of material with an average depth of 0.5m or greater where below the 5m AHD.</w:t>
            </w:r>
          </w:p>
          <w:p w:rsidR="00A86C6C" w:rsidRPr="00A86C6C" w:rsidRDefault="00A86C6C" w:rsidP="00A86C6C">
            <w:pPr>
              <w:spacing w:beforeAutospacing="1" w:afterAutospacing="1"/>
              <w:ind w:left="720"/>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3DF92501" wp14:editId="1A0D7387">
                  <wp:extent cx="4857750" cy="2047875"/>
                  <wp:effectExtent l="0" t="0" r="0" b="9525"/>
                  <wp:docPr id="3" name="ID-2693433-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156" descr="Triggers diagra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The following are excluded from the native clearing provisions of this planning scheme:</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Clearing of native vegetation located within an approved development footprint;</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Clearing of native vegetation reasonably necessary to remove or reduce the risk vegetation poses to serious personal injury or damage to infrastructure;</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Clearing of native vegetation reasonably necessary for the purpose of maintenance or works within a registered easement for public infrastructure or drainage purposes;</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Clearing of native vegetation in accordance with a bushfire management plan prepared by a suitably qualified person, submitted to and accepted by Council;</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Clearing of native vegetation associated with removal of recognised weed species, maintaining existing open pastures and cropping land, windbreaks, lawns or created gardens;</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Grazing of native pasture by stock;</w:t>
                  </w:r>
                </w:p>
                <w:p w:rsidR="00FE64F8" w:rsidRPr="00A86C6C" w:rsidRDefault="00FE64F8" w:rsidP="00835683">
                  <w:pPr>
                    <w:pStyle w:val="NormalWeb"/>
                    <w:numPr>
                      <w:ilvl w:val="0"/>
                      <w:numId w:val="24"/>
                    </w:numPr>
                    <w:rPr>
                      <w:rFonts w:ascii="Arial" w:hAnsi="Arial" w:cs="Arial"/>
                      <w:sz w:val="20"/>
                      <w:szCs w:val="20"/>
                    </w:rPr>
                  </w:pPr>
                  <w:r w:rsidRPr="00A86C6C">
                    <w:rPr>
                      <w:rFonts w:ascii="Arial" w:hAnsi="Arial" w:cs="Arial"/>
                      <w:sz w:val="20"/>
                      <w:szCs w:val="20"/>
                    </w:rPr>
                    <w:t>Native forest practice where accepted development under Part 1, 1.7.7 Accepted development.</w:t>
                  </w:r>
                </w:p>
              </w:tc>
            </w:tr>
            <w:tr w:rsidR="00FE64F8" w:rsidRPr="00A86C6C" w:rsidTr="00A86C6C">
              <w:trPr>
                <w:tblCellSpacing w:w="15" w:type="dxa"/>
              </w:trPr>
              <w:tc>
                <w:tcPr>
                  <w:tcW w:w="14940" w:type="dxa"/>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 xml:space="preserve">Note - Definition for native vegetation </w:t>
                  </w:r>
                  <w:proofErr w:type="gramStart"/>
                  <w:r w:rsidRPr="00A86C6C">
                    <w:rPr>
                      <w:rFonts w:ascii="Arial" w:hAnsi="Arial" w:cs="Arial"/>
                      <w:sz w:val="20"/>
                      <w:szCs w:val="20"/>
                    </w:rPr>
                    <w:t>is located in</w:t>
                  </w:r>
                  <w:proofErr w:type="gramEnd"/>
                  <w:r w:rsidRPr="00A86C6C">
                    <w:rPr>
                      <w:rFonts w:ascii="Arial" w:hAnsi="Arial" w:cs="Arial"/>
                      <w:sz w:val="20"/>
                      <w:szCs w:val="20"/>
                    </w:rPr>
                    <w:t xml:space="preserve"> Schedule 1 Definitions.</w:t>
                  </w:r>
                </w:p>
              </w:tc>
            </w:tr>
          </w:tbl>
          <w:p w:rsidR="00FE64F8" w:rsidRPr="00A86C6C" w:rsidRDefault="00FE64F8" w:rsidP="00A86C6C">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 xml:space="preserve">Note - Native vegetation subject to </w:t>
                  </w:r>
                  <w:proofErr w:type="gramStart"/>
                  <w:r w:rsidRPr="00A86C6C">
                    <w:rPr>
                      <w:rFonts w:ascii="Arial" w:hAnsi="Arial" w:cs="Arial"/>
                      <w:sz w:val="20"/>
                      <w:szCs w:val="20"/>
                    </w:rPr>
                    <w:t>this criteria</w:t>
                  </w:r>
                  <w:proofErr w:type="gramEnd"/>
                  <w:r w:rsidRPr="00A86C6C">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FE64F8" w:rsidRPr="00A86C6C" w:rsidRDefault="00FE64F8" w:rsidP="00A86C6C">
                  <w:pPr>
                    <w:pStyle w:val="NormalWeb"/>
                    <w:rPr>
                      <w:rFonts w:ascii="Arial" w:hAnsi="Arial" w:cs="Arial"/>
                      <w:sz w:val="20"/>
                      <w:szCs w:val="20"/>
                    </w:rPr>
                  </w:pPr>
                  <w:r w:rsidRPr="00A86C6C">
                    <w:rPr>
                      <w:rFonts w:ascii="Arial" w:hAnsi="Arial" w:cs="Arial"/>
                      <w:sz w:val="20"/>
                      <w:szCs w:val="20"/>
                    </w:rPr>
                    <w:lastRenderedPageBreak/>
                    <w:t>Editors' Note - The accuracy of overlay mapping can be challenged through the development application process (code assessable development) or by way of a planning scheme amendment. See Council's website for details.</w:t>
                  </w:r>
                </w:p>
                <w:p w:rsidR="00FE64F8" w:rsidRPr="00A86C6C" w:rsidRDefault="00FE64F8" w:rsidP="00A86C6C">
                  <w:pPr>
                    <w:rPr>
                      <w:rFonts w:ascii="Arial" w:hAnsi="Arial" w:cs="Arial"/>
                      <w:sz w:val="20"/>
                      <w:szCs w:val="20"/>
                    </w:rPr>
                  </w:pPr>
                  <w:r w:rsidRPr="00A86C6C">
                    <w:rPr>
                      <w:rFonts w:ascii="Arial" w:hAnsi="Arial" w:cs="Arial"/>
                      <w:sz w:val="20"/>
                      <w:szCs w:val="20"/>
                    </w:rPr>
                    <w:t>Editors' Note - When clearing native vegetation within a MSES area, you may still require approval from the State government.</w:t>
                  </w:r>
                </w:p>
              </w:tc>
            </w:tr>
          </w:tbl>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no suitable land cleared of native vegetation exists, clearing of native vegetation in a High Value Area or Value Area is for the purpose of a new dwelling house</w:t>
            </w:r>
            <w:r w:rsidRPr="00A86C6C">
              <w:rPr>
                <w:rFonts w:ascii="Arial" w:hAnsi="Arial" w:cs="Arial"/>
                <w:sz w:val="20"/>
                <w:szCs w:val="20"/>
                <w:vertAlign w:val="superscript"/>
              </w:rPr>
              <w:t>(</w:t>
            </w:r>
            <w:hyperlink r:id="rId4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or extension to an existing dwelling house</w:t>
            </w:r>
            <w:r w:rsidRPr="00A86C6C">
              <w:rPr>
                <w:rFonts w:ascii="Arial" w:hAnsi="Arial" w:cs="Arial"/>
                <w:sz w:val="20"/>
                <w:szCs w:val="20"/>
                <w:vertAlign w:val="superscript"/>
              </w:rPr>
              <w:t>(</w:t>
            </w:r>
            <w:hyperlink r:id="rId4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only on lots less than 750m</w:t>
            </w:r>
            <w:r w:rsidRPr="00A86C6C">
              <w:rPr>
                <w:rFonts w:ascii="Arial" w:hAnsi="Arial" w:cs="Arial"/>
                <w:sz w:val="20"/>
                <w:szCs w:val="20"/>
                <w:vertAlign w:val="superscript"/>
              </w:rPr>
              <w:t>2</w:t>
            </w:r>
            <w:r w:rsidRPr="00A86C6C">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See in heading above for other uses excluded from native vegetation clearing requirements.</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A86C6C" w:rsidRPr="007B56B9" w:rsidRDefault="00A86C6C" w:rsidP="00835683">
                  <w:pPr>
                    <w:numPr>
                      <w:ilvl w:val="0"/>
                      <w:numId w:val="25"/>
                    </w:numPr>
                    <w:spacing w:before="100" w:beforeAutospacing="1" w:after="100" w:afterAutospacing="1"/>
                    <w:rPr>
                      <w:rFonts w:ascii="Arial" w:hAnsi="Arial" w:cs="Arial"/>
                      <w:sz w:val="18"/>
                      <w:szCs w:val="20"/>
                    </w:rPr>
                  </w:pPr>
                  <w:r w:rsidRPr="007B56B9">
                    <w:rPr>
                      <w:rFonts w:ascii="Arial" w:hAnsi="Arial" w:cs="Arial"/>
                      <w:sz w:val="18"/>
                      <w:szCs w:val="20"/>
                    </w:rPr>
                    <w:t>co-locating all associated activities, infrastructure and access strips;</w:t>
                  </w:r>
                </w:p>
                <w:p w:rsidR="00A86C6C" w:rsidRPr="007B56B9" w:rsidRDefault="00A86C6C" w:rsidP="00835683">
                  <w:pPr>
                    <w:numPr>
                      <w:ilvl w:val="0"/>
                      <w:numId w:val="25"/>
                    </w:numPr>
                    <w:spacing w:before="100" w:beforeAutospacing="1" w:after="100" w:afterAutospacing="1"/>
                    <w:rPr>
                      <w:rFonts w:ascii="Arial" w:hAnsi="Arial" w:cs="Arial"/>
                      <w:sz w:val="18"/>
                      <w:szCs w:val="20"/>
                    </w:rPr>
                  </w:pPr>
                  <w:r w:rsidRPr="007B56B9">
                    <w:rPr>
                      <w:rFonts w:ascii="Arial" w:hAnsi="Arial" w:cs="Arial"/>
                      <w:sz w:val="18"/>
                      <w:szCs w:val="20"/>
                    </w:rPr>
                    <w:t>be the least valued area of koala habitat on the site;</w:t>
                  </w:r>
                </w:p>
                <w:p w:rsidR="00A86C6C" w:rsidRPr="007B56B9" w:rsidRDefault="00A86C6C" w:rsidP="00835683">
                  <w:pPr>
                    <w:numPr>
                      <w:ilvl w:val="0"/>
                      <w:numId w:val="25"/>
                    </w:numPr>
                    <w:spacing w:before="100" w:beforeAutospacing="1" w:after="100" w:afterAutospacing="1"/>
                    <w:rPr>
                      <w:rFonts w:ascii="Arial" w:hAnsi="Arial" w:cs="Arial"/>
                      <w:sz w:val="18"/>
                      <w:szCs w:val="20"/>
                    </w:rPr>
                  </w:pPr>
                  <w:r w:rsidRPr="007B56B9">
                    <w:rPr>
                      <w:rFonts w:ascii="Arial" w:hAnsi="Arial" w:cs="Arial"/>
                      <w:sz w:val="18"/>
                      <w:szCs w:val="20"/>
                    </w:rPr>
                    <w:t>minimise the footprint of the development envelope area;</w:t>
                  </w:r>
                </w:p>
                <w:p w:rsidR="00A86C6C" w:rsidRPr="007B56B9" w:rsidRDefault="00A86C6C" w:rsidP="00835683">
                  <w:pPr>
                    <w:numPr>
                      <w:ilvl w:val="0"/>
                      <w:numId w:val="25"/>
                    </w:numPr>
                    <w:spacing w:before="100" w:beforeAutospacing="1" w:after="100" w:afterAutospacing="1"/>
                    <w:rPr>
                      <w:rFonts w:ascii="Arial" w:hAnsi="Arial" w:cs="Arial"/>
                      <w:sz w:val="18"/>
                      <w:szCs w:val="20"/>
                    </w:rPr>
                  </w:pPr>
                  <w:r w:rsidRPr="007B56B9">
                    <w:rPr>
                      <w:rFonts w:ascii="Arial" w:hAnsi="Arial" w:cs="Arial"/>
                      <w:sz w:val="18"/>
                      <w:szCs w:val="20"/>
                    </w:rPr>
                    <w:t>minimise edge effects to areas external to the development envelope;</w:t>
                  </w:r>
                </w:p>
                <w:p w:rsidR="00A86C6C" w:rsidRPr="007B56B9" w:rsidRDefault="00A86C6C" w:rsidP="00835683">
                  <w:pPr>
                    <w:numPr>
                      <w:ilvl w:val="0"/>
                      <w:numId w:val="25"/>
                    </w:numPr>
                    <w:spacing w:before="100" w:beforeAutospacing="1" w:after="100" w:afterAutospacing="1"/>
                    <w:rPr>
                      <w:rFonts w:ascii="Arial" w:hAnsi="Arial" w:cs="Arial"/>
                      <w:sz w:val="18"/>
                      <w:szCs w:val="20"/>
                    </w:rPr>
                  </w:pPr>
                  <w:r w:rsidRPr="007B56B9">
                    <w:rPr>
                      <w:rFonts w:ascii="Arial" w:hAnsi="Arial" w:cs="Arial"/>
                      <w:sz w:val="18"/>
                      <w:szCs w:val="20"/>
                    </w:rPr>
                    <w:t>location and design consideration to ensure koala safety and movement in accordance with the Koala-sensitive Design Guideline and Planning scheme policy – Environmental areas;</w:t>
                  </w:r>
                </w:p>
                <w:p w:rsidR="00A86C6C" w:rsidRPr="007B56B9" w:rsidRDefault="00A86C6C" w:rsidP="00835683">
                  <w:pPr>
                    <w:numPr>
                      <w:ilvl w:val="0"/>
                      <w:numId w:val="25"/>
                    </w:numPr>
                    <w:spacing w:before="100" w:beforeAutospacing="1" w:after="100" w:afterAutospacing="1"/>
                    <w:rPr>
                      <w:rFonts w:ascii="Arial" w:hAnsi="Arial" w:cs="Arial"/>
                      <w:sz w:val="18"/>
                      <w:szCs w:val="20"/>
                    </w:rPr>
                  </w:pPr>
                  <w:proofErr w:type="gramStart"/>
                  <w:r w:rsidRPr="007B56B9">
                    <w:rPr>
                      <w:rFonts w:ascii="Arial" w:hAnsi="Arial" w:cs="Arial"/>
                      <w:sz w:val="18"/>
                      <w:szCs w:val="20"/>
                    </w:rPr>
                    <w:t>sufficient</w:t>
                  </w:r>
                  <w:proofErr w:type="gramEnd"/>
                  <w:r w:rsidRPr="007B56B9">
                    <w:rPr>
                      <w:rFonts w:ascii="Arial" w:hAnsi="Arial" w:cs="Arial"/>
                      <w:sz w:val="18"/>
                      <w:szCs w:val="20"/>
                    </w:rPr>
                    <w:t xml:space="preserve"> area between the development and koala habitat trees to achieve their long-term viability.</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spacing w:before="100" w:beforeAutospacing="1" w:after="100" w:afterAutospacing="1"/>
                    <w:rPr>
                      <w:rFonts w:ascii="Arial" w:hAnsi="Arial" w:cs="Arial"/>
                      <w:sz w:val="18"/>
                      <w:szCs w:val="20"/>
                    </w:rPr>
                  </w:pPr>
                  <w:r w:rsidRPr="007B56B9">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RAD25</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No clearing of native vegetation is to occur within the Value Offset Area MLES - Waterway buffer </w:t>
            </w:r>
            <w:proofErr w:type="gramStart"/>
            <w:r w:rsidRPr="00A86C6C">
              <w:rPr>
                <w:rFonts w:ascii="Arial" w:hAnsi="Arial" w:cs="Arial"/>
                <w:sz w:val="20"/>
                <w:szCs w:val="20"/>
              </w:rPr>
              <w:t>or  Value</w:t>
            </w:r>
            <w:proofErr w:type="gramEnd"/>
            <w:r w:rsidRPr="00A86C6C">
              <w:rPr>
                <w:rFonts w:ascii="Arial" w:hAnsi="Arial" w:cs="Arial"/>
                <w:sz w:val="20"/>
                <w:szCs w:val="20"/>
              </w:rPr>
              <w:t xml:space="preserve"> Offset Area MLES - Wetland buffer.</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This does not apply to the following:</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located within an approved development footprint;</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reasonably necessary to remove or reduce the risk vegetation poses to serious personal injury or damage to infrastructure;</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 xml:space="preserve">Clearing of native vegetation reasonably necessary to construct and maintain a property boundary fence and not exceed 4m in width either side of the fence where in the Rural, </w:t>
            </w:r>
            <w:r w:rsidRPr="00A86C6C">
              <w:rPr>
                <w:rFonts w:ascii="Arial" w:hAnsi="Arial" w:cs="Arial"/>
                <w:sz w:val="20"/>
                <w:szCs w:val="20"/>
              </w:rPr>
              <w:lastRenderedPageBreak/>
              <w:t>Rural residential and Environmental management and conservation zones.  In any other zone, clearing is not to exceed 2m in width either side of the fence;</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reasonably necessary for the purpose of maintenance or works within a registered easement for public infrastructure or drainage purposes;</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in accordance with a bushfire management plan prepared by a suitably qualified person, submitted to and accepted by Council;</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associated with removal of recognised weed species, maintaining existing open pastures and cropping land, windbreaks, lawns or created gardens;</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Grazing of native pasture by stock;</w:t>
            </w:r>
          </w:p>
          <w:p w:rsidR="00A86C6C" w:rsidRPr="00A86C6C" w:rsidRDefault="00A86C6C" w:rsidP="00835683">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Native forest practice where accepted development under Part 1, 1.7.7 Accepted development.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Extractive resources separation area (refer Overlay map - Extractive resources (separation area)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RAD26</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result in more than one dwelling house</w:t>
            </w:r>
            <w:r w:rsidRPr="00A86C6C">
              <w:rPr>
                <w:rFonts w:ascii="Arial" w:hAnsi="Arial" w:cs="Arial"/>
                <w:sz w:val="20"/>
                <w:szCs w:val="20"/>
                <w:vertAlign w:val="superscript"/>
              </w:rPr>
              <w:t>(</w:t>
            </w:r>
            <w:hyperlink r:id="rId4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per lot within separation areas.</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RAD27</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within the separation area does not include the following uses:</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46"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47"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4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49"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50"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51"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52"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non-resident workforce accommodation</w:t>
            </w:r>
            <w:r w:rsidRPr="00A86C6C">
              <w:rPr>
                <w:rFonts w:ascii="Arial" w:hAnsi="Arial" w:cs="Arial"/>
                <w:sz w:val="20"/>
                <w:szCs w:val="20"/>
                <w:vertAlign w:val="superscript"/>
              </w:rPr>
              <w:t>(</w:t>
            </w:r>
            <w:hyperlink r:id="rId53"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54"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55"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56"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57"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58"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short-term accommodation</w:t>
            </w:r>
            <w:r w:rsidRPr="00A86C6C">
              <w:rPr>
                <w:rFonts w:ascii="Arial" w:hAnsi="Arial" w:cs="Arial"/>
                <w:sz w:val="20"/>
                <w:szCs w:val="20"/>
                <w:vertAlign w:val="superscript"/>
              </w:rPr>
              <w:t>(</w:t>
            </w:r>
            <w:hyperlink r:id="rId59"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7"/>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6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RAD28</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All habitable rooms within the separation area are:</w:t>
            </w:r>
          </w:p>
          <w:p w:rsidR="00A86C6C" w:rsidRPr="00A86C6C" w:rsidRDefault="00A86C6C" w:rsidP="00835683">
            <w:pPr>
              <w:pStyle w:val="NormalWeb"/>
              <w:numPr>
                <w:ilvl w:val="0"/>
                <w:numId w:val="28"/>
              </w:numPr>
              <w:rPr>
                <w:rFonts w:ascii="Arial" w:hAnsi="Arial" w:cs="Arial"/>
                <w:sz w:val="20"/>
                <w:szCs w:val="20"/>
              </w:rPr>
            </w:pPr>
            <w:r w:rsidRPr="00A86C6C">
              <w:rPr>
                <w:rFonts w:ascii="Arial" w:hAnsi="Arial" w:cs="Arial"/>
                <w:sz w:val="20"/>
                <w:szCs w:val="20"/>
              </w:rPr>
              <w:t>acoustically insulated to achieve the noise levels listed in Schedule 1 Acoustic Quality Objectives, Environmental Protection (Noise) Policy 2008;</w:t>
            </w:r>
          </w:p>
          <w:p w:rsidR="00A86C6C" w:rsidRPr="00A86C6C" w:rsidRDefault="00A86C6C" w:rsidP="00835683">
            <w:pPr>
              <w:pStyle w:val="NormalWeb"/>
              <w:numPr>
                <w:ilvl w:val="0"/>
                <w:numId w:val="28"/>
              </w:numPr>
              <w:rPr>
                <w:rFonts w:ascii="Arial" w:hAnsi="Arial" w:cs="Arial"/>
                <w:sz w:val="20"/>
                <w:szCs w:val="20"/>
              </w:rPr>
            </w:pPr>
            <w:r w:rsidRPr="00A86C6C">
              <w:rPr>
                <w:rFonts w:ascii="Arial" w:hAnsi="Arial" w:cs="Arial"/>
                <w:sz w:val="20"/>
                <w:szCs w:val="20"/>
              </w:rPr>
              <w:lastRenderedPageBreak/>
              <w:t>provided with mechanical ventilation.</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rHeight w:val="360"/>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RAD29</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Private open space areas are separated from the resource processing area by buildings or a 1.8m high solid structure.</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Extractive resources transport routes (refer Overlay map - Extractive resources (transport route and buffer)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RAD30</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following uses are not located within the 100m wide transport route buffer:</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61"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 except where located in the Extractive industry zone;</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62"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63"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Dwelling house;</w:t>
            </w:r>
            <w:r w:rsidRPr="00A86C6C">
              <w:rPr>
                <w:rFonts w:ascii="Arial" w:hAnsi="Arial" w:cs="Arial"/>
                <w:sz w:val="20"/>
                <w:szCs w:val="20"/>
                <w:vertAlign w:val="superscript"/>
              </w:rPr>
              <w:t>(</w:t>
            </w:r>
            <w:hyperlink r:id="rId6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65"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66"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67"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68"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Non-resident workforce accommodation</w:t>
            </w:r>
            <w:r w:rsidRPr="00A86C6C">
              <w:rPr>
                <w:rFonts w:ascii="Arial" w:hAnsi="Arial" w:cs="Arial"/>
                <w:sz w:val="20"/>
                <w:szCs w:val="20"/>
                <w:vertAlign w:val="superscript"/>
              </w:rPr>
              <w:t>(</w:t>
            </w:r>
            <w:hyperlink r:id="rId69"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70"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71"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72"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73"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74"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Short-term accommodation</w:t>
            </w:r>
            <w:r w:rsidRPr="00A86C6C">
              <w:rPr>
                <w:rFonts w:ascii="Arial" w:hAnsi="Arial" w:cs="Arial"/>
                <w:sz w:val="20"/>
                <w:szCs w:val="20"/>
                <w:vertAlign w:val="superscript"/>
              </w:rPr>
              <w:t>(</w:t>
            </w:r>
            <w:hyperlink r:id="rId75"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29"/>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76"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RAD31</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Except for an existing vacant lot, development does not create a new vehicle access point onto an Extractive resources transport route.</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RAD32</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 vehicle access point is located, designed and constructed in accordance with Planning scheme policy - Integrated design.</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Overland flow path (refer Overlay map - Overland flow path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RAD33</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does not involve the construction of a building or structure in an Overland flow path area.</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rPr>
                      <w:rFonts w:ascii="Arial" w:eastAsia="Times New Roman" w:hAnsi="Arial" w:cs="Arial"/>
                      <w:sz w:val="18"/>
                      <w:szCs w:val="20"/>
                    </w:rPr>
                  </w:pPr>
                  <w:r w:rsidRPr="007B56B9">
                    <w:rPr>
                      <w:rFonts w:ascii="Arial" w:eastAsia="Times New Roman"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7B56B9">
                    <w:rPr>
                      <w:rFonts w:ascii="Arial" w:eastAsia="Times New Roman" w:hAnsi="Arial" w:cs="Arial"/>
                      <w:sz w:val="18"/>
                      <w:szCs w:val="20"/>
                    </w:rPr>
                    <w:t>upstream, downstream or surrounding premises</w:t>
                  </w:r>
                  <w:proofErr w:type="gramEnd"/>
                  <w:r w:rsidRPr="007B56B9">
                    <w:rPr>
                      <w:rFonts w:ascii="Arial" w:eastAsia="Times New Roman" w:hAnsi="Arial" w:cs="Arial"/>
                      <w:sz w:val="18"/>
                      <w:szCs w:val="20"/>
                    </w:rPr>
                    <w:t>.</w:t>
                  </w:r>
                </w:p>
              </w:tc>
            </w:tr>
            <w:tr w:rsidR="00A86C6C" w:rsidRPr="00A86C6C" w:rsidTr="00A86C6C">
              <w:trPr>
                <w:tblCellSpacing w:w="15" w:type="dxa"/>
              </w:trPr>
              <w:tc>
                <w:tcPr>
                  <w:tcW w:w="14312" w:type="dxa"/>
                  <w:vAlign w:val="center"/>
                  <w:hideMark/>
                </w:tcPr>
                <w:p w:rsidR="00A86C6C" w:rsidRPr="007B56B9" w:rsidRDefault="00A86C6C" w:rsidP="00A86C6C">
                  <w:pPr>
                    <w:rPr>
                      <w:rFonts w:ascii="Arial" w:eastAsia="Times New Roman" w:hAnsi="Arial" w:cs="Arial"/>
                      <w:sz w:val="18"/>
                      <w:szCs w:val="20"/>
                    </w:rPr>
                  </w:pPr>
                  <w:r w:rsidRPr="007B56B9">
                    <w:rPr>
                      <w:rFonts w:ascii="Arial" w:eastAsia="Times New Roman" w:hAnsi="Arial" w:cs="Arial"/>
                      <w:sz w:val="18"/>
                      <w:szCs w:val="20"/>
                    </w:rPr>
                    <w:t>Note - Reporting to be prepared in accordance with Planning scheme policy – Flood hazard, Coastal hazard and Overland flow</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RAD35</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ensures that fencing in an overland flow path area is at least 50% permeable.</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RAD36</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RAD37</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for a Park</w:t>
            </w:r>
            <w:r w:rsidRPr="00A86C6C">
              <w:rPr>
                <w:rFonts w:ascii="Arial" w:hAnsi="Arial" w:cs="Arial"/>
                <w:sz w:val="20"/>
                <w:szCs w:val="20"/>
                <w:vertAlign w:val="superscript"/>
              </w:rPr>
              <w:t>(</w:t>
            </w:r>
            <w:hyperlink r:id="rId7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86C6C">
                <w:rPr>
                  <w:rStyle w:val="Hyperlink"/>
                  <w:rFonts w:ascii="Arial" w:hAnsi="Arial" w:cs="Arial"/>
                  <w:sz w:val="20"/>
                  <w:szCs w:val="20"/>
                  <w:vertAlign w:val="superscript"/>
                </w:rPr>
                <w:t>57</w:t>
              </w:r>
            </w:hyperlink>
            <w:r w:rsidRPr="00A86C6C">
              <w:rPr>
                <w:rFonts w:ascii="Arial" w:hAnsi="Arial" w:cs="Arial"/>
                <w:sz w:val="20"/>
                <w:szCs w:val="20"/>
                <w:vertAlign w:val="superscript"/>
              </w:rPr>
              <w:t>)</w:t>
            </w:r>
            <w:r w:rsidRPr="00A86C6C">
              <w:rPr>
                <w:rFonts w:ascii="Arial" w:hAnsi="Arial" w:cs="Arial"/>
                <w:sz w:val="20"/>
                <w:szCs w:val="20"/>
              </w:rPr>
              <w:t xml:space="preserve"> ensures that work is provided in accordance with the requirements set out in Appendix B of the Planning scheme policy - Integrated design.</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vAlign w:val="center"/>
                  <w:hideMark/>
                </w:tcPr>
                <w:p w:rsidR="00FE64F8" w:rsidRPr="00A86C6C" w:rsidRDefault="00FE64F8" w:rsidP="00A86C6C">
                  <w:pPr>
                    <w:rPr>
                      <w:rFonts w:ascii="Arial" w:eastAsia="Times New Roman" w:hAnsi="Arial" w:cs="Arial"/>
                      <w:sz w:val="20"/>
                      <w:szCs w:val="20"/>
                    </w:rPr>
                  </w:pPr>
                  <w:r w:rsidRPr="00A86C6C">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RAD38</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is for the preservation, maintenance, repair and restoration of the site, object or building.</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Preservation, maintenance, repair and restoration are defined in Schedule 1 - Definitions</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RAD39</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A86C6C" w:rsidRPr="00A86C6C" w:rsidRDefault="00A86C6C" w:rsidP="00A86C6C">
            <w:pPr>
              <w:rPr>
                <w:rFonts w:ascii="Arial" w:hAnsi="Arial" w:cs="Arial"/>
                <w:sz w:val="20"/>
                <w:szCs w:val="20"/>
              </w:rPr>
            </w:pPr>
            <w:r w:rsidRPr="00A86C6C">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RAD40</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RAD41</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A86C6C" w:rsidRPr="00A86C6C" w:rsidRDefault="00A86C6C" w:rsidP="00835683">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construction of any building;</w:t>
            </w:r>
          </w:p>
          <w:p w:rsidR="00A86C6C" w:rsidRPr="00A86C6C" w:rsidRDefault="00A86C6C" w:rsidP="00835683">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laying of overhead or underground services;</w:t>
            </w:r>
          </w:p>
          <w:p w:rsidR="00A86C6C" w:rsidRPr="00A86C6C" w:rsidRDefault="00A86C6C" w:rsidP="00835683">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any sealing, paving, soil compaction;</w:t>
            </w:r>
          </w:p>
          <w:p w:rsidR="00A86C6C" w:rsidRPr="00A86C6C" w:rsidRDefault="00A86C6C" w:rsidP="00835683">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any alteration of more than 75mm to the ground surface prior to work commencing.</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RAD42</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Pruning of a significant tree occurs in accordance with Australian Standard AS 4373- Pruning of amenity trees.</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Infrastructure buffers (refer Overlay map - Infrastructure buffers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RAD43</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include the following uses within a Wastewater treatment site buffer:</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Caretaker’s accommodation</w:t>
            </w:r>
            <w:r w:rsidRPr="00A86C6C">
              <w:rPr>
                <w:rFonts w:ascii="Arial" w:eastAsia="Times New Roman" w:hAnsi="Arial" w:cs="Arial"/>
                <w:sz w:val="20"/>
                <w:szCs w:val="20"/>
                <w:vertAlign w:val="superscript"/>
              </w:rPr>
              <w:t>(</w:t>
            </w:r>
            <w:hyperlink r:id="rId78" w:anchor="target-d768251e570643" w:tooltip="Caretaker’s accommodation - A dwelling provided for a caretaker of a non-residential use on the same premises." w:history="1">
              <w:r w:rsidRPr="00A86C6C">
                <w:rPr>
                  <w:rStyle w:val="Hyperlink"/>
                  <w:rFonts w:ascii="Arial" w:eastAsia="Times New Roman" w:hAnsi="Arial" w:cs="Arial"/>
                  <w:sz w:val="20"/>
                  <w:szCs w:val="20"/>
                  <w:vertAlign w:val="superscript"/>
                </w:rPr>
                <w:t>10</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Community residence</w:t>
            </w:r>
            <w:r w:rsidRPr="00A86C6C">
              <w:rPr>
                <w:rFonts w:ascii="Arial" w:eastAsia="Times New Roman" w:hAnsi="Arial" w:cs="Arial"/>
                <w:sz w:val="20"/>
                <w:szCs w:val="20"/>
                <w:vertAlign w:val="superscript"/>
              </w:rPr>
              <w:t>(</w:t>
            </w:r>
            <w:hyperlink r:id="rId79"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eastAsia="Times New Roman" w:hAnsi="Arial" w:cs="Arial"/>
                  <w:sz w:val="20"/>
                  <w:szCs w:val="20"/>
                  <w:vertAlign w:val="superscript"/>
                </w:rPr>
                <w:t>16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Dual occupancy</w:t>
            </w:r>
            <w:r w:rsidRPr="00A86C6C">
              <w:rPr>
                <w:rFonts w:ascii="Arial" w:eastAsia="Times New Roman" w:hAnsi="Arial" w:cs="Arial"/>
                <w:sz w:val="20"/>
                <w:szCs w:val="20"/>
                <w:vertAlign w:val="superscript"/>
              </w:rPr>
              <w:t>(</w:t>
            </w:r>
            <w:hyperlink r:id="rId8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eastAsia="Times New Roman" w:hAnsi="Arial" w:cs="Arial"/>
                  <w:sz w:val="20"/>
                  <w:szCs w:val="20"/>
                  <w:vertAlign w:val="superscript"/>
                </w:rPr>
                <w:t>21</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Dwelling house;</w:t>
            </w:r>
            <w:r w:rsidRPr="00A86C6C">
              <w:rPr>
                <w:rFonts w:ascii="Arial" w:eastAsia="Times New Roman" w:hAnsi="Arial" w:cs="Arial"/>
                <w:sz w:val="20"/>
                <w:szCs w:val="20"/>
                <w:vertAlign w:val="superscript"/>
              </w:rPr>
              <w:t>(</w:t>
            </w:r>
            <w:hyperlink r:id="rId8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eastAsia="Times New Roman" w:hAnsi="Arial" w:cs="Arial"/>
                  <w:sz w:val="20"/>
                  <w:szCs w:val="20"/>
                  <w:vertAlign w:val="superscript"/>
                </w:rPr>
                <w:t>22</w:t>
              </w:r>
            </w:hyperlink>
            <w:r w:rsidRPr="00A86C6C">
              <w:rPr>
                <w:rFonts w:ascii="Arial" w:eastAsia="Times New Roman" w:hAnsi="Arial" w:cs="Arial"/>
                <w:sz w:val="20"/>
                <w:szCs w:val="20"/>
                <w:vertAlign w:val="superscript"/>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Dwelling unit</w:t>
            </w:r>
            <w:r w:rsidRPr="00A86C6C">
              <w:rPr>
                <w:rFonts w:ascii="Arial" w:eastAsia="Times New Roman" w:hAnsi="Arial" w:cs="Arial"/>
                <w:sz w:val="20"/>
                <w:szCs w:val="20"/>
                <w:vertAlign w:val="superscript"/>
              </w:rPr>
              <w:t>(</w:t>
            </w:r>
            <w:hyperlink r:id="rId82" w:anchor="target-d768251e570919" w:tooltip="Dwelling unit - A single dwelling within a premises containing non residential use(s)." w:history="1">
              <w:r w:rsidRPr="00A86C6C">
                <w:rPr>
                  <w:rStyle w:val="Hyperlink"/>
                  <w:rFonts w:ascii="Arial" w:eastAsia="Times New Roman" w:hAnsi="Arial" w:cs="Arial"/>
                  <w:sz w:val="20"/>
                  <w:szCs w:val="20"/>
                  <w:vertAlign w:val="superscript"/>
                </w:rPr>
                <w:t>23</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Hospital</w:t>
            </w:r>
            <w:r w:rsidRPr="00A86C6C">
              <w:rPr>
                <w:rFonts w:ascii="Arial" w:eastAsia="Times New Roman" w:hAnsi="Arial" w:cs="Arial"/>
                <w:sz w:val="20"/>
                <w:szCs w:val="20"/>
                <w:vertAlign w:val="superscript"/>
              </w:rPr>
              <w:t>(</w:t>
            </w:r>
            <w:hyperlink r:id="rId83"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eastAsia="Times New Roman" w:hAnsi="Arial" w:cs="Arial"/>
                  <w:sz w:val="20"/>
                  <w:szCs w:val="20"/>
                  <w:vertAlign w:val="superscript"/>
                </w:rPr>
                <w:t>36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Rooming accommodation</w:t>
            </w:r>
            <w:r w:rsidRPr="00A86C6C">
              <w:rPr>
                <w:rFonts w:ascii="Arial" w:eastAsia="Times New Roman" w:hAnsi="Arial" w:cs="Arial"/>
                <w:sz w:val="20"/>
                <w:szCs w:val="20"/>
                <w:vertAlign w:val="superscript"/>
              </w:rPr>
              <w:t>(</w:t>
            </w:r>
            <w:hyperlink r:id="rId84" w:anchor="target-d768251e572066" w:tooltip="Rooming accommodation - Premises used for the accommodation of more than one household where each resident:" w:history="1">
              <w:r w:rsidRPr="00A86C6C">
                <w:rPr>
                  <w:rStyle w:val="Hyperlink"/>
                  <w:rFonts w:ascii="Arial" w:eastAsia="Times New Roman" w:hAnsi="Arial" w:cs="Arial"/>
                  <w:sz w:val="20"/>
                  <w:szCs w:val="20"/>
                  <w:vertAlign w:val="superscript"/>
                </w:rPr>
                <w:t>69</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Multiple dwelling</w:t>
            </w:r>
            <w:r w:rsidRPr="00A86C6C">
              <w:rPr>
                <w:rFonts w:ascii="Arial" w:eastAsia="Times New Roman" w:hAnsi="Arial" w:cs="Arial"/>
                <w:sz w:val="20"/>
                <w:szCs w:val="20"/>
                <w:vertAlign w:val="superscript"/>
              </w:rPr>
              <w:t>(</w:t>
            </w:r>
            <w:hyperlink r:id="rId85" w:anchor="target-d768251e571524" w:tooltip="Multiple dwelling - Premises containing three or more dwellings for separate households." w:history="1">
              <w:r w:rsidRPr="00A86C6C">
                <w:rPr>
                  <w:rStyle w:val="Hyperlink"/>
                  <w:rFonts w:ascii="Arial" w:eastAsia="Times New Roman" w:hAnsi="Arial" w:cs="Arial"/>
                  <w:sz w:val="20"/>
                  <w:szCs w:val="20"/>
                  <w:vertAlign w:val="superscript"/>
                </w:rPr>
                <w:t>49</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Non-resident workforce accommodation</w:t>
            </w:r>
            <w:r w:rsidRPr="00A86C6C">
              <w:rPr>
                <w:rFonts w:ascii="Arial" w:eastAsia="Times New Roman" w:hAnsi="Arial" w:cs="Arial"/>
                <w:sz w:val="20"/>
                <w:szCs w:val="20"/>
                <w:vertAlign w:val="superscript"/>
              </w:rPr>
              <w:t>(</w:t>
            </w:r>
            <w:hyperlink r:id="rId86"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eastAsia="Times New Roman" w:hAnsi="Arial" w:cs="Arial"/>
                  <w:sz w:val="20"/>
                  <w:szCs w:val="20"/>
                  <w:vertAlign w:val="superscript"/>
                </w:rPr>
                <w:t>52</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Relocatable home park</w:t>
            </w:r>
            <w:r w:rsidRPr="00A86C6C">
              <w:rPr>
                <w:rFonts w:ascii="Arial" w:eastAsia="Times New Roman" w:hAnsi="Arial" w:cs="Arial"/>
                <w:sz w:val="20"/>
                <w:szCs w:val="20"/>
                <w:vertAlign w:val="superscript"/>
              </w:rPr>
              <w:t>(</w:t>
            </w:r>
            <w:hyperlink r:id="rId87"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eastAsia="Times New Roman" w:hAnsi="Arial" w:cs="Arial"/>
                  <w:sz w:val="20"/>
                  <w:szCs w:val="20"/>
                  <w:vertAlign w:val="superscript"/>
                </w:rPr>
                <w:t>62</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Residential care facility</w:t>
            </w:r>
            <w:r w:rsidRPr="00A86C6C">
              <w:rPr>
                <w:rFonts w:ascii="Arial" w:eastAsia="Times New Roman" w:hAnsi="Arial" w:cs="Arial"/>
                <w:sz w:val="20"/>
                <w:szCs w:val="20"/>
                <w:vertAlign w:val="superscript"/>
              </w:rPr>
              <w:t>(</w:t>
            </w:r>
            <w:hyperlink r:id="rId88"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eastAsia="Times New Roman" w:hAnsi="Arial" w:cs="Arial"/>
                  <w:sz w:val="20"/>
                  <w:szCs w:val="20"/>
                  <w:vertAlign w:val="superscript"/>
                </w:rPr>
                <w:t>65</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Resort complex</w:t>
            </w:r>
            <w:r w:rsidRPr="00A86C6C">
              <w:rPr>
                <w:rFonts w:ascii="Arial" w:eastAsia="Times New Roman" w:hAnsi="Arial" w:cs="Arial"/>
                <w:sz w:val="20"/>
                <w:szCs w:val="20"/>
                <w:vertAlign w:val="superscript"/>
              </w:rPr>
              <w:t>(</w:t>
            </w:r>
            <w:hyperlink r:id="rId89" w:anchor="target-d768251e571954" w:tooltip="Resort complex - Premises used for tourist and visitor short-term accommodation that include integrated leisure facilities including:" w:history="1">
              <w:r w:rsidRPr="00A86C6C">
                <w:rPr>
                  <w:rStyle w:val="Hyperlink"/>
                  <w:rFonts w:ascii="Arial" w:eastAsia="Times New Roman" w:hAnsi="Arial" w:cs="Arial"/>
                  <w:sz w:val="20"/>
                  <w:szCs w:val="20"/>
                  <w:vertAlign w:val="superscript"/>
                </w:rPr>
                <w:t>66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Retirement facility</w:t>
            </w:r>
            <w:r w:rsidRPr="00A86C6C">
              <w:rPr>
                <w:rFonts w:ascii="Arial" w:eastAsia="Times New Roman" w:hAnsi="Arial" w:cs="Arial"/>
                <w:sz w:val="20"/>
                <w:szCs w:val="20"/>
                <w:vertAlign w:val="superscript"/>
              </w:rPr>
              <w:t>(</w:t>
            </w:r>
            <w:hyperlink r:id="rId90"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eastAsia="Times New Roman" w:hAnsi="Arial" w:cs="Arial"/>
                  <w:sz w:val="20"/>
                  <w:szCs w:val="20"/>
                  <w:vertAlign w:val="superscript"/>
                </w:rPr>
                <w:t>67</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Rural workers’ accommodation</w:t>
            </w:r>
            <w:r w:rsidRPr="00A86C6C">
              <w:rPr>
                <w:rFonts w:ascii="Arial" w:eastAsia="Times New Roman" w:hAnsi="Arial" w:cs="Arial"/>
                <w:sz w:val="20"/>
                <w:szCs w:val="20"/>
                <w:vertAlign w:val="superscript"/>
              </w:rPr>
              <w:t>(</w:t>
            </w:r>
            <w:hyperlink r:id="rId91"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eastAsia="Times New Roman" w:hAnsi="Arial" w:cs="Arial"/>
                  <w:sz w:val="20"/>
                  <w:szCs w:val="20"/>
                  <w:vertAlign w:val="superscript"/>
                </w:rPr>
                <w:t>71</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Short-term accommodation</w:t>
            </w:r>
            <w:r w:rsidRPr="00A86C6C">
              <w:rPr>
                <w:rFonts w:ascii="Arial" w:eastAsia="Times New Roman" w:hAnsi="Arial" w:cs="Arial"/>
                <w:sz w:val="20"/>
                <w:szCs w:val="20"/>
                <w:vertAlign w:val="superscript"/>
              </w:rPr>
              <w:t>(</w:t>
            </w:r>
            <w:hyperlink r:id="rId92"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eastAsia="Times New Roman" w:hAnsi="Arial" w:cs="Arial"/>
                  <w:sz w:val="20"/>
                  <w:szCs w:val="20"/>
                  <w:vertAlign w:val="superscript"/>
                </w:rPr>
                <w:t>77</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835683">
            <w:pPr>
              <w:numPr>
                <w:ilvl w:val="0"/>
                <w:numId w:val="3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Tourist park</w:t>
            </w:r>
            <w:r w:rsidRPr="00A86C6C">
              <w:rPr>
                <w:rFonts w:ascii="Arial" w:eastAsia="Times New Roman" w:hAnsi="Arial" w:cs="Arial"/>
                <w:sz w:val="20"/>
                <w:szCs w:val="20"/>
                <w:vertAlign w:val="superscript"/>
              </w:rPr>
              <w:t>(</w:t>
            </w:r>
            <w:hyperlink r:id="rId9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eastAsia="Times New Roman" w:hAnsi="Arial" w:cs="Arial"/>
                  <w:sz w:val="20"/>
                  <w:szCs w:val="20"/>
                  <w:vertAlign w:val="superscript"/>
                </w:rPr>
                <w:t>84</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 the construction of any buildings or structures within a Bulk water supply infrastructure buffer.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RAD45</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involving a major hazard facility or an Environmentally Relevant Activity (ERA) is setback 30m from a Bulk water supply infrastructure buffer.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RAD46</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 the construction of any buildings or structures within the Gas pipeline buffer.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RAD47</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include the following uses located within a landfill site buffer:</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94"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95"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96"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dwelling house;</w:t>
            </w:r>
            <w:r w:rsidRPr="00A86C6C">
              <w:rPr>
                <w:rFonts w:ascii="Arial" w:hAnsi="Arial" w:cs="Arial"/>
                <w:sz w:val="20"/>
                <w:szCs w:val="20"/>
                <w:vertAlign w:val="superscript"/>
              </w:rPr>
              <w:t>(</w:t>
            </w:r>
            <w:hyperlink r:id="rId9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98"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99"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100"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101"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non-resident workforce accommodation</w:t>
            </w:r>
            <w:r w:rsidRPr="00A86C6C">
              <w:rPr>
                <w:rFonts w:ascii="Arial" w:hAnsi="Arial" w:cs="Arial"/>
                <w:sz w:val="20"/>
                <w:szCs w:val="20"/>
                <w:vertAlign w:val="superscript"/>
              </w:rPr>
              <w:t>(</w:t>
            </w:r>
            <w:hyperlink r:id="rId102"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103"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104"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105"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106"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107"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short term accommodation</w:t>
            </w:r>
            <w:r w:rsidRPr="00A86C6C">
              <w:rPr>
                <w:rFonts w:ascii="Arial" w:hAnsi="Arial" w:cs="Arial"/>
                <w:sz w:val="20"/>
                <w:szCs w:val="20"/>
                <w:vertAlign w:val="superscript"/>
              </w:rPr>
              <w:t>(</w:t>
            </w:r>
            <w:hyperlink r:id="rId108"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835683">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10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RAD48</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All habitable rooms located within an Electricity supply substation buffer are:</w:t>
            </w:r>
          </w:p>
          <w:p w:rsidR="00A86C6C" w:rsidRPr="00A86C6C" w:rsidRDefault="00A86C6C" w:rsidP="00835683">
            <w:pPr>
              <w:numPr>
                <w:ilvl w:val="0"/>
                <w:numId w:val="33"/>
              </w:numPr>
              <w:spacing w:before="100" w:beforeAutospacing="1" w:after="100" w:afterAutospacing="1"/>
              <w:rPr>
                <w:rFonts w:ascii="Arial" w:hAnsi="Arial" w:cs="Arial"/>
                <w:sz w:val="20"/>
                <w:szCs w:val="20"/>
              </w:rPr>
            </w:pPr>
            <w:r w:rsidRPr="00A86C6C">
              <w:rPr>
                <w:rFonts w:ascii="Arial" w:hAnsi="Arial" w:cs="Arial"/>
                <w:sz w:val="20"/>
                <w:szCs w:val="20"/>
              </w:rPr>
              <w:t>located a minimum of 10m from an electricity supply substation</w:t>
            </w:r>
            <w:r w:rsidRPr="00A86C6C">
              <w:rPr>
                <w:rFonts w:ascii="Arial" w:hAnsi="Arial" w:cs="Arial"/>
                <w:sz w:val="20"/>
                <w:szCs w:val="20"/>
                <w:vertAlign w:val="superscript"/>
              </w:rPr>
              <w:t>(</w:t>
            </w:r>
            <w:hyperlink r:id="rId110" w:anchor="target-d768251e572400" w:tooltip="Substation - Premises forming part of a transmission grid or supply network under the Electricity Act 1994, and used for:" w:history="1">
              <w:r w:rsidRPr="00A86C6C">
                <w:rPr>
                  <w:rStyle w:val="Hyperlink"/>
                  <w:rFonts w:ascii="Arial" w:hAnsi="Arial" w:cs="Arial"/>
                  <w:sz w:val="20"/>
                  <w:szCs w:val="20"/>
                  <w:vertAlign w:val="superscript"/>
                </w:rPr>
                <w:t>80</w:t>
              </w:r>
            </w:hyperlink>
            <w:r w:rsidRPr="00A86C6C">
              <w:rPr>
                <w:rFonts w:ascii="Arial" w:hAnsi="Arial" w:cs="Arial"/>
                <w:sz w:val="20"/>
                <w:szCs w:val="20"/>
                <w:vertAlign w:val="superscript"/>
              </w:rPr>
              <w:t>)</w:t>
            </w:r>
            <w:r w:rsidRPr="00A86C6C">
              <w:rPr>
                <w:rFonts w:ascii="Arial" w:hAnsi="Arial" w:cs="Arial"/>
                <w:sz w:val="20"/>
                <w:szCs w:val="20"/>
              </w:rPr>
              <w:t xml:space="preserve"> ; and</w:t>
            </w:r>
          </w:p>
          <w:p w:rsidR="00A86C6C" w:rsidRPr="00A86C6C" w:rsidRDefault="00A86C6C" w:rsidP="00835683">
            <w:pPr>
              <w:numPr>
                <w:ilvl w:val="0"/>
                <w:numId w:val="33"/>
              </w:numPr>
              <w:spacing w:before="100" w:beforeAutospacing="1" w:after="100" w:afterAutospacing="1"/>
              <w:rPr>
                <w:rFonts w:ascii="Arial" w:hAnsi="Arial" w:cs="Arial"/>
                <w:sz w:val="20"/>
                <w:szCs w:val="20"/>
              </w:rPr>
            </w:pPr>
            <w:r w:rsidRPr="00A86C6C">
              <w:rPr>
                <w:rFonts w:ascii="Arial" w:hAnsi="Arial" w:cs="Arial"/>
                <w:sz w:val="20"/>
                <w:szCs w:val="20"/>
              </w:rPr>
              <w:t>acoustically insulated to achieve the noise levels listed in Schedule 1, Acoustic Quality Objectives, Environmental Protection (Noise) Policy 2008.</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RAD49</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 the construction of any buildings or structures containing habitable rooms or sensitive land uses within a High voltage electricity line buffer.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W1, W2 and W3 waterway and drainage lines, and wetlands are mapped on Schedule 2, Section 2.5 Overlay Maps – Riparian and wetland setbacks.</w:t>
                  </w:r>
                </w:p>
              </w:tc>
            </w:tr>
          </w:tbl>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RAD50</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No development is to occur within:</w:t>
            </w:r>
          </w:p>
          <w:p w:rsidR="00A86C6C" w:rsidRPr="00A86C6C" w:rsidRDefault="00A86C6C" w:rsidP="00835683">
            <w:pPr>
              <w:pStyle w:val="NormalWeb"/>
              <w:numPr>
                <w:ilvl w:val="0"/>
                <w:numId w:val="34"/>
              </w:numPr>
              <w:rPr>
                <w:rFonts w:ascii="Arial" w:hAnsi="Arial" w:cs="Arial"/>
                <w:sz w:val="20"/>
                <w:szCs w:val="20"/>
              </w:rPr>
            </w:pPr>
            <w:r w:rsidRPr="00A86C6C">
              <w:rPr>
                <w:rFonts w:ascii="Arial" w:hAnsi="Arial" w:cs="Arial"/>
                <w:sz w:val="20"/>
                <w:szCs w:val="20"/>
              </w:rPr>
              <w:t>50m from top of bank for W1 waterway and drainage line</w:t>
            </w:r>
          </w:p>
          <w:p w:rsidR="00A86C6C" w:rsidRPr="00A86C6C" w:rsidRDefault="00A86C6C" w:rsidP="00835683">
            <w:pPr>
              <w:pStyle w:val="NormalWeb"/>
              <w:numPr>
                <w:ilvl w:val="0"/>
                <w:numId w:val="34"/>
              </w:numPr>
              <w:rPr>
                <w:rFonts w:ascii="Arial" w:hAnsi="Arial" w:cs="Arial"/>
                <w:sz w:val="20"/>
                <w:szCs w:val="20"/>
              </w:rPr>
            </w:pPr>
            <w:r w:rsidRPr="00A86C6C">
              <w:rPr>
                <w:rFonts w:ascii="Arial" w:hAnsi="Arial" w:cs="Arial"/>
                <w:sz w:val="20"/>
                <w:szCs w:val="20"/>
              </w:rPr>
              <w:lastRenderedPageBreak/>
              <w:t>30m from top of bank for W2 waterway and drainage line</w:t>
            </w:r>
          </w:p>
          <w:p w:rsidR="00A86C6C" w:rsidRPr="00A86C6C" w:rsidRDefault="00A86C6C" w:rsidP="00835683">
            <w:pPr>
              <w:pStyle w:val="NormalWeb"/>
              <w:numPr>
                <w:ilvl w:val="0"/>
                <w:numId w:val="34"/>
              </w:numPr>
              <w:rPr>
                <w:rFonts w:ascii="Arial" w:hAnsi="Arial" w:cs="Arial"/>
                <w:sz w:val="20"/>
                <w:szCs w:val="20"/>
              </w:rPr>
            </w:pPr>
            <w:r w:rsidRPr="00A86C6C">
              <w:rPr>
                <w:rFonts w:ascii="Arial" w:hAnsi="Arial" w:cs="Arial"/>
                <w:sz w:val="20"/>
                <w:szCs w:val="20"/>
              </w:rPr>
              <w:t>20m from top of bank for W3 waterway and drainage line</w:t>
            </w:r>
          </w:p>
          <w:p w:rsidR="00A86C6C" w:rsidRPr="00A86C6C" w:rsidRDefault="00A86C6C" w:rsidP="00835683">
            <w:pPr>
              <w:pStyle w:val="NormalWeb"/>
              <w:numPr>
                <w:ilvl w:val="0"/>
                <w:numId w:val="34"/>
              </w:numPr>
              <w:rPr>
                <w:rFonts w:ascii="Arial" w:hAnsi="Arial" w:cs="Arial"/>
                <w:sz w:val="20"/>
                <w:szCs w:val="20"/>
              </w:rPr>
            </w:pPr>
            <w:r w:rsidRPr="00A86C6C">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W1, W2 and W3 waterways and drainage lines, and wetlands are mapped on Schedule 2, Section 2.5 Overlay Maps – Riparian and wetland setbacks.</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 xml:space="preserve">Note - The minimum setback distance applies to </w:t>
                  </w:r>
                  <w:proofErr w:type="gramStart"/>
                  <w:r w:rsidRPr="007B56B9">
                    <w:rPr>
                      <w:rFonts w:ascii="Arial" w:hAnsi="Arial" w:cs="Arial"/>
                      <w:sz w:val="18"/>
                      <w:szCs w:val="20"/>
                    </w:rPr>
                    <w:t>the each</w:t>
                  </w:r>
                  <w:proofErr w:type="gramEnd"/>
                  <w:r w:rsidRPr="007B56B9">
                    <w:rPr>
                      <w:rFonts w:ascii="Arial" w:hAnsi="Arial" w:cs="Arial"/>
                      <w:sz w:val="18"/>
                      <w:szCs w:val="20"/>
                    </w:rPr>
                    <w:t xml:space="preserve"> side of waterway.</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Scenic amenity - Regionally significant (Hills) and Locally important (Coast) - (refer Overlay map - Scenic amenity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RAD51</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buildings and structures are not:</w:t>
            </w:r>
          </w:p>
          <w:p w:rsidR="00A86C6C" w:rsidRPr="00A86C6C" w:rsidRDefault="00A86C6C" w:rsidP="00835683">
            <w:pPr>
              <w:numPr>
                <w:ilvl w:val="0"/>
                <w:numId w:val="35"/>
              </w:numPr>
              <w:spacing w:before="100" w:beforeAutospacing="1" w:after="100" w:afterAutospacing="1"/>
              <w:rPr>
                <w:rFonts w:ascii="Arial" w:hAnsi="Arial" w:cs="Arial"/>
                <w:sz w:val="20"/>
                <w:szCs w:val="20"/>
              </w:rPr>
            </w:pPr>
            <w:r w:rsidRPr="00A86C6C">
              <w:rPr>
                <w:rFonts w:ascii="Arial" w:hAnsi="Arial" w:cs="Arial"/>
                <w:sz w:val="20"/>
                <w:szCs w:val="20"/>
              </w:rPr>
              <w:t>located on a hill top or ridge line; and</w:t>
            </w:r>
          </w:p>
          <w:p w:rsidR="00A86C6C" w:rsidRPr="00A86C6C" w:rsidRDefault="00A86C6C" w:rsidP="00835683">
            <w:pPr>
              <w:numPr>
                <w:ilvl w:val="0"/>
                <w:numId w:val="35"/>
              </w:numPr>
              <w:spacing w:before="100" w:beforeAutospacing="1" w:after="100" w:afterAutospacing="1"/>
              <w:rPr>
                <w:rFonts w:ascii="Arial" w:hAnsi="Arial" w:cs="Arial"/>
                <w:sz w:val="20"/>
                <w:szCs w:val="20"/>
              </w:rPr>
            </w:pPr>
            <w:r w:rsidRPr="00A86C6C">
              <w:rPr>
                <w:rFonts w:ascii="Arial" w:hAnsi="Arial" w:cs="Arial"/>
                <w:sz w:val="20"/>
                <w:szCs w:val="20"/>
              </w:rPr>
              <w:t>all parts of the building and structure are located below the hill top or ridge line.</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 </w:t>
            </w:r>
          </w:p>
          <w:p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1115C58E" wp14:editId="0B48A551">
                  <wp:extent cx="2838450" cy="2614950"/>
                  <wp:effectExtent l="0" t="0" r="0" b="0"/>
                  <wp:docPr id="4" name="ID-2693433-2881"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2881" descr="Sitting on a slope"/>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47670" cy="2623444"/>
                          </a:xfrm>
                          <a:prstGeom prst="rect">
                            <a:avLst/>
                          </a:prstGeom>
                          <a:noFill/>
                          <a:ln>
                            <a:noFill/>
                          </a:ln>
                        </pic:spPr>
                      </pic:pic>
                    </a:graphicData>
                  </a:graphic>
                </wp:inline>
              </w:drawing>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RAD52</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driveways and accessways:</w:t>
            </w:r>
          </w:p>
          <w:p w:rsidR="00A86C6C" w:rsidRPr="00A86C6C" w:rsidRDefault="00A86C6C" w:rsidP="00835683">
            <w:pPr>
              <w:numPr>
                <w:ilvl w:val="0"/>
                <w:numId w:val="36"/>
              </w:numPr>
              <w:spacing w:before="100" w:beforeAutospacing="1" w:after="100" w:afterAutospacing="1"/>
              <w:rPr>
                <w:rFonts w:ascii="Arial" w:hAnsi="Arial" w:cs="Arial"/>
                <w:sz w:val="20"/>
                <w:szCs w:val="20"/>
              </w:rPr>
            </w:pPr>
            <w:r w:rsidRPr="00A86C6C">
              <w:rPr>
                <w:rFonts w:ascii="Arial" w:hAnsi="Arial" w:cs="Arial"/>
                <w:sz w:val="20"/>
                <w:szCs w:val="20"/>
              </w:rPr>
              <w:t>go across land contours and do not cut straight up slopes;</w:t>
            </w:r>
          </w:p>
          <w:p w:rsidR="00A86C6C" w:rsidRPr="00A86C6C" w:rsidRDefault="00A86C6C" w:rsidP="00835683">
            <w:pPr>
              <w:numPr>
                <w:ilvl w:val="0"/>
                <w:numId w:val="36"/>
              </w:numPr>
              <w:spacing w:before="100" w:beforeAutospacing="1" w:after="100" w:afterAutospacing="1"/>
              <w:rPr>
                <w:rFonts w:ascii="Arial" w:hAnsi="Arial" w:cs="Arial"/>
                <w:sz w:val="20"/>
                <w:szCs w:val="20"/>
              </w:rPr>
            </w:pPr>
            <w:r w:rsidRPr="00A86C6C">
              <w:rPr>
                <w:rFonts w:ascii="Arial" w:hAnsi="Arial" w:cs="Arial"/>
                <w:sz w:val="20"/>
                <w:szCs w:val="20"/>
              </w:rPr>
              <w:t>follow natural contours, not resulting in batters or retaining walls being greater than 1m in height.</w:t>
            </w:r>
          </w:p>
          <w:p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7CFAC7E6" wp14:editId="3BD3BA97">
                  <wp:extent cx="2736850" cy="2316910"/>
                  <wp:effectExtent l="0" t="0" r="6350" b="7620"/>
                  <wp:docPr id="5" name="ID-2693433-288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2883" descr="Garages and driveways pic"/>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40347" cy="2319871"/>
                          </a:xfrm>
                          <a:prstGeom prst="rect">
                            <a:avLst/>
                          </a:prstGeom>
                          <a:noFill/>
                          <a:ln>
                            <a:noFill/>
                          </a:ln>
                        </pic:spPr>
                      </pic:pic>
                    </a:graphicData>
                  </a:graphic>
                </wp:inline>
              </w:drawing>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 </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RAD53</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roofs and wall surfaces of buildings and structures adopt the following colours:</w:t>
            </w:r>
          </w:p>
          <w:tbl>
            <w:tblPr>
              <w:tblW w:w="8457"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886"/>
              <w:gridCol w:w="3118"/>
              <w:gridCol w:w="2453"/>
            </w:tblGrid>
            <w:tr w:rsidR="00A86C6C" w:rsidRPr="00A86C6C" w:rsidTr="00A86C6C">
              <w:trPr>
                <w:tblCellSpacing w:w="15" w:type="dxa"/>
              </w:trPr>
              <w:tc>
                <w:tcPr>
                  <w:tcW w:w="4965" w:type="pct"/>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A86C6C" w:rsidRPr="00A86C6C" w:rsidRDefault="00A86C6C" w:rsidP="00A86C6C">
                  <w:pPr>
                    <w:pStyle w:val="NormalWeb"/>
                    <w:jc w:val="center"/>
                    <w:rPr>
                      <w:rFonts w:ascii="Arial" w:hAnsi="Arial" w:cs="Arial"/>
                      <w:b/>
                      <w:bCs/>
                      <w:sz w:val="20"/>
                      <w:szCs w:val="20"/>
                    </w:rPr>
                  </w:pPr>
                  <w:r w:rsidRPr="00A86C6C">
                    <w:rPr>
                      <w:rFonts w:ascii="Arial" w:hAnsi="Arial" w:cs="Arial"/>
                      <w:b/>
                      <w:bCs/>
                      <w:sz w:val="20"/>
                      <w:szCs w:val="20"/>
                    </w:rPr>
                    <w:t>Colours from Australian Standard AS2700s – 1996</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G12 – Holly</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G53 – Banksia</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N44 – Bridge Grey</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G13 – Emerald</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G54 – Mist Green</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N45 – Koala Grey</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G14 – Moss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G55 – Lichen</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N52 – Mid Grey</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G15 – Rainforest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G56 – Sage Green</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N54 – Basalt</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G16 – Traffic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G62 – Rivergum</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N55 – Lead Grey</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G17 – Mint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G64 – Slate</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X54 – Brown</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G21 – Jade</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G65 – </w:t>
                  </w:r>
                  <w:proofErr w:type="spellStart"/>
                  <w:r w:rsidRPr="00A86C6C">
                    <w:rPr>
                      <w:rFonts w:ascii="Arial" w:hAnsi="Arial" w:cs="Arial"/>
                      <w:sz w:val="20"/>
                      <w:szCs w:val="20"/>
                    </w:rPr>
                    <w:t>Ti</w:t>
                  </w:r>
                  <w:proofErr w:type="spellEnd"/>
                  <w:r w:rsidRPr="00A86C6C">
                    <w:rPr>
                      <w:rFonts w:ascii="Arial" w:hAnsi="Arial" w:cs="Arial"/>
                      <w:sz w:val="20"/>
                      <w:szCs w:val="20"/>
                    </w:rPr>
                    <w:t xml:space="preserve"> Tree</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X61 – Wombat</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G22 – Serpentine</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N25 – Birch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X62 – Dark Earth</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lastRenderedPageBreak/>
                    <w:t>G23 – Shamrock</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N32 – Green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X63 – Iron Bark</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G24 – Fern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N33 – Lightbox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Y51 – Bronze Olive</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G25 – Olive</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N35 – Light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Y61 – Black Olive</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G34 – Avocado</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N41 – Oyster </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Y63 – Khaki</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G52 – Eucalyptus</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N42 – Storm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Y66 – Mudstone</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 </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N43 – Pipeline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 </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Where located in </w:t>
            </w:r>
            <w:proofErr w:type="gramStart"/>
            <w:r w:rsidRPr="00A86C6C">
              <w:rPr>
                <w:rFonts w:ascii="Arial" w:hAnsi="Arial" w:cs="Arial"/>
                <w:sz w:val="20"/>
                <w:szCs w:val="20"/>
              </w:rPr>
              <w:t>the  Regionally</w:t>
            </w:r>
            <w:proofErr w:type="gramEnd"/>
            <w:r w:rsidRPr="00A86C6C">
              <w:rPr>
                <w:rFonts w:ascii="Arial" w:hAnsi="Arial" w:cs="Arial"/>
                <w:sz w:val="20"/>
                <w:szCs w:val="20"/>
              </w:rPr>
              <w:t xml:space="preserve"> significant (Hills) scenic amenity overlay, roofs and wall surfaces of buildings and structures are painted or finished such that reflectivity is less than 35%.</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RAD55</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Where </w:t>
            </w:r>
            <w:proofErr w:type="gramStart"/>
            <w:r w:rsidRPr="00A86C6C">
              <w:rPr>
                <w:rFonts w:ascii="Arial" w:hAnsi="Arial" w:cs="Arial"/>
                <w:sz w:val="20"/>
                <w:szCs w:val="20"/>
              </w:rPr>
              <w:t>located  in</w:t>
            </w:r>
            <w:proofErr w:type="gramEnd"/>
            <w:r w:rsidRPr="00A86C6C">
              <w:rPr>
                <w:rFonts w:ascii="Arial" w:hAnsi="Arial" w:cs="Arial"/>
                <w:sz w:val="20"/>
                <w:szCs w:val="20"/>
              </w:rPr>
              <w:t xml:space="preserve"> the Locally important (Coast) scenic amenity overlay;</w:t>
            </w:r>
          </w:p>
          <w:p w:rsidR="00A86C6C" w:rsidRPr="00A86C6C" w:rsidRDefault="00A86C6C" w:rsidP="00835683">
            <w:pPr>
              <w:numPr>
                <w:ilvl w:val="0"/>
                <w:numId w:val="37"/>
              </w:numPr>
              <w:spacing w:before="100" w:beforeAutospacing="1" w:after="100" w:afterAutospacing="1"/>
              <w:rPr>
                <w:rFonts w:ascii="Arial" w:hAnsi="Arial" w:cs="Arial"/>
                <w:sz w:val="20"/>
                <w:szCs w:val="20"/>
              </w:rPr>
            </w:pPr>
            <w:r w:rsidRPr="00A86C6C">
              <w:rPr>
                <w:rFonts w:ascii="Arial" w:hAnsi="Arial" w:cs="Arial"/>
                <w:sz w:val="20"/>
                <w:szCs w:val="20"/>
              </w:rPr>
              <w:t>landscaping comprises indigenous coastal species;</w:t>
            </w:r>
          </w:p>
          <w:p w:rsidR="00A86C6C" w:rsidRPr="00A86C6C" w:rsidRDefault="00A86C6C" w:rsidP="00835683">
            <w:pPr>
              <w:numPr>
                <w:ilvl w:val="0"/>
                <w:numId w:val="37"/>
              </w:numPr>
              <w:spacing w:before="100" w:beforeAutospacing="1" w:after="100" w:afterAutospacing="1"/>
              <w:rPr>
                <w:rFonts w:ascii="Arial" w:hAnsi="Arial" w:cs="Arial"/>
                <w:sz w:val="20"/>
                <w:szCs w:val="20"/>
              </w:rPr>
            </w:pPr>
            <w:r w:rsidRPr="00A86C6C">
              <w:rPr>
                <w:rFonts w:ascii="Arial" w:hAnsi="Arial" w:cs="Arial"/>
                <w:sz w:val="20"/>
                <w:szCs w:val="20"/>
              </w:rPr>
              <w:t>fences and walls facing the coast are no higher than 1m. Where fences and walls are higher than 1m, they have 50% transparency.  This does not apply to a fence or wall at an angle of 90o to the coast;</w:t>
            </w:r>
          </w:p>
          <w:p w:rsidR="00A86C6C" w:rsidRPr="00A86C6C" w:rsidRDefault="00A86C6C" w:rsidP="00835683">
            <w:pPr>
              <w:numPr>
                <w:ilvl w:val="0"/>
                <w:numId w:val="37"/>
              </w:numPr>
              <w:spacing w:before="100" w:beforeAutospacing="1" w:after="100" w:afterAutospacing="1"/>
              <w:rPr>
                <w:rFonts w:ascii="Arial" w:hAnsi="Arial" w:cs="Arial"/>
                <w:sz w:val="20"/>
                <w:szCs w:val="20"/>
              </w:rPr>
            </w:pPr>
            <w:r w:rsidRPr="00A86C6C">
              <w:rPr>
                <w:rFonts w:ascii="Arial" w:hAnsi="Arial" w:cs="Arial"/>
                <w:sz w:val="20"/>
                <w:szCs w:val="20"/>
              </w:rPr>
              <w:t>where over 12m in height, the building design includes the following architectural character elements:</w:t>
            </w:r>
          </w:p>
          <w:p w:rsidR="00A86C6C" w:rsidRPr="00A86C6C" w:rsidRDefault="00A86C6C" w:rsidP="00835683">
            <w:pPr>
              <w:numPr>
                <w:ilvl w:val="0"/>
                <w:numId w:val="38"/>
              </w:numPr>
              <w:spacing w:before="100" w:beforeAutospacing="1" w:after="100" w:afterAutospacing="1"/>
              <w:rPr>
                <w:rFonts w:ascii="Arial" w:hAnsi="Arial" w:cs="Arial"/>
                <w:sz w:val="20"/>
                <w:szCs w:val="20"/>
              </w:rPr>
            </w:pPr>
            <w:r w:rsidRPr="00A86C6C">
              <w:rPr>
                <w:rFonts w:ascii="Arial" w:hAnsi="Arial" w:cs="Arial"/>
                <w:sz w:val="20"/>
                <w:szCs w:val="20"/>
              </w:rPr>
              <w:t>curving balcony edges and walls, strong vertical blades and wall planes;</w:t>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44AA0C65" wp14:editId="4AAA5ADA">
                  <wp:extent cx="5048250" cy="1257300"/>
                  <wp:effectExtent l="0" t="0" r="0" b="0"/>
                  <wp:docPr id="6" name="ID-2693433-3016"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016" descr="Balcony roofs"/>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048250" cy="1257300"/>
                          </a:xfrm>
                          <a:prstGeom prst="rect">
                            <a:avLst/>
                          </a:prstGeom>
                          <a:noFill/>
                          <a:ln>
                            <a:noFill/>
                          </a:ln>
                        </pic:spPr>
                      </pic:pic>
                    </a:graphicData>
                  </a:graphic>
                </wp:inline>
              </w:drawing>
            </w:r>
          </w:p>
          <w:p w:rsidR="00A86C6C" w:rsidRPr="00A86C6C" w:rsidRDefault="00A86C6C" w:rsidP="00835683">
            <w:pPr>
              <w:numPr>
                <w:ilvl w:val="0"/>
                <w:numId w:val="39"/>
              </w:numPr>
              <w:spacing w:before="100" w:beforeAutospacing="1" w:after="100" w:afterAutospacing="1"/>
              <w:rPr>
                <w:rFonts w:ascii="Arial" w:hAnsi="Arial" w:cs="Arial"/>
                <w:sz w:val="20"/>
                <w:szCs w:val="20"/>
              </w:rPr>
            </w:pPr>
            <w:r w:rsidRPr="00A86C6C">
              <w:rPr>
                <w:rFonts w:ascii="Arial" w:hAnsi="Arial" w:cs="Arial"/>
                <w:sz w:val="20"/>
                <w:szCs w:val="20"/>
              </w:rPr>
              <w:t>balcony roofs, wall articulation expressed with different colours, curves in plan and section, and window awnings;</w:t>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046C4713" wp14:editId="48EF4A44">
                  <wp:extent cx="5410200" cy="1257300"/>
                  <wp:effectExtent l="0" t="0" r="0" b="0"/>
                  <wp:docPr id="7" name="ID-2693433-3124"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24" descr="Roof top outlooks"/>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410200" cy="1257300"/>
                          </a:xfrm>
                          <a:prstGeom prst="rect">
                            <a:avLst/>
                          </a:prstGeom>
                          <a:noFill/>
                          <a:ln>
                            <a:noFill/>
                          </a:ln>
                        </pic:spPr>
                      </pic:pic>
                    </a:graphicData>
                  </a:graphic>
                </wp:inline>
              </w:drawing>
            </w:r>
          </w:p>
          <w:p w:rsidR="00A86C6C" w:rsidRPr="00A86C6C" w:rsidRDefault="00A86C6C" w:rsidP="00835683">
            <w:pPr>
              <w:numPr>
                <w:ilvl w:val="0"/>
                <w:numId w:val="40"/>
              </w:numPr>
              <w:spacing w:before="100" w:beforeAutospacing="1" w:after="100" w:afterAutospacing="1"/>
              <w:rPr>
                <w:rFonts w:ascii="Arial" w:hAnsi="Arial" w:cs="Arial"/>
                <w:sz w:val="20"/>
                <w:szCs w:val="20"/>
              </w:rPr>
            </w:pPr>
            <w:r w:rsidRPr="00A86C6C">
              <w:rPr>
                <w:rFonts w:ascii="Arial" w:hAnsi="Arial" w:cs="Arial"/>
                <w:sz w:val="20"/>
                <w:szCs w:val="20"/>
              </w:rPr>
              <w:t>Roof top outlooks, tensile structure as shading devices; and</w:t>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1F00EC8B" wp14:editId="017F622C">
                  <wp:extent cx="5057775" cy="1219200"/>
                  <wp:effectExtent l="0" t="0" r="9525" b="0"/>
                  <wp:docPr id="8" name="ID-2693433-3129"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29" descr="Light weight structures"/>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057775" cy="1219200"/>
                          </a:xfrm>
                          <a:prstGeom prst="rect">
                            <a:avLst/>
                          </a:prstGeom>
                          <a:noFill/>
                          <a:ln>
                            <a:noFill/>
                          </a:ln>
                        </pic:spPr>
                      </pic:pic>
                    </a:graphicData>
                  </a:graphic>
                </wp:inline>
              </w:drawing>
            </w:r>
          </w:p>
          <w:p w:rsidR="00A86C6C" w:rsidRPr="00A86C6C" w:rsidRDefault="00A86C6C" w:rsidP="00835683">
            <w:pPr>
              <w:pStyle w:val="NormalWeb"/>
              <w:numPr>
                <w:ilvl w:val="0"/>
                <w:numId w:val="41"/>
              </w:numPr>
              <w:rPr>
                <w:rFonts w:ascii="Arial" w:hAnsi="Arial" w:cs="Arial"/>
                <w:sz w:val="20"/>
                <w:szCs w:val="20"/>
              </w:rPr>
            </w:pPr>
            <w:r w:rsidRPr="00A86C6C">
              <w:rPr>
                <w:rFonts w:ascii="Arial" w:hAnsi="Arial" w:cs="Arial"/>
                <w:sz w:val="20"/>
                <w:szCs w:val="20"/>
              </w:rPr>
              <w:t>lightweight structures use white frame elements in steel and timber, bold colour contrast.</w:t>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0EE5E504" wp14:editId="248F7251">
                  <wp:extent cx="5057775" cy="1219200"/>
                  <wp:effectExtent l="0" t="0" r="9525" b="0"/>
                  <wp:docPr id="9" name="ID-2693433-3133"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33" descr="Light weight Structure "/>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57775" cy="1219200"/>
                          </a:xfrm>
                          <a:prstGeom prst="rect">
                            <a:avLst/>
                          </a:prstGeom>
                          <a:noFill/>
                          <a:ln>
                            <a:noFill/>
                          </a:ln>
                        </pic:spPr>
                      </pic:pic>
                    </a:graphicData>
                  </a:graphic>
                </wp:inline>
              </w:drawing>
            </w:r>
          </w:p>
          <w:p w:rsidR="00A86C6C" w:rsidRPr="00A86C6C" w:rsidRDefault="00A86C6C" w:rsidP="00835683">
            <w:pPr>
              <w:numPr>
                <w:ilvl w:val="0"/>
                <w:numId w:val="42"/>
              </w:numPr>
              <w:spacing w:before="100" w:beforeAutospacing="1" w:after="100" w:afterAutospacing="1"/>
              <w:rPr>
                <w:rFonts w:ascii="Arial" w:hAnsi="Arial" w:cs="Arial"/>
                <w:sz w:val="20"/>
                <w:szCs w:val="20"/>
              </w:rPr>
            </w:pPr>
            <w:r w:rsidRPr="00A86C6C">
              <w:rPr>
                <w:rFonts w:ascii="Arial" w:hAnsi="Arial" w:cs="Arial"/>
                <w:sz w:val="20"/>
                <w:szCs w:val="20"/>
              </w:rPr>
              <w:t>existing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spacing w:before="100" w:beforeAutospacing="1" w:after="100" w:afterAutospacing="1"/>
                    <w:rPr>
                      <w:rFonts w:ascii="Arial" w:hAnsi="Arial" w:cs="Arial"/>
                      <w:sz w:val="20"/>
                      <w:szCs w:val="20"/>
                    </w:rPr>
                  </w:pPr>
                  <w:bookmarkStart w:id="0" w:name="_GoBack"/>
                  <w:r w:rsidRPr="007B56B9">
                    <w:rPr>
                      <w:rFonts w:ascii="Arial" w:hAnsi="Arial" w:cs="Arial"/>
                      <w:sz w:val="18"/>
                      <w:szCs w:val="20"/>
                    </w:rPr>
                    <w:t>Note - A list of appropriate indigenous coastal species is identified in Planning scheme policy - Integrated design.</w:t>
                  </w:r>
                  <w:bookmarkEnd w:id="0"/>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A86C6C" w:rsidRPr="00A86C6C" w:rsidTr="00A86C6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00"/>
            </w:tblGrid>
            <w:tr w:rsidR="00A86C6C" w:rsidRPr="00A86C6C" w:rsidTr="00A86C6C">
              <w:trPr>
                <w:tblCellSpacing w:w="15" w:type="dxa"/>
              </w:trPr>
              <w:tc>
                <w:tcPr>
                  <w:tcW w:w="14940" w:type="dxa"/>
                  <w:vAlign w:val="center"/>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lastRenderedPageBreak/>
                    <w:t>Note - This is for information purposes only. No requirements for accepted development or assessable criteria apply. Development located within a Transport Noise Corridor must satisfy the requirements of the Queensland Development Code</w:t>
                  </w:r>
                </w:p>
              </w:tc>
            </w:tr>
          </w:tbl>
          <w:p w:rsidR="00A86C6C" w:rsidRPr="00A86C6C" w:rsidRDefault="00A86C6C" w:rsidP="00A86C6C">
            <w:pPr>
              <w:pStyle w:val="NormalWeb"/>
              <w:rPr>
                <w:rStyle w:val="Strong"/>
                <w:rFonts w:ascii="Arial" w:hAnsi="Arial" w:cs="Arial"/>
                <w:sz w:val="20"/>
                <w:szCs w:val="20"/>
              </w:rPr>
            </w:pPr>
          </w:p>
        </w:tc>
      </w:tr>
    </w:tbl>
    <w:p w:rsidR="00641E2E" w:rsidRDefault="00641E2E">
      <w:pPr>
        <w:rPr>
          <w:rFonts w:ascii="Arial" w:hAnsi="Arial" w:cs="Arial"/>
        </w:rPr>
      </w:pPr>
    </w:p>
    <w:p w:rsidR="0026176B" w:rsidRDefault="0026176B">
      <w:pPr>
        <w:rPr>
          <w:rFonts w:ascii="Arial" w:hAnsi="Arial" w:cs="Arial"/>
        </w:rPr>
      </w:pPr>
    </w:p>
    <w:p w:rsidR="0026176B" w:rsidRDefault="0026176B" w:rsidP="0026176B">
      <w:pPr>
        <w:jc w:val="center"/>
        <w:rPr>
          <w:rFonts w:ascii="Arial" w:hAnsi="Arial" w:cs="Arial"/>
          <w:b/>
          <w:bCs/>
          <w:sz w:val="20"/>
          <w:szCs w:val="20"/>
        </w:rPr>
      </w:pPr>
      <w:r w:rsidRPr="0026176B">
        <w:rPr>
          <w:rFonts w:ascii="Arial" w:hAnsi="Arial" w:cs="Arial"/>
          <w:b/>
          <w:bCs/>
          <w:sz w:val="20"/>
          <w:szCs w:val="20"/>
        </w:rPr>
        <w:t>Setback Tables</w:t>
      </w:r>
    </w:p>
    <w:p w:rsidR="0026176B" w:rsidRDefault="0026176B" w:rsidP="0026176B">
      <w:pPr>
        <w:jc w:val="center"/>
        <w:rPr>
          <w:rFonts w:ascii="Arial" w:hAnsi="Arial" w:cs="Arial"/>
          <w:b/>
          <w:bCs/>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378"/>
        <w:gridCol w:w="1690"/>
        <w:gridCol w:w="1371"/>
        <w:gridCol w:w="1257"/>
        <w:gridCol w:w="1525"/>
        <w:gridCol w:w="1362"/>
        <w:gridCol w:w="1344"/>
        <w:gridCol w:w="1317"/>
        <w:gridCol w:w="1371"/>
      </w:tblGrid>
      <w:tr w:rsidR="0026176B" w:rsidRPr="009451ED" w:rsidTr="001D6250">
        <w:trPr>
          <w:tblCellSpacing w:w="15" w:type="dxa"/>
        </w:trPr>
        <w:tc>
          <w:tcPr>
            <w:tcW w:w="0" w:type="auto"/>
            <w:gridSpan w:val="11"/>
            <w:tcBorders>
              <w:top w:val="nil"/>
              <w:left w:val="nil"/>
              <w:bottom w:val="nil"/>
              <w:right w:val="nil"/>
            </w:tcBorders>
            <w:shd w:val="clear" w:color="auto" w:fill="CCCCCC"/>
            <w:vAlign w:val="center"/>
            <w:hideMark/>
          </w:tcPr>
          <w:p w:rsidR="0026176B" w:rsidRPr="009451ED" w:rsidRDefault="0026176B" w:rsidP="001D6250">
            <w:pPr>
              <w:jc w:val="center"/>
              <w:rPr>
                <w:rFonts w:ascii="Arial" w:eastAsia="Times New Roman" w:hAnsi="Arial" w:cs="Arial"/>
                <w:sz w:val="20"/>
                <w:szCs w:val="20"/>
              </w:rPr>
            </w:pPr>
            <w:r w:rsidRPr="009451ED">
              <w:rPr>
                <w:rStyle w:val="Strong"/>
                <w:rFonts w:ascii="Arial" w:eastAsia="Times New Roman" w:hAnsi="Arial" w:cs="Arial"/>
                <w:sz w:val="20"/>
                <w:szCs w:val="20"/>
              </w:rPr>
              <w:t>Table 9.3.1.3 Setbacks</w:t>
            </w:r>
          </w:p>
        </w:tc>
      </w:tr>
      <w:tr w:rsidR="0026176B" w:rsidRPr="009451ED" w:rsidTr="001D6250">
        <w:trPr>
          <w:tblCellSpacing w:w="15" w:type="dxa"/>
        </w:trPr>
        <w:tc>
          <w:tcPr>
            <w:tcW w:w="5126"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 xml:space="preserve">Coastal </w:t>
            </w:r>
            <w:proofErr w:type="gramStart"/>
            <w:r w:rsidRPr="009451ED">
              <w:rPr>
                <w:rStyle w:val="Strong"/>
                <w:rFonts w:ascii="Arial" w:hAnsi="Arial" w:cs="Arial"/>
                <w:sz w:val="20"/>
                <w:szCs w:val="20"/>
              </w:rPr>
              <w:t>communities</w:t>
            </w:r>
            <w:proofErr w:type="gramEnd"/>
            <w:r w:rsidRPr="009451ED">
              <w:rPr>
                <w:rStyle w:val="Strong"/>
                <w:rFonts w:ascii="Arial" w:hAnsi="Arial" w:cs="Arial"/>
                <w:sz w:val="20"/>
                <w:szCs w:val="20"/>
              </w:rPr>
              <w:t xml:space="preserve"> precinct and Redcliffe Kippa-Ring local plan - Interim residential precinct</w:t>
            </w:r>
          </w:p>
        </w:tc>
      </w:tr>
      <w:tr w:rsidR="0026176B" w:rsidRPr="009451ED" w:rsidTr="001D6250">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86"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16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w:t>
            </w:r>
          </w:p>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 Secondary to lane</w:t>
            </w:r>
          </w:p>
        </w:tc>
        <w:tc>
          <w:tcPr>
            <w:tcW w:w="437"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 xml:space="preserve">Side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28"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Trafficable water body </w:t>
            </w:r>
          </w:p>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 and wall</w:t>
            </w:r>
          </w:p>
        </w:tc>
      </w:tr>
      <w:tr w:rsidR="0026176B" w:rsidRPr="009451ED"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48"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552"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1D6250">
            <w:pPr>
              <w:rPr>
                <w:rFonts w:ascii="Arial" w:eastAsia="Times New Roman" w:hAnsi="Arial" w:cs="Arial"/>
                <w:sz w:val="20"/>
                <w:szCs w:val="20"/>
              </w:rPr>
            </w:pPr>
          </w:p>
        </w:tc>
        <w:tc>
          <w:tcPr>
            <w:tcW w:w="446"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08"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497"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1D6250">
            <w:pPr>
              <w:rPr>
                <w:rFonts w:ascii="Arial" w:eastAsia="Times New Roman" w:hAnsi="Arial" w:cs="Arial"/>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r>
      <w:tr w:rsidR="0026176B" w:rsidRPr="009451ED" w:rsidTr="001D6250">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Less than 4.5m</w:t>
            </w:r>
          </w:p>
        </w:tc>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5.4</w:t>
            </w:r>
          </w:p>
        </w:tc>
        <w:tc>
          <w:tcPr>
            <w:tcW w:w="44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5.4</w:t>
            </w:r>
          </w:p>
        </w:tc>
        <w:tc>
          <w:tcPr>
            <w:tcW w:w="44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r>
      <w:tr w:rsidR="0026176B" w:rsidRPr="009451ED" w:rsidTr="001D6250">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4.5m to 8.5m</w:t>
            </w:r>
          </w:p>
        </w:tc>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r>
      <w:tr w:rsidR="0026176B" w:rsidRPr="009451ED" w:rsidTr="001D6250">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p w:rsidR="0026176B" w:rsidRPr="009451ED" w:rsidRDefault="0026176B" w:rsidP="001D6250">
            <w:pPr>
              <w:rPr>
                <w:rFonts w:ascii="Arial" w:eastAsia="Times New Roman" w:hAnsi="Arial" w:cs="Arial"/>
                <w:sz w:val="20"/>
                <w:szCs w:val="20"/>
              </w:rPr>
            </w:pPr>
          </w:p>
        </w:tc>
      </w:tr>
    </w:tbl>
    <w:p w:rsidR="0026176B" w:rsidRPr="0026176B" w:rsidRDefault="0026176B" w:rsidP="0026176B">
      <w:pPr>
        <w:jc w:val="center"/>
        <w:rPr>
          <w:rFonts w:ascii="Arial" w:hAnsi="Arial" w:cs="Arial"/>
          <w:sz w:val="20"/>
          <w:szCs w:val="20"/>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73"/>
        <w:gridCol w:w="1358"/>
        <w:gridCol w:w="1292"/>
        <w:gridCol w:w="1476"/>
        <w:gridCol w:w="1647"/>
        <w:gridCol w:w="1250"/>
        <w:gridCol w:w="1521"/>
        <w:gridCol w:w="1356"/>
        <w:gridCol w:w="1356"/>
        <w:gridCol w:w="1356"/>
        <w:gridCol w:w="1413"/>
      </w:tblGrid>
      <w:tr w:rsidR="0026176B" w:rsidRPr="009451ED" w:rsidTr="001D6250">
        <w:trPr>
          <w:tblCellSpacing w:w="15" w:type="dxa"/>
        </w:trPr>
        <w:tc>
          <w:tcPr>
            <w:tcW w:w="0" w:type="auto"/>
            <w:gridSpan w:val="11"/>
            <w:tcBorders>
              <w:top w:val="nil"/>
              <w:left w:val="nil"/>
              <w:bottom w:val="nil"/>
              <w:right w:val="nil"/>
            </w:tcBorders>
            <w:shd w:val="clear" w:color="auto" w:fill="CCCCCC"/>
            <w:vAlign w:val="center"/>
            <w:hideMark/>
          </w:tcPr>
          <w:p w:rsidR="0026176B" w:rsidRPr="009451ED" w:rsidRDefault="0026176B" w:rsidP="001D6250">
            <w:pPr>
              <w:jc w:val="center"/>
              <w:rPr>
                <w:rFonts w:ascii="Arial" w:eastAsia="Times New Roman" w:hAnsi="Arial" w:cs="Arial"/>
                <w:sz w:val="20"/>
                <w:szCs w:val="20"/>
              </w:rPr>
            </w:pPr>
            <w:r w:rsidRPr="009451ED">
              <w:rPr>
                <w:rStyle w:val="Strong"/>
                <w:rFonts w:ascii="Arial" w:eastAsia="Times New Roman" w:hAnsi="Arial" w:cs="Arial"/>
                <w:sz w:val="20"/>
                <w:szCs w:val="20"/>
              </w:rPr>
              <w:lastRenderedPageBreak/>
              <w:t>Table 9.3.1.4 Setbacks</w:t>
            </w:r>
          </w:p>
        </w:tc>
      </w:tr>
      <w:tr w:rsidR="0026176B" w:rsidRPr="009451ED" w:rsidTr="001D6250">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General residential zone - Suburban neighbourhood precinct and Township zone - Residential precinct</w:t>
            </w:r>
          </w:p>
        </w:tc>
      </w:tr>
      <w:tr w:rsidR="0026176B" w:rsidRPr="009451ED" w:rsidTr="001D6250">
        <w:trPr>
          <w:tblCellSpacing w:w="15" w:type="dxa"/>
        </w:trPr>
        <w:tc>
          <w:tcPr>
            <w:tcW w:w="44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43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Side</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39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26176B" w:rsidRPr="009451ED"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18"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460"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1D6250">
            <w:pPr>
              <w:jc w:val="center"/>
              <w:rPr>
                <w:rFonts w:ascii="Arial" w:eastAsia="Times New Roman"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04"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474"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1D6250">
            <w:pPr>
              <w:jc w:val="center"/>
              <w:rPr>
                <w:rFonts w:ascii="Arial" w:eastAsia="Times New Roman" w:hAnsi="Arial" w:cs="Arial"/>
                <w:sz w:val="20"/>
                <w:szCs w:val="20"/>
              </w:rPr>
            </w:pP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 xml:space="preserve">, </w:t>
            </w:r>
            <w:r w:rsidRPr="009451ED">
              <w:rPr>
                <w:rStyle w:val="Strong"/>
                <w:rFonts w:ascii="Arial" w:hAnsi="Arial" w:cs="Arial"/>
                <w:sz w:val="20"/>
                <w:szCs w:val="20"/>
              </w:rPr>
              <w:t>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r>
      <w:tr w:rsidR="0026176B" w:rsidRPr="009451ED" w:rsidTr="001D6250">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Less than 4.5m</w:t>
            </w:r>
          </w:p>
        </w:tc>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5.4</w:t>
            </w:r>
          </w:p>
        </w:tc>
        <w:tc>
          <w:tcPr>
            <w:tcW w:w="53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5.4</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r>
      <w:tr w:rsidR="0026176B" w:rsidRPr="009451ED" w:rsidTr="001D6250">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4.5m to 8.5m</w:t>
            </w:r>
          </w:p>
        </w:tc>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r>
      <w:tr w:rsidR="0026176B" w:rsidRPr="009451ED" w:rsidTr="001D6250">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Greater than 8.5.</w:t>
            </w:r>
          </w:p>
        </w:tc>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r>
    </w:tbl>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62"/>
        <w:gridCol w:w="1260"/>
        <w:gridCol w:w="1543"/>
        <w:gridCol w:w="1353"/>
        <w:gridCol w:w="1374"/>
        <w:gridCol w:w="1552"/>
        <w:gridCol w:w="1429"/>
        <w:gridCol w:w="1510"/>
        <w:gridCol w:w="1359"/>
        <w:gridCol w:w="1257"/>
      </w:tblGrid>
      <w:tr w:rsidR="0026176B" w:rsidRPr="009451ED" w:rsidTr="001D6250">
        <w:trPr>
          <w:tblCellSpacing w:w="15" w:type="dxa"/>
        </w:trPr>
        <w:tc>
          <w:tcPr>
            <w:tcW w:w="0" w:type="auto"/>
            <w:gridSpan w:val="11"/>
            <w:tcBorders>
              <w:top w:val="nil"/>
              <w:left w:val="nil"/>
              <w:bottom w:val="nil"/>
              <w:right w:val="nil"/>
            </w:tcBorders>
            <w:shd w:val="clear" w:color="auto" w:fill="CCCCCC"/>
            <w:vAlign w:val="center"/>
            <w:hideMark/>
          </w:tcPr>
          <w:p w:rsidR="0026176B" w:rsidRPr="009451ED" w:rsidRDefault="0026176B" w:rsidP="001D6250">
            <w:pPr>
              <w:jc w:val="center"/>
              <w:rPr>
                <w:rFonts w:ascii="Arial" w:eastAsia="Times New Roman" w:hAnsi="Arial" w:cs="Arial"/>
                <w:sz w:val="20"/>
                <w:szCs w:val="20"/>
              </w:rPr>
            </w:pPr>
            <w:r w:rsidRPr="009451ED">
              <w:rPr>
                <w:rStyle w:val="Strong"/>
                <w:rFonts w:ascii="Arial" w:eastAsia="Times New Roman" w:hAnsi="Arial" w:cs="Arial"/>
                <w:sz w:val="20"/>
                <w:szCs w:val="20"/>
              </w:rPr>
              <w:lastRenderedPageBreak/>
              <w:t>Table 9.3.1.5 Setbacks</w:t>
            </w:r>
          </w:p>
        </w:tc>
      </w:tr>
      <w:tr w:rsidR="0026176B" w:rsidRPr="009451ED" w:rsidTr="001D6250">
        <w:trPr>
          <w:tblCellSpacing w:w="15" w:type="dxa"/>
        </w:trPr>
        <w:tc>
          <w:tcPr>
            <w:tcW w:w="5699"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 Emerging community zone - Transition precinct (developed lot), General residential zone - Next generation neighbourhood precinct and Caboolture West local plan - Urban living precinct (Next generation neighbourhood sub-precinct)</w:t>
            </w:r>
          </w:p>
        </w:tc>
      </w:tr>
      <w:tr w:rsidR="0026176B" w:rsidRPr="009451ED" w:rsidTr="001D6250">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2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346"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Frontage Secondary to lane</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26176B" w:rsidRPr="009451ED" w:rsidTr="001D6250">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9451ED" w:rsidRDefault="0026176B" w:rsidP="001D6250">
            <w:pPr>
              <w:rPr>
                <w:rFonts w:ascii="Arial" w:hAnsi="Arial" w:cs="Arial"/>
                <w:sz w:val="20"/>
                <w:szCs w:val="20"/>
              </w:rPr>
            </w:pPr>
          </w:p>
        </w:tc>
        <w:tc>
          <w:tcPr>
            <w:tcW w:w="443"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09"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503"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1D6250">
            <w:pPr>
              <w:rPr>
                <w:rFonts w:ascii="Arial" w:eastAsia="Times New Roman" w:hAnsi="Arial" w:cs="Arial"/>
                <w:sz w:val="20"/>
                <w:szCs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47"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506"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1D6250">
            <w:pPr>
              <w:rPr>
                <w:rFonts w:ascii="Arial" w:eastAsia="Times New Roman" w:hAnsi="Arial" w:cs="Arial"/>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9451ED" w:rsidRDefault="0026176B" w:rsidP="001D6250">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9451ED" w:rsidRDefault="0026176B" w:rsidP="001D6250">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9451ED" w:rsidRDefault="0026176B" w:rsidP="001D6250">
            <w:pPr>
              <w:rPr>
                <w:rFonts w:ascii="Arial" w:hAnsi="Arial" w:cs="Arial"/>
                <w:sz w:val="20"/>
                <w:szCs w:val="20"/>
              </w:rPr>
            </w:pPr>
          </w:p>
        </w:tc>
      </w:tr>
      <w:tr w:rsidR="0026176B" w:rsidRPr="009451ED"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Less than 4.5m</w:t>
            </w:r>
          </w:p>
        </w:tc>
        <w:tc>
          <w:tcPr>
            <w:tcW w:w="44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5.4m*</w:t>
            </w:r>
          </w:p>
        </w:tc>
        <w:tc>
          <w:tcPr>
            <w:tcW w:w="44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5.4m*</w:t>
            </w:r>
          </w:p>
        </w:tc>
        <w:tc>
          <w:tcPr>
            <w:tcW w:w="465"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r>
      <w:tr w:rsidR="0026176B" w:rsidRPr="009451ED"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4.5m to 8.5m</w:t>
            </w:r>
          </w:p>
        </w:tc>
        <w:tc>
          <w:tcPr>
            <w:tcW w:w="44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r>
      <w:tr w:rsidR="0026176B" w:rsidRPr="009451ED"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Greater than 8.5m</w:t>
            </w:r>
          </w:p>
        </w:tc>
        <w:tc>
          <w:tcPr>
            <w:tcW w:w="44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6m</w:t>
            </w:r>
          </w:p>
        </w:tc>
        <w:tc>
          <w:tcPr>
            <w:tcW w:w="409"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5m</w:t>
            </w:r>
          </w:p>
        </w:tc>
        <w:tc>
          <w:tcPr>
            <w:tcW w:w="50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3m</w:t>
            </w:r>
          </w:p>
        </w:tc>
        <w:tc>
          <w:tcPr>
            <w:tcW w:w="44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2m</w:t>
            </w:r>
          </w:p>
        </w:tc>
        <w:tc>
          <w:tcPr>
            <w:tcW w:w="50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Min 4.5m</w:t>
            </w:r>
          </w:p>
        </w:tc>
      </w:tr>
    </w:tbl>
    <w:p w:rsidR="0026176B" w:rsidRDefault="0026176B">
      <w:pPr>
        <w:rPr>
          <w:rFonts w:ascii="Arial" w:hAnsi="Arial" w:cs="Arial"/>
        </w:rPr>
      </w:pPr>
    </w:p>
    <w:p w:rsidR="0026176B" w:rsidRPr="009451ED" w:rsidRDefault="0026176B" w:rsidP="0026176B">
      <w:pPr>
        <w:rPr>
          <w:rFonts w:ascii="Arial" w:hAnsi="Arial" w:cs="Arial"/>
          <w:sz w:val="20"/>
          <w:szCs w:val="20"/>
        </w:rPr>
      </w:pPr>
      <w:r w:rsidRPr="009451ED">
        <w:rPr>
          <w:rFonts w:ascii="Arial" w:hAnsi="Arial" w:cs="Arial"/>
          <w:sz w:val="20"/>
          <w:szCs w:val="20"/>
        </w:rPr>
        <w:t>*Note - The minimum setback to covered car parking spaces may be reduced to 4.5m where:</w:t>
      </w:r>
    </w:p>
    <w:p w:rsidR="0026176B" w:rsidRDefault="0026176B" w:rsidP="0026176B">
      <w:pPr>
        <w:numPr>
          <w:ilvl w:val="0"/>
          <w:numId w:val="44"/>
        </w:numPr>
        <w:rPr>
          <w:rFonts w:ascii="Arial" w:hAnsi="Arial" w:cs="Arial"/>
          <w:sz w:val="20"/>
          <w:szCs w:val="20"/>
        </w:rPr>
      </w:pPr>
      <w:r w:rsidRPr="009451ED">
        <w:rPr>
          <w:rFonts w:ascii="Arial" w:hAnsi="Arial" w:cs="Arial"/>
          <w:sz w:val="20"/>
          <w:szCs w:val="20"/>
        </w:rPr>
        <w:t>the primary or secondary frontage of the lot adjoins a road reserve with a minimum rear verge width of 1m or greater and includes a footpath with a width of 2m or greater;</w:t>
      </w:r>
    </w:p>
    <w:p w:rsidR="0026176B" w:rsidRPr="009451ED" w:rsidRDefault="0026176B" w:rsidP="0026176B">
      <w:pPr>
        <w:numPr>
          <w:ilvl w:val="0"/>
          <w:numId w:val="44"/>
        </w:numPr>
        <w:rPr>
          <w:rFonts w:ascii="Arial" w:hAnsi="Arial" w:cs="Arial"/>
          <w:sz w:val="20"/>
          <w:szCs w:val="20"/>
        </w:rPr>
      </w:pPr>
      <w:r w:rsidRPr="009451ED">
        <w:rPr>
          <w:rFonts w:ascii="Arial" w:hAnsi="Arial" w:cs="Arial"/>
          <w:sz w:val="20"/>
          <w:szCs w:val="20"/>
        </w:rPr>
        <w:t>the lot has a primary frontage greater than 7.5m and no greater than 10m (Lot type B).</w:t>
      </w: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296"/>
        <w:gridCol w:w="1522"/>
        <w:gridCol w:w="1531"/>
        <w:gridCol w:w="1317"/>
        <w:gridCol w:w="1447"/>
        <w:gridCol w:w="1383"/>
        <w:gridCol w:w="1383"/>
        <w:gridCol w:w="1383"/>
        <w:gridCol w:w="1353"/>
      </w:tblGrid>
      <w:tr w:rsidR="0026176B" w:rsidRPr="0026176B" w:rsidTr="001D6250">
        <w:trPr>
          <w:tblCellSpacing w:w="15" w:type="dxa"/>
        </w:trPr>
        <w:tc>
          <w:tcPr>
            <w:tcW w:w="0" w:type="auto"/>
            <w:gridSpan w:val="11"/>
            <w:tcBorders>
              <w:top w:val="nil"/>
              <w:left w:val="nil"/>
              <w:bottom w:val="nil"/>
              <w:right w:val="nil"/>
            </w:tcBorders>
            <w:shd w:val="clear" w:color="auto" w:fill="CCCCCC"/>
            <w:vAlign w:val="center"/>
            <w:hideMark/>
          </w:tcPr>
          <w:p w:rsidR="0026176B" w:rsidRPr="0026176B" w:rsidRDefault="0026176B" w:rsidP="0026176B">
            <w:pPr>
              <w:jc w:val="center"/>
              <w:rPr>
                <w:rFonts w:ascii="Arial" w:hAnsi="Arial" w:cs="Arial"/>
                <w:sz w:val="20"/>
                <w:szCs w:val="20"/>
              </w:rPr>
            </w:pPr>
            <w:r w:rsidRPr="0026176B">
              <w:rPr>
                <w:rFonts w:ascii="Arial" w:hAnsi="Arial" w:cs="Arial"/>
                <w:b/>
                <w:bCs/>
                <w:sz w:val="20"/>
                <w:szCs w:val="20"/>
              </w:rPr>
              <w:t>Table 9.3.1.6 Setbacks</w:t>
            </w:r>
          </w:p>
        </w:tc>
      </w:tr>
      <w:tr w:rsidR="0026176B" w:rsidRPr="0026176B" w:rsidTr="001D6250">
        <w:trPr>
          <w:tblCellSpacing w:w="15" w:type="dxa"/>
        </w:trPr>
        <w:tc>
          <w:tcPr>
            <w:tcW w:w="5605"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General residential zone - Urban neighbourhood precinct, and Emerging community zone - Transition precinct (developed lot) and identified in the Morayfield South urban area on Figure 9.3.1.1</w:t>
            </w:r>
          </w:p>
        </w:tc>
      </w:tr>
      <w:tr w:rsidR="0026176B" w:rsidRPr="0026176B" w:rsidTr="001D6250">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Height of wall</w:t>
            </w:r>
          </w:p>
        </w:tc>
        <w:tc>
          <w:tcPr>
            <w:tcW w:w="1293"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Frontage Primary</w:t>
            </w:r>
          </w:p>
        </w:tc>
        <w:tc>
          <w:tcPr>
            <w:tcW w:w="120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Frontage Secondary to street</w:t>
            </w: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Frontage </w:t>
            </w:r>
            <w:r w:rsidRPr="0026176B">
              <w:rPr>
                <w:rFonts w:ascii="Arial" w:hAnsi="Arial" w:cs="Arial"/>
                <w:b/>
                <w:bCs/>
                <w:sz w:val="20"/>
                <w:szCs w:val="20"/>
              </w:rPr>
              <w:br/>
              <w:t>Secondary to lane</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Side </w:t>
            </w:r>
            <w:r w:rsidRPr="0026176B">
              <w:rPr>
                <w:rFonts w:ascii="Arial" w:hAnsi="Arial" w:cs="Arial"/>
                <w:b/>
                <w:bCs/>
                <w:sz w:val="20"/>
                <w:szCs w:val="20"/>
              </w:rPr>
              <w:br/>
              <w:t>Non-built to boundary wall To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 xml:space="preserve">Rear </w:t>
            </w:r>
            <w:proofErr w:type="gramStart"/>
            <w:r w:rsidRPr="0026176B">
              <w:rPr>
                <w:rFonts w:ascii="Arial" w:hAnsi="Arial" w:cs="Arial"/>
                <w:b/>
                <w:bCs/>
                <w:sz w:val="20"/>
                <w:szCs w:val="20"/>
              </w:rPr>
              <w:t>To</w:t>
            </w:r>
            <w:proofErr w:type="gramEnd"/>
            <w:r w:rsidRPr="0026176B">
              <w:rPr>
                <w:rFonts w:ascii="Arial" w:hAnsi="Arial" w:cs="Arial"/>
                <w:b/>
                <w:bCs/>
                <w:sz w:val="20"/>
                <w:szCs w:val="20"/>
              </w:rPr>
              <w:t xml:space="preserve">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Trafficable water body To OMP and wall</w:t>
            </w:r>
          </w:p>
        </w:tc>
      </w:tr>
      <w:tr w:rsidR="0026176B" w:rsidRPr="0026176B" w:rsidTr="001D6250">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26176B" w:rsidRDefault="0026176B" w:rsidP="0026176B">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wall</w:t>
            </w:r>
          </w:p>
        </w:tc>
        <w:tc>
          <w:tcPr>
            <w:tcW w:w="421"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OMP</w:t>
            </w:r>
          </w:p>
        </w:tc>
        <w:tc>
          <w:tcPr>
            <w:tcW w:w="496"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covered car parking space and domestic outbuildings</w:t>
            </w:r>
          </w:p>
          <w:p w:rsidR="0026176B" w:rsidRPr="0026176B" w:rsidRDefault="0026176B" w:rsidP="0026176B">
            <w:pPr>
              <w:rPr>
                <w:rFonts w:ascii="Arial"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wall</w:t>
            </w:r>
          </w:p>
        </w:tc>
        <w:tc>
          <w:tcPr>
            <w:tcW w:w="428"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OMP</w:t>
            </w:r>
          </w:p>
        </w:tc>
        <w:tc>
          <w:tcPr>
            <w:tcW w:w="471"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covered car parking space and domestic outbuildings</w:t>
            </w:r>
          </w:p>
          <w:p w:rsidR="0026176B" w:rsidRPr="0026176B" w:rsidRDefault="0026176B" w:rsidP="0026176B">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OMP</w:t>
            </w:r>
            <w:r w:rsidRPr="0026176B">
              <w:rPr>
                <w:rFonts w:ascii="Arial" w:hAnsi="Arial" w:cs="Arial"/>
                <w:sz w:val="20"/>
                <w:szCs w:val="20"/>
              </w:rPr>
              <w:t>,</w:t>
            </w:r>
            <w:r w:rsidRPr="0026176B">
              <w:rPr>
                <w:rFonts w:ascii="Arial" w:hAnsi="Arial" w:cs="Arial"/>
                <w:b/>
                <w:bCs/>
                <w:sz w:val="20"/>
                <w:szCs w:val="20"/>
              </w:rPr>
              <w:t xml:space="preserve"> wall and covered car parking spaces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26176B" w:rsidRDefault="0026176B" w:rsidP="0026176B">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26176B" w:rsidRDefault="0026176B" w:rsidP="0026176B">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26176B" w:rsidRDefault="0026176B" w:rsidP="0026176B">
            <w:pPr>
              <w:rPr>
                <w:rFonts w:ascii="Arial" w:hAnsi="Arial" w:cs="Arial"/>
                <w:sz w:val="20"/>
                <w:szCs w:val="20"/>
              </w:rPr>
            </w:pPr>
          </w:p>
        </w:tc>
      </w:tr>
      <w:tr w:rsidR="0026176B" w:rsidRPr="0026176B"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b/>
                <w:bCs/>
                <w:sz w:val="20"/>
                <w:szCs w:val="20"/>
              </w:rPr>
              <w:t>Less than4.5m</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5.4m</w:t>
            </w:r>
          </w:p>
        </w:tc>
        <w:tc>
          <w:tcPr>
            <w:tcW w:w="499"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5.4m</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4.5m</w:t>
            </w:r>
          </w:p>
        </w:tc>
      </w:tr>
      <w:tr w:rsidR="0026176B" w:rsidRPr="0026176B"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b/>
                <w:bCs/>
                <w:sz w:val="20"/>
                <w:szCs w:val="20"/>
              </w:rPr>
              <w:t>4.5 to 8.5m</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4.5m</w:t>
            </w:r>
          </w:p>
        </w:tc>
      </w:tr>
      <w:tr w:rsidR="0026176B" w:rsidRPr="0026176B" w:rsidTr="001D6250">
        <w:trPr>
          <w:trHeight w:val="1200"/>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b/>
                <w:bCs/>
                <w:sz w:val="20"/>
                <w:szCs w:val="20"/>
              </w:rPr>
              <w:t>Greater than 8.5m</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5m</w:t>
            </w:r>
          </w:p>
        </w:tc>
        <w:tc>
          <w:tcPr>
            <w:tcW w:w="42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3m</w:t>
            </w:r>
          </w:p>
        </w:tc>
        <w:tc>
          <w:tcPr>
            <w:tcW w:w="496"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2m</w:t>
            </w:r>
          </w:p>
        </w:tc>
        <w:tc>
          <w:tcPr>
            <w:tcW w:w="428"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4.5m</w:t>
            </w:r>
          </w:p>
        </w:tc>
      </w:tr>
    </w:tbl>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694"/>
        <w:gridCol w:w="2870"/>
        <w:gridCol w:w="3138"/>
        <w:gridCol w:w="3460"/>
        <w:gridCol w:w="4236"/>
      </w:tblGrid>
      <w:tr w:rsidR="0026176B" w:rsidRPr="009451ED" w:rsidTr="001D6250">
        <w:trPr>
          <w:trHeight w:val="458"/>
          <w:tblCellSpacing w:w="15" w:type="dxa"/>
        </w:trPr>
        <w:tc>
          <w:tcPr>
            <w:tcW w:w="0" w:type="auto"/>
            <w:gridSpan w:val="5"/>
            <w:tcBorders>
              <w:top w:val="nil"/>
              <w:left w:val="nil"/>
              <w:bottom w:val="nil"/>
              <w:right w:val="nil"/>
            </w:tcBorders>
            <w:shd w:val="clear" w:color="auto" w:fill="CCCCCC"/>
            <w:vAlign w:val="center"/>
            <w:hideMark/>
          </w:tcPr>
          <w:p w:rsidR="0026176B" w:rsidRPr="009451ED" w:rsidRDefault="0026176B" w:rsidP="001D6250">
            <w:pPr>
              <w:jc w:val="center"/>
              <w:rPr>
                <w:rFonts w:ascii="Arial" w:eastAsia="Times New Roman" w:hAnsi="Arial" w:cs="Arial"/>
                <w:sz w:val="20"/>
                <w:szCs w:val="20"/>
              </w:rPr>
            </w:pPr>
            <w:r w:rsidRPr="009451ED">
              <w:rPr>
                <w:rStyle w:val="Strong"/>
                <w:rFonts w:ascii="Arial" w:eastAsia="Times New Roman" w:hAnsi="Arial" w:cs="Arial"/>
                <w:sz w:val="20"/>
                <w:szCs w:val="20"/>
              </w:rPr>
              <w:lastRenderedPageBreak/>
              <w:t>Table 9.3.1.7 Built to boundary walls</w:t>
            </w:r>
          </w:p>
        </w:tc>
      </w:tr>
      <w:tr w:rsidR="0026176B" w:rsidRPr="009451ED" w:rsidTr="001D6250">
        <w:trPr>
          <w:tblCellSpacing w:w="15" w:type="dxa"/>
        </w:trPr>
        <w:tc>
          <w:tcPr>
            <w:tcW w:w="538"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Lot frontage width</w:t>
            </w:r>
          </w:p>
        </w:tc>
        <w:tc>
          <w:tcPr>
            <w:tcW w:w="9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Mandatory / Optional</w:t>
            </w:r>
          </w:p>
        </w:tc>
        <w:tc>
          <w:tcPr>
            <w:tcW w:w="349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jc w:val="center"/>
              <w:rPr>
                <w:rFonts w:ascii="Arial" w:hAnsi="Arial" w:cs="Arial"/>
                <w:sz w:val="20"/>
                <w:szCs w:val="20"/>
              </w:rPr>
            </w:pPr>
            <w:r w:rsidRPr="009451ED">
              <w:rPr>
                <w:rStyle w:val="Strong"/>
                <w:rFonts w:ascii="Arial" w:hAnsi="Arial" w:cs="Arial"/>
                <w:sz w:val="20"/>
                <w:szCs w:val="20"/>
              </w:rPr>
              <w:t>Length and height of built to boundary wall</w:t>
            </w:r>
          </w:p>
        </w:tc>
      </w:tr>
      <w:tr w:rsidR="0026176B" w:rsidRPr="009451ED" w:rsidTr="001D6250">
        <w:trPr>
          <w:trHeight w:val="2257"/>
          <w:tblCellSpacing w:w="15" w:type="dxa"/>
        </w:trPr>
        <w:tc>
          <w:tcPr>
            <w:tcW w:w="538" w:type="pct"/>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c>
          <w:tcPr>
            <w:tcW w:w="926" w:type="pct"/>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1D6250">
            <w:pPr>
              <w:rPr>
                <w:rFonts w:ascii="Arial" w:hAnsi="Arial" w:cs="Arial"/>
                <w:sz w:val="20"/>
                <w:szCs w:val="20"/>
              </w:rPr>
            </w:pPr>
          </w:p>
        </w:tc>
        <w:tc>
          <w:tcPr>
            <w:tcW w:w="1013"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26176B" w:rsidRPr="009451ED" w:rsidRDefault="0026176B" w:rsidP="0026176B">
            <w:pPr>
              <w:numPr>
                <w:ilvl w:val="0"/>
                <w:numId w:val="45"/>
              </w:numPr>
              <w:rPr>
                <w:rFonts w:ascii="Arial" w:eastAsia="Times New Roman" w:hAnsi="Arial" w:cs="Arial"/>
                <w:sz w:val="20"/>
                <w:szCs w:val="20"/>
              </w:rPr>
            </w:pPr>
            <w:r w:rsidRPr="009451ED">
              <w:rPr>
                <w:rStyle w:val="Strong"/>
                <w:rFonts w:ascii="Arial" w:eastAsia="Times New Roman" w:hAnsi="Arial" w:cs="Arial"/>
                <w:sz w:val="20"/>
                <w:szCs w:val="20"/>
              </w:rPr>
              <w:t xml:space="preserve">Coastal </w:t>
            </w:r>
            <w:proofErr w:type="gramStart"/>
            <w:r w:rsidRPr="009451ED">
              <w:rPr>
                <w:rStyle w:val="Strong"/>
                <w:rFonts w:ascii="Arial" w:eastAsia="Times New Roman" w:hAnsi="Arial" w:cs="Arial"/>
                <w:sz w:val="20"/>
                <w:szCs w:val="20"/>
              </w:rPr>
              <w:t>communities</w:t>
            </w:r>
            <w:proofErr w:type="gramEnd"/>
            <w:r w:rsidRPr="009451ED">
              <w:rPr>
                <w:rStyle w:val="Strong"/>
                <w:rFonts w:ascii="Arial" w:eastAsia="Times New Roman" w:hAnsi="Arial" w:cs="Arial"/>
                <w:sz w:val="20"/>
                <w:szCs w:val="20"/>
              </w:rPr>
              <w:t xml:space="preserve"> precinct</w:t>
            </w:r>
          </w:p>
          <w:p w:rsidR="0026176B" w:rsidRPr="009451ED" w:rsidRDefault="0026176B" w:rsidP="0026176B">
            <w:pPr>
              <w:numPr>
                <w:ilvl w:val="0"/>
                <w:numId w:val="45"/>
              </w:numPr>
              <w:rPr>
                <w:rFonts w:ascii="Arial" w:eastAsia="Times New Roman" w:hAnsi="Arial" w:cs="Arial"/>
                <w:sz w:val="20"/>
                <w:szCs w:val="20"/>
              </w:rPr>
            </w:pPr>
            <w:r w:rsidRPr="009451ED">
              <w:rPr>
                <w:rStyle w:val="Strong"/>
                <w:rFonts w:ascii="Arial" w:eastAsia="Times New Roman" w:hAnsi="Arial" w:cs="Arial"/>
                <w:sz w:val="20"/>
                <w:szCs w:val="20"/>
              </w:rPr>
              <w:t>Suburban neighbourhood precinct</w:t>
            </w:r>
          </w:p>
          <w:p w:rsidR="0026176B" w:rsidRPr="009451ED" w:rsidRDefault="0026176B" w:rsidP="001D6250">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Redcliffe Kippa-Ring local plan:</w:t>
            </w:r>
          </w:p>
          <w:p w:rsidR="0026176B" w:rsidRPr="009451ED" w:rsidRDefault="0026176B" w:rsidP="0026176B">
            <w:pPr>
              <w:numPr>
                <w:ilvl w:val="0"/>
                <w:numId w:val="46"/>
              </w:numPr>
              <w:rPr>
                <w:rFonts w:ascii="Arial" w:eastAsia="Times New Roman" w:hAnsi="Arial" w:cs="Arial"/>
                <w:sz w:val="20"/>
                <w:szCs w:val="20"/>
              </w:rPr>
            </w:pPr>
            <w:r w:rsidRPr="009451ED">
              <w:rPr>
                <w:rStyle w:val="Strong"/>
                <w:rFonts w:ascii="Arial" w:eastAsia="Times New Roman" w:hAnsi="Arial" w:cs="Arial"/>
                <w:sz w:val="20"/>
                <w:szCs w:val="20"/>
              </w:rPr>
              <w:t>Interim residential precinct</w:t>
            </w:r>
          </w:p>
        </w:tc>
        <w:tc>
          <w:tcPr>
            <w:tcW w:w="1118"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rsidR="0026176B" w:rsidRPr="009451ED" w:rsidRDefault="0026176B" w:rsidP="0026176B">
            <w:pPr>
              <w:pStyle w:val="NormalWeb"/>
              <w:numPr>
                <w:ilvl w:val="0"/>
                <w:numId w:val="47"/>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w:t>
            </w:r>
          </w:p>
          <w:p w:rsidR="0026176B" w:rsidRPr="009451ED" w:rsidRDefault="0026176B" w:rsidP="001D6250">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26176B" w:rsidRPr="009451ED" w:rsidRDefault="0026176B" w:rsidP="0026176B">
            <w:pPr>
              <w:pStyle w:val="NormalWeb"/>
              <w:numPr>
                <w:ilvl w:val="0"/>
                <w:numId w:val="48"/>
              </w:numPr>
              <w:spacing w:before="0" w:beforeAutospacing="0" w:after="0" w:afterAutospacing="0"/>
              <w:rPr>
                <w:rFonts w:ascii="Arial" w:hAnsi="Arial" w:cs="Arial"/>
                <w:sz w:val="20"/>
                <w:szCs w:val="20"/>
              </w:rPr>
            </w:pPr>
            <w:r w:rsidRPr="009451ED">
              <w:rPr>
                <w:rStyle w:val="Strong"/>
                <w:rFonts w:ascii="Arial" w:hAnsi="Arial" w:cs="Arial"/>
                <w:sz w:val="20"/>
                <w:szCs w:val="20"/>
              </w:rPr>
              <w:t>Next generation neighbourhood precinct</w:t>
            </w:r>
          </w:p>
          <w:p w:rsidR="0026176B" w:rsidRPr="009451ED" w:rsidRDefault="0026176B" w:rsidP="001D6250">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Caboolture West local plan:</w:t>
            </w:r>
          </w:p>
          <w:p w:rsidR="0026176B" w:rsidRPr="009451ED" w:rsidRDefault="0026176B" w:rsidP="0026176B">
            <w:pPr>
              <w:pStyle w:val="NormalWeb"/>
              <w:numPr>
                <w:ilvl w:val="0"/>
                <w:numId w:val="49"/>
              </w:numPr>
              <w:spacing w:before="0" w:beforeAutospacing="0" w:after="0" w:afterAutospacing="0"/>
              <w:rPr>
                <w:rFonts w:ascii="Arial" w:hAnsi="Arial" w:cs="Arial"/>
                <w:sz w:val="20"/>
                <w:szCs w:val="20"/>
              </w:rPr>
            </w:pPr>
            <w:r w:rsidRPr="009451ED">
              <w:rPr>
                <w:rStyle w:val="Strong"/>
                <w:rFonts w:ascii="Arial" w:hAnsi="Arial" w:cs="Arial"/>
                <w:sz w:val="20"/>
                <w:szCs w:val="20"/>
              </w:rPr>
              <w:t>Urban living precinct (Next generation sub-precinct)</w:t>
            </w:r>
          </w:p>
        </w:tc>
        <w:tc>
          <w:tcPr>
            <w:tcW w:w="1347"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1D6250">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rsidR="0026176B" w:rsidRPr="009451ED" w:rsidRDefault="0026176B" w:rsidP="0026176B">
            <w:pPr>
              <w:pStyle w:val="NormalWeb"/>
              <w:numPr>
                <w:ilvl w:val="0"/>
                <w:numId w:val="50"/>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 if within the Morayfield South urban area on Figure 9.3.1.1</w:t>
            </w:r>
          </w:p>
          <w:p w:rsidR="0026176B" w:rsidRPr="009451ED" w:rsidRDefault="0026176B" w:rsidP="001D6250">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26176B" w:rsidRPr="009451ED" w:rsidRDefault="0026176B" w:rsidP="0026176B">
            <w:pPr>
              <w:pStyle w:val="NormalWeb"/>
              <w:numPr>
                <w:ilvl w:val="0"/>
                <w:numId w:val="51"/>
              </w:numPr>
              <w:spacing w:before="0" w:beforeAutospacing="0" w:after="0" w:afterAutospacing="0"/>
              <w:rPr>
                <w:rFonts w:ascii="Arial" w:hAnsi="Arial" w:cs="Arial"/>
                <w:sz w:val="20"/>
                <w:szCs w:val="20"/>
              </w:rPr>
            </w:pPr>
            <w:r w:rsidRPr="009451ED">
              <w:rPr>
                <w:rStyle w:val="Strong"/>
                <w:rFonts w:ascii="Arial" w:hAnsi="Arial" w:cs="Arial"/>
                <w:sz w:val="20"/>
                <w:szCs w:val="20"/>
              </w:rPr>
              <w:t>Urban neighbourhood precinct</w:t>
            </w:r>
          </w:p>
        </w:tc>
      </w:tr>
      <w:tr w:rsidR="0026176B" w:rsidRPr="009451ED" w:rsidTr="001D6250">
        <w:trPr>
          <w:tblCellSpacing w:w="15" w:type="dxa"/>
        </w:trPr>
        <w:tc>
          <w:tcPr>
            <w:tcW w:w="53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7.5m or less</w:t>
            </w:r>
          </w:p>
        </w:tc>
        <w:tc>
          <w:tcPr>
            <w:tcW w:w="92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Mandatory - both sides unless a corner lot</w:t>
            </w:r>
          </w:p>
        </w:tc>
        <w:tc>
          <w:tcPr>
            <w:tcW w:w="101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Not permitted*</w:t>
            </w:r>
          </w:p>
        </w:tc>
        <w:tc>
          <w:tcPr>
            <w:tcW w:w="11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7.5m</w:t>
            </w:r>
          </w:p>
        </w:tc>
        <w:tc>
          <w:tcPr>
            <w:tcW w:w="134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8.5m</w:t>
            </w:r>
          </w:p>
        </w:tc>
      </w:tr>
      <w:tr w:rsidR="0026176B" w:rsidRPr="009451ED" w:rsidTr="001D6250">
        <w:trPr>
          <w:tblCellSpacing w:w="15" w:type="dxa"/>
        </w:trPr>
        <w:tc>
          <w:tcPr>
            <w:tcW w:w="53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More than 7.5m to 12.5m</w:t>
            </w:r>
          </w:p>
        </w:tc>
        <w:tc>
          <w:tcPr>
            <w:tcW w:w="92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Mandatory - one side</w:t>
            </w:r>
          </w:p>
        </w:tc>
        <w:tc>
          <w:tcPr>
            <w:tcW w:w="101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Not permitted*</w:t>
            </w:r>
          </w:p>
        </w:tc>
        <w:tc>
          <w:tcPr>
            <w:tcW w:w="11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Max Length: 60% of the length of the boundary OR 80% if the lot adjoining that boundary has a frontage of 7.5m or less.</w:t>
            </w:r>
            <w:r w:rsidRPr="009451ED">
              <w:rPr>
                <w:rFonts w:ascii="Arial" w:hAnsi="Arial" w:cs="Arial"/>
                <w:sz w:val="20"/>
                <w:szCs w:val="20"/>
              </w:rPr>
              <w:br/>
              <w:t>Max Height: 7.5m</w:t>
            </w:r>
          </w:p>
        </w:tc>
        <w:tc>
          <w:tcPr>
            <w:tcW w:w="134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Max Length: 70% of the length of the boundary</w:t>
            </w:r>
            <w:r w:rsidRPr="009451ED">
              <w:rPr>
                <w:rFonts w:ascii="Arial" w:hAnsi="Arial" w:cs="Arial"/>
                <w:sz w:val="20"/>
                <w:szCs w:val="20"/>
              </w:rPr>
              <w:br/>
              <w:t>Max Height: 10.5m</w:t>
            </w:r>
          </w:p>
        </w:tc>
      </w:tr>
      <w:tr w:rsidR="0026176B" w:rsidRPr="009451ED" w:rsidTr="001D6250">
        <w:trPr>
          <w:trHeight w:val="1440"/>
          <w:tblCellSpacing w:w="15" w:type="dxa"/>
        </w:trPr>
        <w:tc>
          <w:tcPr>
            <w:tcW w:w="53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More than 12.5m to 18m</w:t>
            </w:r>
          </w:p>
        </w:tc>
        <w:tc>
          <w:tcPr>
            <w:tcW w:w="92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Optional:</w:t>
            </w:r>
          </w:p>
          <w:p w:rsidR="0026176B" w:rsidRPr="009451ED" w:rsidRDefault="0026176B" w:rsidP="0026176B">
            <w:pPr>
              <w:pStyle w:val="NormalWeb"/>
              <w:numPr>
                <w:ilvl w:val="0"/>
                <w:numId w:val="52"/>
              </w:numPr>
              <w:rPr>
                <w:rFonts w:ascii="Arial" w:hAnsi="Arial" w:cs="Arial"/>
                <w:sz w:val="20"/>
                <w:szCs w:val="20"/>
              </w:rPr>
            </w:pPr>
            <w:r w:rsidRPr="009451ED">
              <w:rPr>
                <w:rFonts w:ascii="Arial" w:hAnsi="Arial" w:cs="Arial"/>
                <w:sz w:val="20"/>
                <w:szCs w:val="20"/>
              </w:rPr>
              <w:t>on 1 boundary only;</w:t>
            </w:r>
          </w:p>
          <w:p w:rsidR="0026176B" w:rsidRPr="009451ED" w:rsidRDefault="0026176B" w:rsidP="0026176B">
            <w:pPr>
              <w:pStyle w:val="NormalWeb"/>
              <w:numPr>
                <w:ilvl w:val="0"/>
                <w:numId w:val="52"/>
              </w:numPr>
              <w:rPr>
                <w:rFonts w:ascii="Arial" w:hAnsi="Arial" w:cs="Arial"/>
                <w:sz w:val="20"/>
                <w:szCs w:val="20"/>
              </w:rPr>
            </w:pPr>
            <w:r w:rsidRPr="009451ED">
              <w:rPr>
                <w:rFonts w:ascii="Arial" w:hAnsi="Arial" w:cs="Arial"/>
                <w:sz w:val="20"/>
                <w:szCs w:val="20"/>
              </w:rPr>
              <w:t>where the built to boundary wall adjoins a lot with a frontage less than 18m.</w:t>
            </w:r>
          </w:p>
          <w:p w:rsidR="0026176B" w:rsidRPr="009451ED" w:rsidRDefault="0026176B" w:rsidP="001D6250">
            <w:pPr>
              <w:pStyle w:val="NormalWeb"/>
              <w:rPr>
                <w:rFonts w:ascii="Arial" w:hAnsi="Arial" w:cs="Arial"/>
                <w:sz w:val="20"/>
                <w:szCs w:val="20"/>
              </w:rPr>
            </w:pPr>
            <w:r w:rsidRPr="009451ED">
              <w:rPr>
                <w:rFonts w:ascii="Arial" w:hAnsi="Arial" w:cs="Arial"/>
                <w:sz w:val="20"/>
                <w:szCs w:val="20"/>
              </w:rPr>
              <w:t>Not permitted - Otherwise</w:t>
            </w:r>
          </w:p>
        </w:tc>
        <w:tc>
          <w:tcPr>
            <w:tcW w:w="101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Not permitted*</w:t>
            </w:r>
          </w:p>
        </w:tc>
        <w:tc>
          <w:tcPr>
            <w:tcW w:w="11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7.5m</w:t>
            </w:r>
          </w:p>
        </w:tc>
        <w:tc>
          <w:tcPr>
            <w:tcW w:w="134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10.5m</w:t>
            </w:r>
          </w:p>
        </w:tc>
      </w:tr>
      <w:tr w:rsidR="0026176B" w:rsidRPr="009451ED" w:rsidTr="001D6250">
        <w:trPr>
          <w:tblCellSpacing w:w="15" w:type="dxa"/>
        </w:trPr>
        <w:tc>
          <w:tcPr>
            <w:tcW w:w="53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Style w:val="Strong"/>
                <w:rFonts w:ascii="Arial" w:hAnsi="Arial" w:cs="Arial"/>
                <w:sz w:val="20"/>
                <w:szCs w:val="20"/>
              </w:rPr>
              <w:t>Greater than 18m</w:t>
            </w:r>
          </w:p>
        </w:tc>
        <w:tc>
          <w:tcPr>
            <w:tcW w:w="92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pStyle w:val="NormalWeb"/>
              <w:rPr>
                <w:rFonts w:ascii="Arial" w:hAnsi="Arial" w:cs="Arial"/>
                <w:sz w:val="20"/>
                <w:szCs w:val="20"/>
              </w:rPr>
            </w:pPr>
            <w:r w:rsidRPr="009451ED">
              <w:rPr>
                <w:rFonts w:ascii="Arial" w:hAnsi="Arial" w:cs="Arial"/>
                <w:sz w:val="20"/>
                <w:szCs w:val="20"/>
              </w:rPr>
              <w:t>Not permitted*</w:t>
            </w:r>
          </w:p>
        </w:tc>
        <w:tc>
          <w:tcPr>
            <w:tcW w:w="101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Not permitted*</w:t>
            </w:r>
          </w:p>
        </w:tc>
        <w:tc>
          <w:tcPr>
            <w:tcW w:w="111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Not permitted*</w:t>
            </w:r>
          </w:p>
        </w:tc>
        <w:tc>
          <w:tcPr>
            <w:tcW w:w="134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1D6250">
            <w:pPr>
              <w:rPr>
                <w:rFonts w:ascii="Arial" w:eastAsia="Times New Roman" w:hAnsi="Arial" w:cs="Arial"/>
                <w:sz w:val="20"/>
                <w:szCs w:val="20"/>
              </w:rPr>
            </w:pPr>
            <w:r w:rsidRPr="009451ED">
              <w:rPr>
                <w:rFonts w:ascii="Arial" w:eastAsia="Times New Roman" w:hAnsi="Arial" w:cs="Arial"/>
                <w:sz w:val="20"/>
                <w:szCs w:val="20"/>
              </w:rPr>
              <w:t>Not permitted*</w:t>
            </w:r>
          </w:p>
        </w:tc>
      </w:tr>
    </w:tbl>
    <w:p w:rsidR="0026176B" w:rsidRDefault="0026176B">
      <w:pPr>
        <w:rPr>
          <w:rFonts w:ascii="Arial" w:hAnsi="Arial" w:cs="Arial"/>
        </w:rPr>
      </w:pPr>
    </w:p>
    <w:p w:rsidR="0026176B" w:rsidRPr="009451ED" w:rsidRDefault="0026176B" w:rsidP="0026176B">
      <w:pPr>
        <w:rPr>
          <w:rFonts w:ascii="Arial" w:hAnsi="Arial" w:cs="Arial"/>
          <w:sz w:val="20"/>
          <w:szCs w:val="20"/>
        </w:rPr>
      </w:pPr>
      <w:r w:rsidRPr="009451ED">
        <w:rPr>
          <w:rFonts w:ascii="Arial" w:hAnsi="Arial" w:cs="Arial"/>
          <w:sz w:val="20"/>
          <w:szCs w:val="20"/>
        </w:rPr>
        <w:t>Note -The above setbacks apply only to Class 1a and Class 10a buildings/structures.</w:t>
      </w:r>
    </w:p>
    <w:p w:rsidR="0026176B" w:rsidRPr="009451ED" w:rsidRDefault="0026176B" w:rsidP="0026176B">
      <w:pPr>
        <w:rPr>
          <w:rFonts w:ascii="Arial" w:hAnsi="Arial" w:cs="Arial"/>
          <w:sz w:val="20"/>
          <w:szCs w:val="20"/>
        </w:rPr>
      </w:pPr>
      <w:r w:rsidRPr="009451ED">
        <w:rPr>
          <w:rFonts w:ascii="Arial" w:hAnsi="Arial" w:cs="Arial"/>
          <w:sz w:val="20"/>
          <w:szCs w:val="20"/>
        </w:rPr>
        <w:br/>
        <w:t>Note - Max Length includes the length of walls of any other buildings on the same boundary. e.g. detached garage, carport or shed.</w:t>
      </w:r>
    </w:p>
    <w:p w:rsidR="0026176B" w:rsidRPr="009451ED" w:rsidRDefault="0026176B" w:rsidP="0026176B">
      <w:pPr>
        <w:rPr>
          <w:rFonts w:ascii="Arial" w:hAnsi="Arial" w:cs="Arial"/>
          <w:sz w:val="20"/>
          <w:szCs w:val="20"/>
        </w:rPr>
      </w:pPr>
      <w:r w:rsidRPr="009451ED">
        <w:rPr>
          <w:rFonts w:ascii="Arial" w:hAnsi="Arial" w:cs="Arial"/>
          <w:sz w:val="20"/>
          <w:szCs w:val="20"/>
        </w:rPr>
        <w:br/>
        <w:t>Note - For the maximum height of domestic outbuildings refer to the examples that achieve aspects of the performance outcomes for building height and domestic outbuildings.</w:t>
      </w:r>
    </w:p>
    <w:p w:rsidR="0026176B" w:rsidRPr="009451ED" w:rsidRDefault="0026176B" w:rsidP="0026176B">
      <w:pPr>
        <w:rPr>
          <w:rFonts w:ascii="Arial" w:hAnsi="Arial" w:cs="Arial"/>
          <w:sz w:val="20"/>
          <w:szCs w:val="20"/>
        </w:rPr>
      </w:pPr>
    </w:p>
    <w:p w:rsidR="0026176B" w:rsidRPr="009451ED" w:rsidRDefault="0026176B" w:rsidP="0026176B">
      <w:pPr>
        <w:rPr>
          <w:rFonts w:ascii="Arial" w:hAnsi="Arial" w:cs="Arial"/>
          <w:sz w:val="20"/>
          <w:szCs w:val="20"/>
        </w:rPr>
      </w:pPr>
      <w:r w:rsidRPr="009451ED">
        <w:rPr>
          <w:rFonts w:ascii="Arial" w:hAnsi="Arial" w:cs="Arial"/>
          <w:sz w:val="20"/>
          <w:szCs w:val="20"/>
        </w:rPr>
        <w:t>*Note - Built to boundary walls are not permitted, however, reduced side and rear boundary clearances may be permitted as prescribed (e.g. QDC). </w:t>
      </w:r>
    </w:p>
    <w:p w:rsidR="0026176B" w:rsidRDefault="0026176B" w:rsidP="0026176B">
      <w:pPr>
        <w:rPr>
          <w:rFonts w:ascii="Arial" w:hAnsi="Arial" w:cs="Arial"/>
        </w:rPr>
      </w:pPr>
    </w:p>
    <w:p w:rsidR="0026176B" w:rsidRDefault="0026176B" w:rsidP="0026176B">
      <w:pPr>
        <w:rPr>
          <w:rFonts w:ascii="Arial" w:hAnsi="Arial" w:cs="Arial"/>
        </w:rPr>
      </w:pPr>
    </w:p>
    <w:p w:rsidR="0026176B" w:rsidRPr="009451ED" w:rsidRDefault="0026176B" w:rsidP="0026176B">
      <w:pPr>
        <w:jc w:val="center"/>
        <w:rPr>
          <w:rFonts w:ascii="Arial" w:hAnsi="Arial" w:cs="Arial"/>
          <w:sz w:val="20"/>
          <w:szCs w:val="20"/>
        </w:rPr>
      </w:pPr>
      <w:r w:rsidRPr="009451ED">
        <w:rPr>
          <w:rStyle w:val="Strong"/>
          <w:rFonts w:ascii="Arial" w:eastAsia="Times New Roman" w:hAnsi="Arial" w:cs="Arial"/>
          <w:sz w:val="20"/>
          <w:szCs w:val="20"/>
        </w:rPr>
        <w:t>Figure 9.3.1.1 Morayfield South - Urban area</w:t>
      </w:r>
    </w:p>
    <w:p w:rsidR="0026176B" w:rsidRPr="004E0E41" w:rsidRDefault="0026176B">
      <w:pPr>
        <w:rPr>
          <w:rFonts w:ascii="Arial" w:hAnsi="Arial" w:cs="Arial"/>
        </w:rPr>
      </w:pPr>
      <w:r>
        <w:rPr>
          <w:rFonts w:eastAsia="Times New Roman"/>
          <w:noProof/>
        </w:rPr>
        <w:drawing>
          <wp:anchor distT="0" distB="0" distL="114300" distR="114300" simplePos="0" relativeHeight="251659264" behindDoc="0" locked="0" layoutInCell="1" allowOverlap="1" wp14:anchorId="4800B241" wp14:editId="5DC35010">
            <wp:simplePos x="0" y="0"/>
            <wp:positionH relativeFrom="margin">
              <wp:align>center</wp:align>
            </wp:positionH>
            <wp:positionV relativeFrom="paragraph">
              <wp:posOffset>202334</wp:posOffset>
            </wp:positionV>
            <wp:extent cx="5400675" cy="5000625"/>
            <wp:effectExtent l="0" t="0" r="9525" b="9525"/>
            <wp:wrapTopAndBottom/>
            <wp:docPr id="13" name="ID-2859427-532" descr="Morayfield South - Urb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7-532" descr="Morayfield South - Urban area"/>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400675" cy="5000625"/>
                    </a:xfrm>
                    <a:prstGeom prst="rect">
                      <a:avLst/>
                    </a:prstGeom>
                    <a:noFill/>
                    <a:ln>
                      <a:noFill/>
                    </a:ln>
                  </pic:spPr>
                </pic:pic>
              </a:graphicData>
            </a:graphic>
          </wp:anchor>
        </w:drawing>
      </w:r>
    </w:p>
    <w:sectPr w:rsidR="0026176B" w:rsidRPr="004E0E41" w:rsidSect="00A86C6C">
      <w:footerReference w:type="default" r:id="rId1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8B8" w:rsidRDefault="000178B8" w:rsidP="00A86C6C">
      <w:r>
        <w:separator/>
      </w:r>
    </w:p>
  </w:endnote>
  <w:endnote w:type="continuationSeparator" w:id="0">
    <w:p w:rsidR="000178B8" w:rsidRDefault="000178B8" w:rsidP="00A8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C6C" w:rsidRPr="00A86C6C" w:rsidRDefault="00A86C6C" w:rsidP="00A86C6C">
    <w:pPr>
      <w:pStyle w:val="Footer"/>
      <w:jc w:val="center"/>
      <w:rPr>
        <w:rFonts w:ascii="Arial" w:hAnsi="Arial" w:cs="Arial"/>
        <w:sz w:val="20"/>
        <w:szCs w:val="20"/>
      </w:rPr>
    </w:pPr>
    <w:r w:rsidRPr="00A86C6C">
      <w:rPr>
        <w:rFonts w:ascii="Arial" w:hAnsi="Arial" w:cs="Arial"/>
        <w:sz w:val="20"/>
        <w:szCs w:val="20"/>
      </w:rPr>
      <w:t xml:space="preserve">MBRC Planning Scheme Version 4 - Use codes - Dwelling house code - </w:t>
    </w:r>
    <w:r w:rsidRPr="00A86C6C">
      <w:rPr>
        <w:rFonts w:ascii="Arial" w:hAnsi="Arial" w:cs="Arial"/>
        <w:i/>
        <w:sz w:val="20"/>
        <w:szCs w:val="20"/>
      </w:rPr>
      <w:t>Requirements for accepted development</w:t>
    </w:r>
    <w:r w:rsidR="007B56B9">
      <w:rPr>
        <w:rFonts w:ascii="Arial" w:hAnsi="Arial" w:cs="Arial"/>
        <w:i/>
        <w:sz w:val="20"/>
        <w:szCs w:val="20"/>
      </w:rPr>
      <w:tab/>
    </w:r>
    <w:r w:rsidR="007B56B9">
      <w:rPr>
        <w:rFonts w:ascii="Arial" w:hAnsi="Arial" w:cs="Arial"/>
        <w:i/>
        <w:sz w:val="20"/>
        <w:szCs w:val="20"/>
      </w:rPr>
      <w:tab/>
    </w:r>
    <w:r w:rsidR="007B56B9">
      <w:rPr>
        <w:rFonts w:ascii="Arial" w:hAnsi="Arial" w:cs="Arial"/>
        <w:i/>
        <w:sz w:val="20"/>
        <w:szCs w:val="20"/>
      </w:rPr>
      <w:tab/>
    </w:r>
    <w:r w:rsidR="007B56B9">
      <w:rPr>
        <w:rFonts w:ascii="Arial" w:hAnsi="Arial" w:cs="Arial"/>
        <w:i/>
        <w:sz w:val="20"/>
        <w:szCs w:val="20"/>
      </w:rPr>
      <w:tab/>
    </w:r>
    <w:r w:rsidR="007B56B9">
      <w:rPr>
        <w:rFonts w:ascii="Arial" w:hAnsi="Arial" w:cs="Arial"/>
        <w:i/>
        <w:sz w:val="20"/>
        <w:szCs w:val="20"/>
      </w:rPr>
      <w:tab/>
    </w:r>
    <w:r w:rsidR="007B56B9">
      <w:rPr>
        <w:rFonts w:ascii="Arial" w:hAnsi="Arial" w:cs="Arial"/>
        <w:i/>
        <w:sz w:val="20"/>
        <w:szCs w:val="20"/>
      </w:rPr>
      <w:tab/>
    </w:r>
    <w:r w:rsidR="007B56B9" w:rsidRPr="007B56B9">
      <w:rPr>
        <w:rFonts w:ascii="Arial" w:hAnsi="Arial" w:cs="Arial"/>
        <w:i/>
        <w:sz w:val="20"/>
        <w:szCs w:val="20"/>
      </w:rPr>
      <w:fldChar w:fldCharType="begin"/>
    </w:r>
    <w:r w:rsidR="007B56B9" w:rsidRPr="007B56B9">
      <w:rPr>
        <w:rFonts w:ascii="Arial" w:hAnsi="Arial" w:cs="Arial"/>
        <w:i/>
        <w:sz w:val="20"/>
        <w:szCs w:val="20"/>
      </w:rPr>
      <w:instrText xml:space="preserve"> PAGE   \* MERGEFORMAT </w:instrText>
    </w:r>
    <w:r w:rsidR="007B56B9" w:rsidRPr="007B56B9">
      <w:rPr>
        <w:rFonts w:ascii="Arial" w:hAnsi="Arial" w:cs="Arial"/>
        <w:i/>
        <w:sz w:val="20"/>
        <w:szCs w:val="20"/>
      </w:rPr>
      <w:fldChar w:fldCharType="separate"/>
    </w:r>
    <w:r w:rsidR="007B56B9" w:rsidRPr="007B56B9">
      <w:rPr>
        <w:rFonts w:ascii="Arial" w:hAnsi="Arial" w:cs="Arial"/>
        <w:i/>
        <w:noProof/>
        <w:sz w:val="20"/>
        <w:szCs w:val="20"/>
      </w:rPr>
      <w:t>1</w:t>
    </w:r>
    <w:r w:rsidR="007B56B9" w:rsidRPr="007B56B9">
      <w:rPr>
        <w:rFonts w:ascii="Arial" w:hAnsi="Arial" w:cs="Arial"/>
        <w:i/>
        <w:noProof/>
        <w:sz w:val="20"/>
        <w:szCs w:val="20"/>
      </w:rPr>
      <w:fldChar w:fldCharType="end"/>
    </w:r>
  </w:p>
  <w:p w:rsidR="00A86C6C" w:rsidRPr="00A86C6C" w:rsidRDefault="00A86C6C" w:rsidP="00A8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8B8" w:rsidRDefault="000178B8" w:rsidP="00A86C6C">
      <w:r>
        <w:separator/>
      </w:r>
    </w:p>
  </w:footnote>
  <w:footnote w:type="continuationSeparator" w:id="0">
    <w:p w:rsidR="000178B8" w:rsidRDefault="000178B8" w:rsidP="00A8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BC"/>
    <w:multiLevelType w:val="multilevel"/>
    <w:tmpl w:val="81E81C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F9218F"/>
    <w:multiLevelType w:val="multilevel"/>
    <w:tmpl w:val="6820F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AB4197"/>
    <w:multiLevelType w:val="multilevel"/>
    <w:tmpl w:val="E1BED2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0921DE"/>
    <w:multiLevelType w:val="multilevel"/>
    <w:tmpl w:val="090C8C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EF5EB5"/>
    <w:multiLevelType w:val="multilevel"/>
    <w:tmpl w:val="258A6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CC0593"/>
    <w:multiLevelType w:val="multilevel"/>
    <w:tmpl w:val="2CD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61A64"/>
    <w:multiLevelType w:val="multilevel"/>
    <w:tmpl w:val="2F7AE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DE0283"/>
    <w:multiLevelType w:val="multilevel"/>
    <w:tmpl w:val="3224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C2D95"/>
    <w:multiLevelType w:val="multilevel"/>
    <w:tmpl w:val="ED800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846EA3"/>
    <w:multiLevelType w:val="multilevel"/>
    <w:tmpl w:val="6E784B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3012F5"/>
    <w:multiLevelType w:val="multilevel"/>
    <w:tmpl w:val="FCF6F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B03E8C"/>
    <w:multiLevelType w:val="multilevel"/>
    <w:tmpl w:val="70EA1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E23F7D"/>
    <w:multiLevelType w:val="multilevel"/>
    <w:tmpl w:val="A8B012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166A8B"/>
    <w:multiLevelType w:val="multilevel"/>
    <w:tmpl w:val="3E1884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8F91568"/>
    <w:multiLevelType w:val="multilevel"/>
    <w:tmpl w:val="F696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4901AA"/>
    <w:multiLevelType w:val="multilevel"/>
    <w:tmpl w:val="1A2697B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CFA31CC"/>
    <w:multiLevelType w:val="multilevel"/>
    <w:tmpl w:val="175A5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E1A4596"/>
    <w:multiLevelType w:val="multilevel"/>
    <w:tmpl w:val="99387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F370934"/>
    <w:multiLevelType w:val="multilevel"/>
    <w:tmpl w:val="9F841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221178"/>
    <w:multiLevelType w:val="multilevel"/>
    <w:tmpl w:val="D2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17C8D"/>
    <w:multiLevelType w:val="multilevel"/>
    <w:tmpl w:val="27DC86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9745CEB"/>
    <w:multiLevelType w:val="multilevel"/>
    <w:tmpl w:val="010C7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BA0348A"/>
    <w:multiLevelType w:val="multilevel"/>
    <w:tmpl w:val="86B44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09509E"/>
    <w:multiLevelType w:val="multilevel"/>
    <w:tmpl w:val="2B0E388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D8D027C"/>
    <w:multiLevelType w:val="multilevel"/>
    <w:tmpl w:val="0A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21A7"/>
    <w:multiLevelType w:val="multilevel"/>
    <w:tmpl w:val="90B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A40E5"/>
    <w:multiLevelType w:val="multilevel"/>
    <w:tmpl w:val="C56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9724EF"/>
    <w:multiLevelType w:val="multilevel"/>
    <w:tmpl w:val="46B4F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5051B74"/>
    <w:multiLevelType w:val="multilevel"/>
    <w:tmpl w:val="D4A6A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51D212E"/>
    <w:multiLevelType w:val="multilevel"/>
    <w:tmpl w:val="132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545CBD"/>
    <w:multiLevelType w:val="multilevel"/>
    <w:tmpl w:val="3190E2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BB9410A"/>
    <w:multiLevelType w:val="multilevel"/>
    <w:tmpl w:val="D764B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28F71A7"/>
    <w:multiLevelType w:val="multilevel"/>
    <w:tmpl w:val="DFECD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4A2161"/>
    <w:multiLevelType w:val="multilevel"/>
    <w:tmpl w:val="65085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7006FE7"/>
    <w:multiLevelType w:val="multilevel"/>
    <w:tmpl w:val="974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76558"/>
    <w:multiLevelType w:val="multilevel"/>
    <w:tmpl w:val="4822A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B046A43"/>
    <w:multiLevelType w:val="multilevel"/>
    <w:tmpl w:val="BB5AF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E9308A6"/>
    <w:multiLevelType w:val="multilevel"/>
    <w:tmpl w:val="050A9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00C6BB0"/>
    <w:multiLevelType w:val="multilevel"/>
    <w:tmpl w:val="2E3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FB48EE"/>
    <w:multiLevelType w:val="multilevel"/>
    <w:tmpl w:val="3D54309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3AC1288"/>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6756B7D"/>
    <w:multiLevelType w:val="multilevel"/>
    <w:tmpl w:val="ED1E2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79229E3"/>
    <w:multiLevelType w:val="multilevel"/>
    <w:tmpl w:val="34CA8E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7BB2EE8"/>
    <w:multiLevelType w:val="multilevel"/>
    <w:tmpl w:val="8850F9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7DC3E3E"/>
    <w:multiLevelType w:val="multilevel"/>
    <w:tmpl w:val="127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B12141"/>
    <w:multiLevelType w:val="multilevel"/>
    <w:tmpl w:val="FEE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2B40FB"/>
    <w:multiLevelType w:val="multilevel"/>
    <w:tmpl w:val="2722C8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0802AA8"/>
    <w:multiLevelType w:val="multilevel"/>
    <w:tmpl w:val="50D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BE670B"/>
    <w:multiLevelType w:val="multilevel"/>
    <w:tmpl w:val="DDCC5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68358C4"/>
    <w:multiLevelType w:val="multilevel"/>
    <w:tmpl w:val="5A7CB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D8B1542"/>
    <w:multiLevelType w:val="multilevel"/>
    <w:tmpl w:val="5E08C0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4"/>
  </w:num>
  <w:num w:numId="2">
    <w:abstractNumId w:val="43"/>
  </w:num>
  <w:num w:numId="3">
    <w:abstractNumId w:val="13"/>
  </w:num>
  <w:num w:numId="4">
    <w:abstractNumId w:val="37"/>
  </w:num>
  <w:num w:numId="5">
    <w:abstractNumId w:val="51"/>
  </w:num>
  <w:num w:numId="6">
    <w:abstractNumId w:val="26"/>
  </w:num>
  <w:num w:numId="7">
    <w:abstractNumId w:val="27"/>
  </w:num>
  <w:num w:numId="8">
    <w:abstractNumId w:val="39"/>
  </w:num>
  <w:num w:numId="9">
    <w:abstractNumId w:val="48"/>
  </w:num>
  <w:num w:numId="10">
    <w:abstractNumId w:val="8"/>
  </w:num>
  <w:num w:numId="11">
    <w:abstractNumId w:val="10"/>
  </w:num>
  <w:num w:numId="12">
    <w:abstractNumId w:val="12"/>
  </w:num>
  <w:num w:numId="13">
    <w:abstractNumId w:val="17"/>
  </w:num>
  <w:num w:numId="14">
    <w:abstractNumId w:val="28"/>
  </w:num>
  <w:num w:numId="15">
    <w:abstractNumId w:val="33"/>
  </w:num>
  <w:num w:numId="16">
    <w:abstractNumId w:val="7"/>
  </w:num>
  <w:num w:numId="17">
    <w:abstractNumId w:val="31"/>
  </w:num>
  <w:num w:numId="18">
    <w:abstractNumId w:val="34"/>
  </w:num>
  <w:num w:numId="19">
    <w:abstractNumId w:val="21"/>
  </w:num>
  <w:num w:numId="20">
    <w:abstractNumId w:val="19"/>
  </w:num>
  <w:num w:numId="21">
    <w:abstractNumId w:val="1"/>
  </w:num>
  <w:num w:numId="22">
    <w:abstractNumId w:val="16"/>
  </w:num>
  <w:num w:numId="23">
    <w:abstractNumId w:val="5"/>
  </w:num>
  <w:num w:numId="24">
    <w:abstractNumId w:val="15"/>
  </w:num>
  <w:num w:numId="25">
    <w:abstractNumId w:val="0"/>
  </w:num>
  <w:num w:numId="26">
    <w:abstractNumId w:val="36"/>
  </w:num>
  <w:num w:numId="27">
    <w:abstractNumId w:val="49"/>
  </w:num>
  <w:num w:numId="28">
    <w:abstractNumId w:val="29"/>
  </w:num>
  <w:num w:numId="29">
    <w:abstractNumId w:val="50"/>
  </w:num>
  <w:num w:numId="30">
    <w:abstractNumId w:val="32"/>
  </w:num>
  <w:num w:numId="31">
    <w:abstractNumId w:val="22"/>
  </w:num>
  <w:num w:numId="32">
    <w:abstractNumId w:val="9"/>
  </w:num>
  <w:num w:numId="33">
    <w:abstractNumId w:val="11"/>
  </w:num>
  <w:num w:numId="34">
    <w:abstractNumId w:val="23"/>
  </w:num>
  <w:num w:numId="35">
    <w:abstractNumId w:val="42"/>
  </w:num>
  <w:num w:numId="36">
    <w:abstractNumId w:val="38"/>
  </w:num>
  <w:num w:numId="37">
    <w:abstractNumId w:val="18"/>
  </w:num>
  <w:num w:numId="38">
    <w:abstractNumId w:val="3"/>
  </w:num>
  <w:num w:numId="39">
    <w:abstractNumId w:val="14"/>
  </w:num>
  <w:num w:numId="40">
    <w:abstractNumId w:val="40"/>
  </w:num>
  <w:num w:numId="41">
    <w:abstractNumId w:val="24"/>
  </w:num>
  <w:num w:numId="42">
    <w:abstractNumId w:val="2"/>
  </w:num>
  <w:num w:numId="43">
    <w:abstractNumId w:val="4"/>
  </w:num>
  <w:num w:numId="44">
    <w:abstractNumId w:val="41"/>
  </w:num>
  <w:num w:numId="45">
    <w:abstractNumId w:val="20"/>
  </w:num>
  <w:num w:numId="46">
    <w:abstractNumId w:val="25"/>
  </w:num>
  <w:num w:numId="47">
    <w:abstractNumId w:val="30"/>
  </w:num>
  <w:num w:numId="48">
    <w:abstractNumId w:val="46"/>
  </w:num>
  <w:num w:numId="49">
    <w:abstractNumId w:val="45"/>
  </w:num>
  <w:num w:numId="50">
    <w:abstractNumId w:val="35"/>
  </w:num>
  <w:num w:numId="51">
    <w:abstractNumId w:val="6"/>
  </w:num>
  <w:num w:numId="52">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6C"/>
    <w:rsid w:val="000178B8"/>
    <w:rsid w:val="000B247D"/>
    <w:rsid w:val="0026176B"/>
    <w:rsid w:val="004E0E41"/>
    <w:rsid w:val="00641E2E"/>
    <w:rsid w:val="007B56B9"/>
    <w:rsid w:val="00835683"/>
    <w:rsid w:val="00A36F59"/>
    <w:rsid w:val="00A86C6C"/>
    <w:rsid w:val="00C662F2"/>
    <w:rsid w:val="00D755D7"/>
    <w:rsid w:val="00E473DA"/>
    <w:rsid w:val="00FE6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29E7"/>
  <w15:chartTrackingRefBased/>
  <w15:docId w15:val="{BFB33069-4001-442D-B9F7-5C1CEA6F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C6C"/>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link w:val="Heading1Char"/>
    <w:uiPriority w:val="9"/>
    <w:qFormat/>
    <w:rsid w:val="00A86C6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86C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86C6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86C6C"/>
    <w:pPr>
      <w:spacing w:before="100" w:beforeAutospacing="1" w:after="100" w:afterAutospacing="1"/>
      <w:outlineLvl w:val="3"/>
    </w:pPr>
    <w:rPr>
      <w:b/>
      <w:bCs/>
    </w:rPr>
  </w:style>
  <w:style w:type="paragraph" w:styleId="Heading5">
    <w:name w:val="heading 5"/>
    <w:basedOn w:val="Normal"/>
    <w:link w:val="Heading5Char"/>
    <w:uiPriority w:val="9"/>
    <w:qFormat/>
    <w:rsid w:val="00A86C6C"/>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A86C6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C6C"/>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86C6C"/>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A86C6C"/>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A86C6C"/>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A86C6C"/>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A86C6C"/>
    <w:rPr>
      <w:rFonts w:ascii="Times New Roman" w:eastAsiaTheme="minorEastAsia" w:hAnsi="Times New Roman" w:cs="Times New Roman"/>
      <w:b/>
      <w:bCs/>
      <w:sz w:val="15"/>
      <w:szCs w:val="15"/>
      <w:lang w:eastAsia="en-AU"/>
    </w:rPr>
  </w:style>
  <w:style w:type="paragraph" w:customStyle="1" w:styleId="msonormal0">
    <w:name w:val="msonormal"/>
    <w:basedOn w:val="Normal"/>
    <w:rsid w:val="00A86C6C"/>
    <w:pPr>
      <w:spacing w:before="100" w:beforeAutospacing="1" w:after="100" w:afterAutospacing="1"/>
    </w:pPr>
  </w:style>
  <w:style w:type="character" w:styleId="Hyperlink">
    <w:name w:val="Hyperlink"/>
    <w:basedOn w:val="DefaultParagraphFont"/>
    <w:uiPriority w:val="99"/>
    <w:semiHidden/>
    <w:unhideWhenUsed/>
    <w:rsid w:val="00A86C6C"/>
    <w:rPr>
      <w:color w:val="0000FF"/>
      <w:u w:val="single"/>
    </w:rPr>
  </w:style>
  <w:style w:type="character" w:styleId="FollowedHyperlink">
    <w:name w:val="FollowedHyperlink"/>
    <w:basedOn w:val="DefaultParagraphFont"/>
    <w:uiPriority w:val="99"/>
    <w:semiHidden/>
    <w:unhideWhenUsed/>
    <w:rsid w:val="00A86C6C"/>
    <w:rPr>
      <w:color w:val="800080"/>
      <w:u w:val="single"/>
    </w:rPr>
  </w:style>
  <w:style w:type="paragraph" w:customStyle="1" w:styleId="hidden">
    <w:name w:val="hidden"/>
    <w:basedOn w:val="Normal"/>
    <w:rsid w:val="00A86C6C"/>
    <w:pPr>
      <w:spacing w:before="100" w:beforeAutospacing="1" w:after="100" w:afterAutospacing="1"/>
    </w:pPr>
  </w:style>
  <w:style w:type="paragraph" w:styleId="NormalWeb">
    <w:name w:val="Normal (Web)"/>
    <w:basedOn w:val="Normal"/>
    <w:uiPriority w:val="99"/>
    <w:unhideWhenUsed/>
    <w:rsid w:val="00A86C6C"/>
    <w:pPr>
      <w:spacing w:before="100" w:beforeAutospacing="1" w:after="100" w:afterAutospacing="1"/>
    </w:pPr>
  </w:style>
  <w:style w:type="character" w:styleId="Strong">
    <w:name w:val="Strong"/>
    <w:basedOn w:val="DefaultParagraphFont"/>
    <w:uiPriority w:val="22"/>
    <w:qFormat/>
    <w:rsid w:val="00A86C6C"/>
    <w:rPr>
      <w:b/>
      <w:bCs/>
    </w:rPr>
  </w:style>
  <w:style w:type="character" w:styleId="Emphasis">
    <w:name w:val="Emphasis"/>
    <w:basedOn w:val="DefaultParagraphFont"/>
    <w:uiPriority w:val="20"/>
    <w:qFormat/>
    <w:rsid w:val="00A86C6C"/>
    <w:rPr>
      <w:i/>
      <w:iCs/>
    </w:rPr>
  </w:style>
  <w:style w:type="character" w:customStyle="1" w:styleId="highlightbackground">
    <w:name w:val="highlightbackground"/>
    <w:basedOn w:val="DefaultParagraphFont"/>
    <w:rsid w:val="00A86C6C"/>
  </w:style>
  <w:style w:type="character" w:customStyle="1" w:styleId="number">
    <w:name w:val="number"/>
    <w:basedOn w:val="DefaultParagraphFont"/>
    <w:rsid w:val="00A86C6C"/>
  </w:style>
  <w:style w:type="character" w:customStyle="1" w:styleId="newwindow">
    <w:name w:val="newwindow"/>
    <w:basedOn w:val="DefaultParagraphFont"/>
    <w:rsid w:val="00A86C6C"/>
  </w:style>
  <w:style w:type="character" w:customStyle="1" w:styleId="highlighttext">
    <w:name w:val="highlighttext"/>
    <w:basedOn w:val="DefaultParagraphFont"/>
    <w:rsid w:val="00A86C6C"/>
  </w:style>
  <w:style w:type="paragraph" w:customStyle="1" w:styleId="right">
    <w:name w:val="right"/>
    <w:basedOn w:val="Normal"/>
    <w:rsid w:val="00A86C6C"/>
    <w:pPr>
      <w:spacing w:before="100" w:beforeAutospacing="1" w:after="100" w:afterAutospacing="1"/>
    </w:pPr>
  </w:style>
  <w:style w:type="paragraph" w:styleId="BalloonText">
    <w:name w:val="Balloon Text"/>
    <w:basedOn w:val="Normal"/>
    <w:link w:val="BalloonTextChar"/>
    <w:uiPriority w:val="99"/>
    <w:semiHidden/>
    <w:unhideWhenUsed/>
    <w:rsid w:val="00A8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6C"/>
    <w:rPr>
      <w:rFonts w:ascii="Segoe UI" w:eastAsiaTheme="minorEastAsia" w:hAnsi="Segoe UI" w:cs="Segoe UI"/>
      <w:sz w:val="18"/>
      <w:szCs w:val="18"/>
      <w:lang w:eastAsia="en-AU"/>
    </w:rPr>
  </w:style>
  <w:style w:type="paragraph" w:styleId="Footer">
    <w:name w:val="footer"/>
    <w:basedOn w:val="Normal"/>
    <w:link w:val="FooterChar"/>
    <w:uiPriority w:val="99"/>
    <w:unhideWhenUsed/>
    <w:rsid w:val="00A86C6C"/>
    <w:pPr>
      <w:tabs>
        <w:tab w:val="center" w:pos="4513"/>
        <w:tab w:val="right" w:pos="9026"/>
      </w:tabs>
    </w:pPr>
  </w:style>
  <w:style w:type="character" w:customStyle="1" w:styleId="FooterChar">
    <w:name w:val="Footer Char"/>
    <w:basedOn w:val="DefaultParagraphFont"/>
    <w:link w:val="Footer"/>
    <w:uiPriority w:val="99"/>
    <w:rsid w:val="00A86C6C"/>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86C6C"/>
    <w:pPr>
      <w:tabs>
        <w:tab w:val="center" w:pos="4513"/>
        <w:tab w:val="right" w:pos="9026"/>
      </w:tabs>
    </w:pPr>
  </w:style>
  <w:style w:type="character" w:customStyle="1" w:styleId="HeaderChar">
    <w:name w:val="Header Char"/>
    <w:basedOn w:val="DefaultParagraphFont"/>
    <w:link w:val="Header"/>
    <w:uiPriority w:val="99"/>
    <w:rsid w:val="00A86C6C"/>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117" Type="http://schemas.openxmlformats.org/officeDocument/2006/relationships/image" Target="media/image9.jpg"/><Relationship Id="rId21" Type="http://schemas.openxmlformats.org/officeDocument/2006/relationships/hyperlink" Target="file:///C:\Users\seang\OneDrive%20-%20Objective%20Corp\Desktop\HTML-Export\section_s1332743627723.html" TargetMode="External"/><Relationship Id="rId42" Type="http://schemas.openxmlformats.org/officeDocument/2006/relationships/image" Target="media/image2.jpg"/><Relationship Id="rId47"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112" Type="http://schemas.openxmlformats.org/officeDocument/2006/relationships/image" Target="media/image4.jpeg"/><Relationship Id="rId16" Type="http://schemas.openxmlformats.org/officeDocument/2006/relationships/hyperlink" Target="file:///C:\Users\seang\OneDrive%20-%20Objective%20Corp\Desktop\HTML-Export\section_s1332743627723.html" TargetMode="External"/><Relationship Id="rId107"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09829826592.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image" Target="media/image1.jpg"/><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102" Type="http://schemas.openxmlformats.org/officeDocument/2006/relationships/hyperlink" Target="file:///C:\Users\seang\OneDrive%20-%20Objective%20Corp\Desktop\HTML-Export\section_s1332743627723.html" TargetMode="External"/><Relationship Id="rId110" Type="http://schemas.openxmlformats.org/officeDocument/2006/relationships/hyperlink" Target="file:///C:\Users\seang\OneDrive%20-%20Objective%20Corp\Desktop\HTML-Export\section_s1332743627723.html" TargetMode="External"/><Relationship Id="rId115" Type="http://schemas.openxmlformats.org/officeDocument/2006/relationships/image" Target="media/image7.jpg"/><Relationship Id="rId5" Type="http://schemas.openxmlformats.org/officeDocument/2006/relationships/footnotes" Target="footnotes.xm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09829826592.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hyperlink" Target="file:///C:\Users\seang\OneDrive%20-%20Objective%20Corp\Desktop\HTML-Export\section_s1332743627723.html" TargetMode="External"/><Relationship Id="rId105" Type="http://schemas.openxmlformats.org/officeDocument/2006/relationships/hyperlink" Target="file:///C:\Users\seang\OneDrive%20-%20Objective%20Corp\Desktop\HTML-Export\section_s1332743627723.html" TargetMode="External"/><Relationship Id="rId113" Type="http://schemas.openxmlformats.org/officeDocument/2006/relationships/image" Target="media/image5.jpg"/><Relationship Id="rId118" Type="http://schemas.openxmlformats.org/officeDocument/2006/relationships/footer" Target="footer1.xml"/><Relationship Id="rId8" Type="http://schemas.openxmlformats.org/officeDocument/2006/relationships/hyperlink" Target="file:///C:\Users\seang\OneDrive%20-%20Objective%20Corp\Desktop\HTML-Export\section_s1309829826592.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93" Type="http://schemas.openxmlformats.org/officeDocument/2006/relationships/hyperlink" Target="file:///C:\Users\seang\OneDrive%20-%20Objective%20Corp\Desktop\HTML-Export\section_s1332743627723.html" TargetMode="External"/><Relationship Id="rId98"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12" Type="http://schemas.openxmlformats.org/officeDocument/2006/relationships/hyperlink" Target="file:///C:\Users\seang\OneDrive%20-%20Objective%20Corp\Desktop\HTML-Export\section_s1309829826592.html" TargetMode="External"/><Relationship Id="rId17" Type="http://schemas.openxmlformats.org/officeDocument/2006/relationships/hyperlink" Target="file:///C:\Users\seang\OneDrive%20-%20Objective%20Corp\Desktop\HTML-Export\section_s1309829826592.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103" Type="http://schemas.openxmlformats.org/officeDocument/2006/relationships/hyperlink" Target="file:///C:\Users\seang\OneDrive%20-%20Objective%20Corp\Desktop\HTML-Export\section_s1332743627723.html" TargetMode="External"/><Relationship Id="rId108" Type="http://schemas.openxmlformats.org/officeDocument/2006/relationships/hyperlink" Target="file:///C:\Users\seang\OneDrive%20-%20Objective%20Corp\Desktop\HTML-Export\section_s1332743627723.html" TargetMode="External"/><Relationship Id="rId116" Type="http://schemas.openxmlformats.org/officeDocument/2006/relationships/image" Target="media/image8.jpg"/><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hyperlink" Target="file:///C:\Users\seang\OneDrive%20-%20Objective%20Corp\Desktop\HTML-Export\section_s1332743627723.html" TargetMode="External"/><Relationship Id="rId96" Type="http://schemas.openxmlformats.org/officeDocument/2006/relationships/hyperlink" Target="file:///C:\Users\seang\OneDrive%20-%20Objective%20Corp\Desktop\HTML-Export\section_s1332743627723.html" TargetMode="External"/><Relationship Id="rId11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eang\OneDrive%20-%20Objective%20Corp\Desktop\HTML-Export\section_s1309829826592.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6" Type="http://schemas.openxmlformats.org/officeDocument/2006/relationships/hyperlink" Target="file:///C:\Users\seang\OneDrive%20-%20Objective%20Corp\Desktop\HTML-Export\section_s1332743627723.html" TargetMode="External"/><Relationship Id="rId114" Type="http://schemas.openxmlformats.org/officeDocument/2006/relationships/image" Target="media/image6.png"/><Relationship Id="rId119" Type="http://schemas.openxmlformats.org/officeDocument/2006/relationships/fontTable" Target="fontTable.xml"/><Relationship Id="rId10" Type="http://schemas.openxmlformats.org/officeDocument/2006/relationships/hyperlink" Target="file:///C:\Users\seang\OneDrive%20-%20Objective%20Corp\Desktop\HTML-Export\section_s1309829826592.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hyperlink" Target="file:///C:\Users\seang\OneDrive%20-%20Objective%20Corp\Desktop\HTML-Export\section_s1332743627723.html" TargetMode="External"/><Relationship Id="rId99" Type="http://schemas.openxmlformats.org/officeDocument/2006/relationships/hyperlink" Target="file:///C:\Users\seang\OneDrive%20-%20Objective%20Corp\Desktop\HTML-Export\section_s1332743627723.html" TargetMode="External"/><Relationship Id="rId101"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09829826592.html" TargetMode="External"/><Relationship Id="rId13" Type="http://schemas.openxmlformats.org/officeDocument/2006/relationships/hyperlink" Target="file:///C:\Users\seang\OneDrive%20-%20Objective%20Corp\Desktop\HTML-Export\section_s1309829826592.html" TargetMode="External"/><Relationship Id="rId18" Type="http://schemas.openxmlformats.org/officeDocument/2006/relationships/hyperlink" Target="file:///C:\Users\seang\OneDrive%20-%20Objective%20Corp\Desktop\HTML-Export\section_s1309829826592.html" TargetMode="External"/><Relationship Id="rId39" Type="http://schemas.openxmlformats.org/officeDocument/2006/relationships/hyperlink" Target="file:///C:\Users\seang\OneDrive%20-%20Objective%20Corp\Desktop\HTML-Export\section_s1332743627723.html" TargetMode="External"/><Relationship Id="rId109"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97" Type="http://schemas.openxmlformats.org/officeDocument/2006/relationships/hyperlink" Target="file:///C:\Users\seang\OneDrive%20-%20Objective%20Corp\Desktop\HTML-Export\section_s1332743627723.html" TargetMode="External"/><Relationship Id="rId104" Type="http://schemas.openxmlformats.org/officeDocument/2006/relationships/hyperlink" Target="file:///C:\Users\seang\OneDrive%20-%20Objective%20Corp\Desktop\HTML-Export\section_s1332743627723.html" TargetMode="External"/><Relationship Id="rId120"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29"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29</Pages>
  <Words>12010</Words>
  <Characters>68458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 Luigi</dc:creator>
  <cp:keywords/>
  <dc:description/>
  <cp:lastModifiedBy>Kasaia Bray</cp:lastModifiedBy>
  <cp:revision>3</cp:revision>
  <dcterms:created xsi:type="dcterms:W3CDTF">2019-12-12T02:43:00Z</dcterms:created>
  <dcterms:modified xsi:type="dcterms:W3CDTF">2020-01-06T06:27:00Z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A19465975</vt:lpwstr>
  </property>
  <property fmtid="{D5CDD505-2E9C-101B-9397-08002B2CF9AE}" pid="4" name="Objective-Title">
    <vt:lpwstr>9.3.1.1 Dwelling house code - Requirements for accepted development UPDATED</vt:lpwstr>
  </property>
  <property fmtid="{D5CDD505-2E9C-101B-9397-08002B2CF9AE}" pid="5" name="Objective-Comment">
    <vt:lpwstr/>
  </property>
  <property fmtid="{D5CDD505-2E9C-101B-9397-08002B2CF9AE}" pid="6" name="Objective-CreationStamp">
    <vt:filetime>2019-12-12T03:34:47Z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2020-01-06T06:21:33Z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