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241"/>
      </w:tblGrid>
      <w:tr w:rsidR="00A03428" w:rsidRPr="00115252" w:rsidTr="00A03428">
        <w:trPr>
          <w:trHeight w:val="308"/>
          <w:tblCellSpacing w:w="15" w:type="dxa"/>
          <w:jc w:val="center"/>
        </w:trPr>
        <w:tc>
          <w:tcPr>
            <w:tcW w:w="4980" w:type="pct"/>
            <w:tcBorders>
              <w:top w:val="nil"/>
              <w:left w:val="nil"/>
              <w:bottom w:val="nil"/>
              <w:right w:val="nil"/>
            </w:tcBorders>
            <w:shd w:val="clear" w:color="auto" w:fill="CCCCCC"/>
            <w:tcMar>
              <w:top w:w="30" w:type="dxa"/>
              <w:left w:w="30" w:type="dxa"/>
              <w:bottom w:w="30" w:type="dxa"/>
              <w:right w:w="30" w:type="dxa"/>
            </w:tcMar>
            <w:vAlign w:val="center"/>
            <w:hideMark/>
          </w:tcPr>
          <w:p w:rsidR="00A03428" w:rsidRPr="00115252" w:rsidRDefault="00A03428" w:rsidP="00A03428">
            <w:pPr>
              <w:spacing w:before="100" w:beforeAutospacing="1" w:after="100" w:afterAutospacing="1" w:line="240" w:lineRule="auto"/>
              <w:jc w:val="center"/>
              <w:rPr>
                <w:rFonts w:ascii="Arial" w:eastAsia="Times New Roman" w:hAnsi="Arial" w:cs="Arial"/>
                <w:b/>
                <w:bCs/>
                <w:sz w:val="20"/>
                <w:szCs w:val="20"/>
                <w:lang w:eastAsia="en-AU"/>
              </w:rPr>
            </w:pPr>
            <w:r w:rsidRPr="00A03428">
              <w:rPr>
                <w:rFonts w:ascii="Arial" w:eastAsia="Times New Roman" w:hAnsi="Arial" w:cs="Arial"/>
                <w:b/>
                <w:bCs/>
                <w:sz w:val="20"/>
                <w:szCs w:val="20"/>
                <w:lang w:eastAsia="en-AU"/>
              </w:rPr>
              <w:t>Part A - Requirements for assessable development - Cropping involving forestry for wood production</w:t>
            </w:r>
          </w:p>
        </w:tc>
      </w:tr>
    </w:tbl>
    <w:p w:rsidR="00A03428" w:rsidRDefault="00A03428"/>
    <w:tbl>
      <w:tblPr>
        <w:tblW w:w="4931" w:type="pct"/>
        <w:tblCellSpacing w:w="15"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124"/>
        <w:gridCol w:w="6609"/>
        <w:gridCol w:w="1634"/>
        <w:gridCol w:w="2803"/>
      </w:tblGrid>
      <w:tr w:rsidR="006253EE" w:rsidRPr="00A03428" w:rsidTr="00CC7EFD">
        <w:trPr>
          <w:tblCellSpacing w:w="15" w:type="dxa"/>
        </w:trPr>
        <w:tc>
          <w:tcPr>
            <w:tcW w:w="134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Performance outcomes</w:t>
            </w:r>
          </w:p>
        </w:tc>
        <w:tc>
          <w:tcPr>
            <w:tcW w:w="216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Examples that achieve aspects of the Performance Outcomes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6253EE" w:rsidRPr="002A3213" w:rsidRDefault="006253EE" w:rsidP="006253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253EE" w:rsidRPr="008B6E1B" w:rsidRDefault="006253EE" w:rsidP="006253EE">
            <w:pPr>
              <w:pStyle w:val="ListParagraph"/>
              <w:numPr>
                <w:ilvl w:val="0"/>
                <w:numId w:val="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253EE" w:rsidRPr="006253EE"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A03428" w:rsidRPr="00A03428"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6253EE" w:rsidRDefault="006253EE" w:rsidP="006253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A03428" w:rsidRPr="006253EE" w:rsidRDefault="00A03428" w:rsidP="006253EE">
            <w:pPr>
              <w:rPr>
                <w:rFonts w:ascii="Arial" w:eastAsia="Times New Roman" w:hAnsi="Arial" w:cs="Arial"/>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Setbacks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1081"/>
          <w:tblCellSpacing w:w="15" w:type="dxa"/>
        </w:trPr>
        <w:tc>
          <w:tcPr>
            <w:tcW w:w="134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located to minimise impacts (such as shading and falling trees) on infrastructure and areas of environmental interest.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9"/>
            </w:tblGrid>
            <w:tr w:rsidR="00A03428" w:rsidRPr="00A03428" w:rsidTr="00A03428">
              <w:trPr>
                <w:tblCellSpacing w:w="15" w:type="dxa"/>
              </w:trPr>
              <w:tc>
                <w:tcPr>
                  <w:tcW w:w="695" w:type="dxa"/>
                  <w:tcBorders>
                    <w:top w:val="nil"/>
                    <w:left w:val="nil"/>
                    <w:bottom w:val="nil"/>
                    <w:right w:val="nil"/>
                  </w:tcBorders>
                  <w:vAlign w:val="center"/>
                  <w:hideMark/>
                </w:tcPr>
                <w:p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9.2.3.2 </w:t>
                  </w:r>
                </w:p>
              </w:tc>
            </w:tr>
            <w:tr w:rsidR="00A03428" w:rsidRPr="00A03428" w:rsidTr="00A03428">
              <w:trPr>
                <w:tblCellSpacing w:w="15" w:type="dxa"/>
              </w:trPr>
              <w:tc>
                <w:tcPr>
                  <w:tcW w:w="695" w:type="dxa"/>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2(a) to (b) and Section 3 of Schedule 13 in the Regulation. </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bookmarkStart w:id="0" w:name="_GoBack"/>
            <w:bookmarkEnd w:id="0"/>
          </w:p>
        </w:tc>
        <w:tc>
          <w:tcPr>
            <w:tcW w:w="21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setback from existing infrastructure and areas of environmental in accordance with the following table: </w:t>
            </w:r>
          </w:p>
          <w:tbl>
            <w:tblPr>
              <w:tblW w:w="645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16"/>
              <w:gridCol w:w="3243"/>
            </w:tblGrid>
            <w:tr w:rsidR="006253EE"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Aspect</w:t>
                  </w:r>
                </w:p>
              </w:tc>
              <w:tc>
                <w:tcPr>
                  <w:tcW w:w="319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Distance (measured from base of tree)</w:t>
                  </w:r>
                </w:p>
              </w:tc>
            </w:tr>
            <w:tr w:rsidR="00A03428" w:rsidRPr="00A03428"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Areas of environmental interest</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Top of a defining bank of streams (gully, creek or river) that are represented on the 1:100 000 topographic map series in accordance with the stream order classification system. </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1 to 2 : 5m; or</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3 to 5 :10m; or</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6 : 20m</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State-owned protected areas and forest reserves under the </w:t>
                  </w:r>
                  <w:r w:rsidRPr="00A03428">
                    <w:rPr>
                      <w:rFonts w:ascii="Arial" w:eastAsia="Times New Roman" w:hAnsi="Arial" w:cs="Arial"/>
                      <w:i/>
                      <w:iCs/>
                      <w:sz w:val="18"/>
                      <w:szCs w:val="18"/>
                      <w:lang w:eastAsia="en-AU"/>
                    </w:rPr>
                    <w:t>Nature Conservation Act 1992</w:t>
                  </w:r>
                  <w:r w:rsidRPr="00A03428">
                    <w:rPr>
                      <w:rFonts w:ascii="Arial" w:eastAsia="Times New Roman" w:hAnsi="Arial" w:cs="Arial"/>
                      <w:sz w:val="18"/>
                      <w:szCs w:val="18"/>
                      <w:lang w:eastAsia="en-AU"/>
                    </w:rPr>
                    <w:t xml:space="preserve">. </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Protected vegetation under the </w:t>
                  </w:r>
                  <w:r w:rsidRPr="00A03428">
                    <w:rPr>
                      <w:rFonts w:ascii="Arial" w:eastAsia="Times New Roman" w:hAnsi="Arial" w:cs="Arial"/>
                      <w:i/>
                      <w:iCs/>
                      <w:sz w:val="18"/>
                      <w:szCs w:val="18"/>
                      <w:lang w:eastAsia="en-AU"/>
                    </w:rPr>
                    <w:t>Vegetation Management Act 1999.</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Infrastructure</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Dwellings</w:t>
                  </w:r>
                </w:p>
              </w:tc>
              <w:tc>
                <w:tcPr>
                  <w:tcW w:w="3198" w:type="dxa"/>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100m or such distance that ensures the dwelling is consistent with the requirements of the AS3959-2009 and the Building Code of Australia. </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Machinery sheds</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r w:rsidR="00A03428" w:rsidRPr="00A03428"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lastRenderedPageBreak/>
                    <w:t>Transmission lines and above-ground pipelines (excluding infrastructure servicing only the farm) not subject to an easement.</w:t>
                  </w:r>
                </w:p>
              </w:tc>
              <w:tc>
                <w:tcPr>
                  <w:tcW w:w="3198"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 cultivation and planting for wood production is to occur in the setback areas identified in E1.1above.  Road and track establishment and maintenance can occur.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E1.3</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Self-propagated seedlings (wildlings) generated from the forest for wood production are eradicated from the setback areas identified in E1.1 above.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Impacts on soil structure, fertility and stability</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391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impacts of the forest for wood production on soil structure, fertility and stability are minimised through appropriate management of the soil.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rsidTr="006253EE">
              <w:trPr>
                <w:tblCellSpacing w:w="15" w:type="dxa"/>
              </w:trPr>
              <w:tc>
                <w:tcPr>
                  <w:tcW w:w="4318" w:type="dxa"/>
                  <w:tcBorders>
                    <w:top w:val="nil"/>
                    <w:left w:val="nil"/>
                    <w:bottom w:val="nil"/>
                    <w:right w:val="nil"/>
                  </w:tcBorders>
                  <w:vAlign w:val="center"/>
                  <w:hideMark/>
                </w:tcPr>
                <w:p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9.2.3.3 </w:t>
                  </w:r>
                </w:p>
              </w:tc>
            </w:tr>
            <w:tr w:rsidR="00A03428" w:rsidRPr="00A03428" w:rsidTr="006253EE">
              <w:trPr>
                <w:tblCellSpacing w:w="15" w:type="dxa"/>
              </w:trPr>
              <w:tc>
                <w:tcPr>
                  <w:tcW w:w="4318" w:type="dxa"/>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2(c) to (h) and Section 3 of Schedule 13 in the Regulation. </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and maintenance (including associated tracks and roads) of the forest for wood production utilises one or more of the following methods: </w:t>
            </w:r>
          </w:p>
          <w:p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mechanical strip cultivation on the contour, spot cultivation or manual cultivation is used for establishment on slopes greater than 10 per cent and less than 25 per cent; </w:t>
            </w:r>
          </w:p>
          <w:p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either spot cultivation or manual cultivation is used for establishment on slopes equal to or greater than 25 per cent;</w:t>
            </w:r>
          </w:p>
          <w:p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tracks and roads are established away from natural drainage features and areas that are subject to erosion and landslips.</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3585"/>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Any part of a track or road established and maintained as part of the forest for wood production is approximately drained and adopts the following measures: </w:t>
            </w:r>
          </w:p>
          <w:p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a stable surface;</w:t>
            </w:r>
          </w:p>
          <w:p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 the track or road with crossfall drainage (preferably with a slope greater than 4 percent) or by shaping the track or road to a crown so that water drains to both of its side; </w:t>
            </w:r>
          </w:p>
          <w:p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drainage structures to convey water away from the track or road formation (for example,</w:t>
            </w:r>
            <w:r w:rsidR="006253EE">
              <w:rPr>
                <w:rFonts w:ascii="Arial" w:eastAsia="Times New Roman" w:hAnsi="Arial" w:cs="Arial"/>
                <w:sz w:val="20"/>
                <w:szCs w:val="20"/>
                <w:lang w:eastAsia="en-AU"/>
              </w:rPr>
              <w:t xml:space="preserve"> </w:t>
            </w:r>
            <w:r w:rsidRPr="00A03428">
              <w:rPr>
                <w:rFonts w:ascii="Arial" w:eastAsia="Times New Roman" w:hAnsi="Arial" w:cs="Arial"/>
                <w:sz w:val="20"/>
                <w:szCs w:val="20"/>
                <w:lang w:eastAsia="en-AU"/>
              </w:rPr>
              <w:t xml:space="preserve">cross drains, mitre drains, turnouts and diversion drains or relief culverts).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E2.3</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Drainage water from tracks and roads established and maintained as part of the forest for wood production is directed away from exposed soils, unstable areas, and towards undisturbed ground and areas with stable surfaces.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Fire Risk</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rHeight w:val="646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PO3</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risk of fire to adjoining premises and infrastructure is minimised through the provision of firebreaks and fire tracks and roads.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rsidTr="006253EE">
              <w:trPr>
                <w:tblCellSpacing w:w="15" w:type="dxa"/>
              </w:trPr>
              <w:tc>
                <w:tcPr>
                  <w:tcW w:w="4318" w:type="dxa"/>
                  <w:tcBorders>
                    <w:top w:val="nil"/>
                    <w:left w:val="nil"/>
                    <w:bottom w:val="nil"/>
                    <w:right w:val="nil"/>
                  </w:tcBorders>
                  <w:vAlign w:val="center"/>
                  <w:hideMark/>
                </w:tcPr>
                <w:p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9.2.3.4 </w:t>
                  </w:r>
                </w:p>
              </w:tc>
            </w:tr>
            <w:tr w:rsidR="00A03428" w:rsidRPr="00A03428" w:rsidTr="006253EE">
              <w:trPr>
                <w:tblCellSpacing w:w="15" w:type="dxa"/>
              </w:trPr>
              <w:tc>
                <w:tcPr>
                  <w:tcW w:w="4318" w:type="dxa"/>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Note - This PO is the corresponding performance outcome for the requirements set out in Sections 2(</w:t>
                  </w:r>
                  <w:proofErr w:type="spellStart"/>
                  <w:r w:rsidRPr="00A03428">
                    <w:rPr>
                      <w:rFonts w:ascii="Arial" w:eastAsia="Times New Roman" w:hAnsi="Arial" w:cs="Arial"/>
                      <w:sz w:val="20"/>
                      <w:szCs w:val="20"/>
                      <w:lang w:eastAsia="en-AU"/>
                    </w:rPr>
                    <w:t>i</w:t>
                  </w:r>
                  <w:proofErr w:type="spellEnd"/>
                  <w:r w:rsidRPr="00A03428">
                    <w:rPr>
                      <w:rFonts w:ascii="Arial" w:eastAsia="Times New Roman" w:hAnsi="Arial" w:cs="Arial"/>
                      <w:sz w:val="20"/>
                      <w:szCs w:val="20"/>
                      <w:lang w:eastAsia="en-AU"/>
                    </w:rPr>
                    <w:t xml:space="preserve">) to (o) and Section 3 of Schedule 13 in the Regulation. </w:t>
                  </w:r>
                </w:p>
              </w:tc>
            </w:tr>
          </w:tbl>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Firebreaks are established and maintained:</w:t>
            </w:r>
          </w:p>
          <w:p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between the forest for wood production, adjoining premises and existing infrastructure;</w:t>
            </w:r>
          </w:p>
          <w:p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at a minimum width form the base of the outside trees as follows:</w:t>
            </w:r>
          </w:p>
          <w:tbl>
            <w:tblPr>
              <w:tblW w:w="6357"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096"/>
              <w:gridCol w:w="3261"/>
            </w:tblGrid>
            <w:tr w:rsidR="00A03428" w:rsidRPr="00A03428" w:rsidTr="00CC7EFD">
              <w:trPr>
                <w:tblCellSpacing w:w="15" w:type="dxa"/>
              </w:trPr>
              <w:tc>
                <w:tcPr>
                  <w:tcW w:w="6297"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Firebreaks</w:t>
                  </w:r>
                </w:p>
              </w:tc>
            </w:tr>
            <w:tr w:rsidR="006253EE" w:rsidRPr="00A03428"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activities less than 40 hectares.</w:t>
                  </w:r>
                </w:p>
              </w:tc>
              <w:tc>
                <w:tcPr>
                  <w:tcW w:w="3216"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7m</w:t>
                  </w:r>
                </w:p>
              </w:tc>
            </w:tr>
            <w:tr w:rsidR="006253EE" w:rsidRPr="00A03428"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of 40 hectares to 100 hectares.</w:t>
                  </w:r>
                </w:p>
              </w:tc>
              <w:tc>
                <w:tcPr>
                  <w:tcW w:w="3216"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6253EE" w:rsidRPr="00A03428"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greater than 100 hectares.</w:t>
                  </w:r>
                </w:p>
              </w:tc>
              <w:tc>
                <w:tcPr>
                  <w:tcW w:w="3216" w:type="dxa"/>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20m, or a 10m break that is free of flammable material that is greater than 1m high followed by a 10m fuel reduction area where forestry for wood production trees are pruned up to a minimum height of 5m, commencing once trees are greater than 10m in height, </w:t>
                  </w:r>
                </w:p>
              </w:tc>
            </w:tr>
          </w:tbl>
          <w:p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are free of flammable material that is greater than 1m high;</w:t>
            </w:r>
          </w:p>
          <w:p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be accessible and trafficable for fire suppression vehicles.</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E3.2</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 access tracks and roads are established and maintained :</w:t>
            </w:r>
          </w:p>
          <w:p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a minimum width of 4m;</w:t>
            </w:r>
          </w:p>
          <w:p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that are </w:t>
            </w:r>
            <w:r w:rsidR="006253EE" w:rsidRPr="00A03428">
              <w:rPr>
                <w:rFonts w:ascii="Arial" w:eastAsia="Times New Roman" w:hAnsi="Arial" w:cs="Arial"/>
                <w:sz w:val="20"/>
                <w:szCs w:val="20"/>
                <w:lang w:eastAsia="en-AU"/>
              </w:rPr>
              <w:t>accessible</w:t>
            </w:r>
            <w:r w:rsidRPr="00A03428">
              <w:rPr>
                <w:rFonts w:ascii="Arial" w:eastAsia="Times New Roman" w:hAnsi="Arial" w:cs="Arial"/>
                <w:sz w:val="20"/>
                <w:szCs w:val="20"/>
                <w:lang w:eastAsia="en-AU"/>
              </w:rPr>
              <w:t>;</w:t>
            </w:r>
          </w:p>
          <w:p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ensure no part of a plantation is more than 250m from a fire access track or road.</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Cropping harvest, haulage and wildlife management</w:t>
            </w:r>
          </w:p>
        </w:tc>
        <w:tc>
          <w:tcPr>
            <w:tcW w:w="530"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rsidTr="00CC7EFD">
        <w:trPr>
          <w:tblCellSpacing w:w="15" w:type="dxa"/>
        </w:trPr>
        <w:tc>
          <w:tcPr>
            <w:tcW w:w="1347"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PO4</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Local government are informed of the expected cropping harvest cycles, volumes, timescales and haulage routes, plus propose wildfire management and location of supportive infrastructure. </w:t>
            </w:r>
          </w:p>
        </w:tc>
        <w:tc>
          <w:tcPr>
            <w:tcW w:w="2162" w:type="pct"/>
            <w:tcBorders>
              <w:top w:val="outset" w:sz="6" w:space="0" w:color="auto"/>
              <w:left w:val="outset" w:sz="6" w:space="0" w:color="auto"/>
              <w:bottom w:val="outset" w:sz="6" w:space="0" w:color="auto"/>
              <w:right w:val="outset" w:sz="6" w:space="0" w:color="auto"/>
            </w:tcBorders>
            <w:hideMark/>
          </w:tcPr>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E4.1</w:t>
            </w:r>
          </w:p>
          <w:p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When the forest for wood production area is greater than 10 hectares a management report is attached to the development application that contains the following information: </w:t>
            </w:r>
          </w:p>
          <w:p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expected harvest cycles and estimated harvest timescale;</w:t>
            </w:r>
          </w:p>
          <w:p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an estimated haulage route plan identifying likely local roads for transporting the harvest to the primary destination/s;</w:t>
            </w:r>
          </w:p>
          <w:p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proposed methods and supporting infrastructure location for managing wild fire (including an area map of property location, adjacent roads and tracks, property entrances, location of fire access tracks and turnarounds on the property and location of water points in the area). </w:t>
            </w:r>
          </w:p>
        </w:tc>
        <w:tc>
          <w:tcPr>
            <w:tcW w:w="530"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3447C" w:rsidRPr="00A03428" w:rsidRDefault="00D3447C" w:rsidP="00A03428">
      <w:pPr>
        <w:spacing w:before="100" w:beforeAutospacing="1" w:after="100" w:afterAutospacing="1" w:line="240" w:lineRule="auto"/>
        <w:rPr>
          <w:rFonts w:ascii="Arial" w:hAnsi="Arial" w:cs="Arial"/>
          <w:sz w:val="20"/>
          <w:szCs w:val="20"/>
        </w:rPr>
      </w:pPr>
    </w:p>
    <w:sectPr w:rsidR="00D3447C" w:rsidRPr="00A03428" w:rsidSect="00A03428">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005" w:rsidRDefault="00A54005" w:rsidP="00F92746">
      <w:pPr>
        <w:spacing w:after="0" w:line="240" w:lineRule="auto"/>
      </w:pPr>
      <w:r>
        <w:separator/>
      </w:r>
    </w:p>
  </w:endnote>
  <w:endnote w:type="continuationSeparator" w:id="0">
    <w:p w:rsidR="00A54005" w:rsidRDefault="00A54005" w:rsidP="00F9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46" w:rsidRDefault="00F92746">
    <w:pPr>
      <w:pStyle w:val="Footer"/>
      <w:rPr>
        <w:rFonts w:ascii="Arial" w:hAnsi="Arial" w:cs="Arial"/>
        <w:bCs/>
        <w:i/>
        <w:sz w:val="20"/>
        <w:szCs w:val="20"/>
      </w:rPr>
    </w:pPr>
    <w:r w:rsidRPr="004867C9">
      <w:rPr>
        <w:rFonts w:ascii="Arial" w:hAnsi="Arial" w:cs="Arial"/>
        <w:i/>
        <w:sz w:val="20"/>
        <w:szCs w:val="20"/>
      </w:rPr>
      <w:t xml:space="preserve">MBRC Planning Scheme </w:t>
    </w:r>
    <w:r w:rsidR="001E3884">
      <w:rPr>
        <w:rFonts w:ascii="Arial" w:hAnsi="Arial" w:cs="Arial"/>
        <w:i/>
        <w:sz w:val="20"/>
        <w:szCs w:val="20"/>
      </w:rPr>
      <w:t xml:space="preserve">V4 </w:t>
    </w:r>
    <w:r w:rsidRPr="004867C9">
      <w:rPr>
        <w:rFonts w:ascii="Arial" w:hAnsi="Arial" w:cs="Arial"/>
        <w:i/>
        <w:sz w:val="20"/>
        <w:szCs w:val="20"/>
      </w:rPr>
      <w:t xml:space="preserve">- Development codes - </w:t>
    </w:r>
    <w:r w:rsidRPr="00F92746">
      <w:rPr>
        <w:rFonts w:ascii="Arial" w:hAnsi="Arial" w:cs="Arial"/>
        <w:bCs/>
        <w:i/>
        <w:sz w:val="20"/>
        <w:szCs w:val="20"/>
      </w:rPr>
      <w:t>Cropping involving forestry for wood production code - Benchmarks for assessable development and requirements</w:t>
    </w:r>
  </w:p>
  <w:p w:rsidR="00F92746" w:rsidRPr="00F92746" w:rsidRDefault="00F92746">
    <w:pPr>
      <w:pStyle w:val="Footer"/>
      <w:rPr>
        <w:rFonts w:ascii="Arial" w:hAnsi="Arial" w:cs="Arial"/>
        <w:i/>
        <w:sz w:val="20"/>
        <w:szCs w:val="20"/>
      </w:rPr>
    </w:pPr>
    <w:r w:rsidRPr="00F92746">
      <w:rPr>
        <w:rFonts w:ascii="Arial" w:hAnsi="Arial" w:cs="Arial"/>
        <w:bCs/>
        <w:i/>
        <w:sz w:val="20"/>
        <w:szCs w:val="20"/>
      </w:rPr>
      <w:t>for accepted development</w:t>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67C9">
          <w:rPr>
            <w:rFonts w:ascii="Arial" w:hAnsi="Arial" w:cs="Arial"/>
            <w:sz w:val="20"/>
            <w:szCs w:val="20"/>
          </w:rPr>
          <w:fldChar w:fldCharType="begin"/>
        </w:r>
        <w:r w:rsidRPr="004867C9">
          <w:rPr>
            <w:rFonts w:ascii="Arial" w:hAnsi="Arial" w:cs="Arial"/>
            <w:sz w:val="20"/>
            <w:szCs w:val="20"/>
          </w:rPr>
          <w:instrText xml:space="preserve"> PAGE   \* MERGEFORMAT </w:instrText>
        </w:r>
        <w:r w:rsidRPr="004867C9">
          <w:rPr>
            <w:rFonts w:ascii="Arial" w:hAnsi="Arial" w:cs="Arial"/>
            <w:sz w:val="20"/>
            <w:szCs w:val="20"/>
          </w:rPr>
          <w:fldChar w:fldCharType="separate"/>
        </w:r>
        <w:r w:rsidR="00CC7EFD">
          <w:rPr>
            <w:rFonts w:ascii="Arial" w:hAnsi="Arial" w:cs="Arial"/>
            <w:noProof/>
            <w:sz w:val="20"/>
            <w:szCs w:val="20"/>
          </w:rPr>
          <w:t>5</w:t>
        </w:r>
        <w:r w:rsidRPr="004867C9">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005" w:rsidRDefault="00A54005" w:rsidP="00F92746">
      <w:pPr>
        <w:spacing w:after="0" w:line="240" w:lineRule="auto"/>
      </w:pPr>
      <w:r>
        <w:separator/>
      </w:r>
    </w:p>
  </w:footnote>
  <w:footnote w:type="continuationSeparator" w:id="0">
    <w:p w:rsidR="00A54005" w:rsidRDefault="00A54005" w:rsidP="00F92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6931"/>
    <w:multiLevelType w:val="multilevel"/>
    <w:tmpl w:val="961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45A3"/>
    <w:multiLevelType w:val="multilevel"/>
    <w:tmpl w:val="701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4B4B33BF"/>
    <w:multiLevelType w:val="multilevel"/>
    <w:tmpl w:val="EBB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A5612"/>
    <w:multiLevelType w:val="multilevel"/>
    <w:tmpl w:val="700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3416E"/>
    <w:multiLevelType w:val="multilevel"/>
    <w:tmpl w:val="99E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D6677"/>
    <w:multiLevelType w:val="multilevel"/>
    <w:tmpl w:val="733E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E27C7"/>
    <w:multiLevelType w:val="multilevel"/>
    <w:tmpl w:val="719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8"/>
    <w:rsid w:val="001E3884"/>
    <w:rsid w:val="006253EE"/>
    <w:rsid w:val="007926E3"/>
    <w:rsid w:val="00A03428"/>
    <w:rsid w:val="00A54005"/>
    <w:rsid w:val="00A97D5E"/>
    <w:rsid w:val="00CC7EFD"/>
    <w:rsid w:val="00D3447C"/>
    <w:rsid w:val="00F92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9D74"/>
  <w15:chartTrackingRefBased/>
  <w15:docId w15:val="{31E30C2A-4B97-4397-845E-CF9B722F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3428"/>
    <w:rPr>
      <w:i/>
      <w:iCs/>
    </w:rPr>
  </w:style>
  <w:style w:type="character" w:styleId="Strong">
    <w:name w:val="Strong"/>
    <w:basedOn w:val="DefaultParagraphFont"/>
    <w:uiPriority w:val="22"/>
    <w:qFormat/>
    <w:rsid w:val="00A03428"/>
    <w:rPr>
      <w:b/>
      <w:bCs/>
    </w:rPr>
  </w:style>
  <w:style w:type="paragraph" w:styleId="ListParagraph">
    <w:name w:val="List Paragraph"/>
    <w:basedOn w:val="Normal"/>
    <w:uiPriority w:val="34"/>
    <w:qFormat/>
    <w:rsid w:val="006253EE"/>
    <w:pPr>
      <w:spacing w:after="200" w:line="276" w:lineRule="auto"/>
      <w:ind w:left="720"/>
      <w:contextualSpacing/>
    </w:pPr>
    <w:rPr>
      <w:rFonts w:ascii="Arial" w:hAnsi="Arial"/>
    </w:rPr>
  </w:style>
  <w:style w:type="paragraph" w:styleId="Header">
    <w:name w:val="header"/>
    <w:basedOn w:val="Normal"/>
    <w:link w:val="HeaderChar"/>
    <w:uiPriority w:val="99"/>
    <w:unhideWhenUsed/>
    <w:rsid w:val="00F9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746"/>
  </w:style>
  <w:style w:type="paragraph" w:styleId="Footer">
    <w:name w:val="footer"/>
    <w:basedOn w:val="Normal"/>
    <w:link w:val="FooterChar"/>
    <w:uiPriority w:val="99"/>
    <w:unhideWhenUsed/>
    <w:rsid w:val="00F9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4943">
      <w:bodyDiv w:val="1"/>
      <w:marLeft w:val="0"/>
      <w:marRight w:val="0"/>
      <w:marTop w:val="0"/>
      <w:marBottom w:val="0"/>
      <w:divBdr>
        <w:top w:val="none" w:sz="0" w:space="0" w:color="auto"/>
        <w:left w:val="none" w:sz="0" w:space="0" w:color="auto"/>
        <w:bottom w:val="none" w:sz="0" w:space="0" w:color="auto"/>
        <w:right w:val="none" w:sz="0" w:space="0" w:color="auto"/>
      </w:divBdr>
      <w:divsChild>
        <w:div w:id="370493449">
          <w:marLeft w:val="0"/>
          <w:marRight w:val="0"/>
          <w:marTop w:val="0"/>
          <w:marBottom w:val="0"/>
          <w:divBdr>
            <w:top w:val="none" w:sz="0" w:space="0" w:color="auto"/>
            <w:left w:val="none" w:sz="0" w:space="0" w:color="auto"/>
            <w:bottom w:val="none" w:sz="0" w:space="0" w:color="auto"/>
            <w:right w:val="none" w:sz="0" w:space="0" w:color="auto"/>
          </w:divBdr>
          <w:divsChild>
            <w:div w:id="1099326695">
              <w:marLeft w:val="0"/>
              <w:marRight w:val="0"/>
              <w:marTop w:val="150"/>
              <w:marBottom w:val="0"/>
              <w:divBdr>
                <w:top w:val="none" w:sz="0" w:space="0" w:color="auto"/>
                <w:left w:val="none" w:sz="0" w:space="0" w:color="auto"/>
                <w:bottom w:val="none" w:sz="0" w:space="0" w:color="auto"/>
                <w:right w:val="none" w:sz="0" w:space="0" w:color="auto"/>
              </w:divBdr>
              <w:divsChild>
                <w:div w:id="592931371">
                  <w:marLeft w:val="3300"/>
                  <w:marRight w:val="0"/>
                  <w:marTop w:val="0"/>
                  <w:marBottom w:val="0"/>
                  <w:divBdr>
                    <w:top w:val="none" w:sz="0" w:space="0" w:color="auto"/>
                    <w:left w:val="none" w:sz="0" w:space="0" w:color="auto"/>
                    <w:bottom w:val="none" w:sz="0" w:space="0" w:color="auto"/>
                    <w:right w:val="none" w:sz="0" w:space="0" w:color="auto"/>
                  </w:divBdr>
                  <w:divsChild>
                    <w:div w:id="1476289677">
                      <w:marLeft w:val="0"/>
                      <w:marRight w:val="0"/>
                      <w:marTop w:val="0"/>
                      <w:marBottom w:val="0"/>
                      <w:divBdr>
                        <w:top w:val="single" w:sz="6" w:space="7" w:color="A8A8A8"/>
                        <w:left w:val="single" w:sz="2" w:space="14" w:color="A8A8A8"/>
                        <w:bottom w:val="single" w:sz="6" w:space="7" w:color="A8A8A8"/>
                        <w:right w:val="single" w:sz="2" w:space="14" w:color="A8A8A8"/>
                      </w:divBdr>
                      <w:divsChild>
                        <w:div w:id="1803308260">
                          <w:marLeft w:val="0"/>
                          <w:marRight w:val="0"/>
                          <w:marTop w:val="0"/>
                          <w:marBottom w:val="0"/>
                          <w:divBdr>
                            <w:top w:val="none" w:sz="0" w:space="0" w:color="auto"/>
                            <w:left w:val="none" w:sz="0" w:space="0" w:color="auto"/>
                            <w:bottom w:val="none" w:sz="0" w:space="0" w:color="auto"/>
                            <w:right w:val="none" w:sz="0" w:space="0" w:color="auto"/>
                          </w:divBdr>
                          <w:divsChild>
                            <w:div w:id="812068630">
                              <w:marLeft w:val="0"/>
                              <w:marRight w:val="0"/>
                              <w:marTop w:val="0"/>
                              <w:marBottom w:val="0"/>
                              <w:divBdr>
                                <w:top w:val="none" w:sz="0" w:space="0" w:color="auto"/>
                                <w:left w:val="none" w:sz="0" w:space="0" w:color="auto"/>
                                <w:bottom w:val="none" w:sz="0" w:space="0" w:color="auto"/>
                                <w:right w:val="none" w:sz="0" w:space="0" w:color="auto"/>
                              </w:divBdr>
                              <w:divsChild>
                                <w:div w:id="175966944">
                                  <w:marLeft w:val="0"/>
                                  <w:marRight w:val="0"/>
                                  <w:marTop w:val="0"/>
                                  <w:marBottom w:val="0"/>
                                  <w:divBdr>
                                    <w:top w:val="none" w:sz="0" w:space="0" w:color="auto"/>
                                    <w:left w:val="none" w:sz="0" w:space="0" w:color="auto"/>
                                    <w:bottom w:val="none" w:sz="0" w:space="0" w:color="auto"/>
                                    <w:right w:val="none" w:sz="0" w:space="0" w:color="auto"/>
                                  </w:divBdr>
                                  <w:divsChild>
                                    <w:div w:id="1250625697">
                                      <w:marLeft w:val="0"/>
                                      <w:marRight w:val="0"/>
                                      <w:marTop w:val="0"/>
                                      <w:marBottom w:val="0"/>
                                      <w:divBdr>
                                        <w:top w:val="none" w:sz="0" w:space="0" w:color="auto"/>
                                        <w:left w:val="none" w:sz="0" w:space="0" w:color="auto"/>
                                        <w:bottom w:val="none" w:sz="0" w:space="0" w:color="auto"/>
                                        <w:right w:val="none" w:sz="0" w:space="0" w:color="auto"/>
                                      </w:divBdr>
                                      <w:divsChild>
                                        <w:div w:id="750350529">
                                          <w:marLeft w:val="0"/>
                                          <w:marRight w:val="0"/>
                                          <w:marTop w:val="0"/>
                                          <w:marBottom w:val="0"/>
                                          <w:divBdr>
                                            <w:top w:val="none" w:sz="0" w:space="0" w:color="auto"/>
                                            <w:left w:val="none" w:sz="0" w:space="0" w:color="auto"/>
                                            <w:bottom w:val="none" w:sz="0" w:space="0" w:color="auto"/>
                                            <w:right w:val="none" w:sz="0" w:space="0" w:color="auto"/>
                                          </w:divBdr>
                                          <w:divsChild>
                                            <w:div w:id="81226120">
                                              <w:marLeft w:val="0"/>
                                              <w:marRight w:val="0"/>
                                              <w:marTop w:val="0"/>
                                              <w:marBottom w:val="0"/>
                                              <w:divBdr>
                                                <w:top w:val="none" w:sz="0" w:space="0" w:color="auto"/>
                                                <w:left w:val="none" w:sz="0" w:space="0" w:color="auto"/>
                                                <w:bottom w:val="none" w:sz="0" w:space="0" w:color="auto"/>
                                                <w:right w:val="none" w:sz="0" w:space="0" w:color="auto"/>
                                              </w:divBdr>
                                              <w:divsChild>
                                                <w:div w:id="625544508">
                                                  <w:marLeft w:val="0"/>
                                                  <w:marRight w:val="0"/>
                                                  <w:marTop w:val="0"/>
                                                  <w:marBottom w:val="0"/>
                                                  <w:divBdr>
                                                    <w:top w:val="none" w:sz="0" w:space="0" w:color="auto"/>
                                                    <w:left w:val="none" w:sz="0" w:space="0" w:color="auto"/>
                                                    <w:bottom w:val="none" w:sz="0" w:space="0" w:color="auto"/>
                                                    <w:right w:val="none" w:sz="0" w:space="0" w:color="auto"/>
                                                  </w:divBdr>
                                                  <w:divsChild>
                                                    <w:div w:id="1109080442">
                                                      <w:marLeft w:val="0"/>
                                                      <w:marRight w:val="0"/>
                                                      <w:marTop w:val="0"/>
                                                      <w:marBottom w:val="0"/>
                                                      <w:divBdr>
                                                        <w:top w:val="none" w:sz="0" w:space="0" w:color="auto"/>
                                                        <w:left w:val="none" w:sz="0" w:space="0" w:color="auto"/>
                                                        <w:bottom w:val="none" w:sz="0" w:space="0" w:color="auto"/>
                                                        <w:right w:val="none" w:sz="0" w:space="0" w:color="auto"/>
                                                      </w:divBdr>
                                                    </w:div>
                                                  </w:divsChild>
                                                </w:div>
                                                <w:div w:id="85351065">
                                                  <w:marLeft w:val="0"/>
                                                  <w:marRight w:val="0"/>
                                                  <w:marTop w:val="0"/>
                                                  <w:marBottom w:val="0"/>
                                                  <w:divBdr>
                                                    <w:top w:val="none" w:sz="0" w:space="0" w:color="auto"/>
                                                    <w:left w:val="none" w:sz="0" w:space="0" w:color="auto"/>
                                                    <w:bottom w:val="none" w:sz="0" w:space="0" w:color="auto"/>
                                                    <w:right w:val="none" w:sz="0" w:space="0" w:color="auto"/>
                                                  </w:divBdr>
                                                  <w:divsChild>
                                                    <w:div w:id="662006251">
                                                      <w:marLeft w:val="0"/>
                                                      <w:marRight w:val="0"/>
                                                      <w:marTop w:val="0"/>
                                                      <w:marBottom w:val="0"/>
                                                      <w:divBdr>
                                                        <w:top w:val="none" w:sz="0" w:space="0" w:color="auto"/>
                                                        <w:left w:val="none" w:sz="0" w:space="0" w:color="auto"/>
                                                        <w:bottom w:val="none" w:sz="0" w:space="0" w:color="auto"/>
                                                        <w:right w:val="none" w:sz="0" w:space="0" w:color="auto"/>
                                                      </w:divBdr>
                                                    </w:div>
                                                  </w:divsChild>
                                                </w:div>
                                                <w:div w:id="1967271255">
                                                  <w:marLeft w:val="0"/>
                                                  <w:marRight w:val="0"/>
                                                  <w:marTop w:val="0"/>
                                                  <w:marBottom w:val="0"/>
                                                  <w:divBdr>
                                                    <w:top w:val="none" w:sz="0" w:space="0" w:color="auto"/>
                                                    <w:left w:val="none" w:sz="0" w:space="0" w:color="auto"/>
                                                    <w:bottom w:val="none" w:sz="0" w:space="0" w:color="auto"/>
                                                    <w:right w:val="none" w:sz="0" w:space="0" w:color="auto"/>
                                                  </w:divBdr>
                                                  <w:divsChild>
                                                    <w:div w:id="1537698483">
                                                      <w:marLeft w:val="0"/>
                                                      <w:marRight w:val="0"/>
                                                      <w:marTop w:val="0"/>
                                                      <w:marBottom w:val="0"/>
                                                      <w:divBdr>
                                                        <w:top w:val="none" w:sz="0" w:space="0" w:color="auto"/>
                                                        <w:left w:val="none" w:sz="0" w:space="0" w:color="auto"/>
                                                        <w:bottom w:val="none" w:sz="0" w:space="0" w:color="auto"/>
                                                        <w:right w:val="none" w:sz="0" w:space="0" w:color="auto"/>
                                                      </w:divBdr>
                                                    </w:div>
                                                  </w:divsChild>
                                                </w:div>
                                                <w:div w:id="43993019">
                                                  <w:marLeft w:val="0"/>
                                                  <w:marRight w:val="0"/>
                                                  <w:marTop w:val="0"/>
                                                  <w:marBottom w:val="0"/>
                                                  <w:divBdr>
                                                    <w:top w:val="none" w:sz="0" w:space="0" w:color="auto"/>
                                                    <w:left w:val="none" w:sz="0" w:space="0" w:color="auto"/>
                                                    <w:bottom w:val="none" w:sz="0" w:space="0" w:color="auto"/>
                                                    <w:right w:val="none" w:sz="0" w:space="0" w:color="auto"/>
                                                  </w:divBdr>
                                                  <w:divsChild>
                                                    <w:div w:id="169032515">
                                                      <w:marLeft w:val="0"/>
                                                      <w:marRight w:val="0"/>
                                                      <w:marTop w:val="0"/>
                                                      <w:marBottom w:val="0"/>
                                                      <w:divBdr>
                                                        <w:top w:val="none" w:sz="0" w:space="0" w:color="auto"/>
                                                        <w:left w:val="none" w:sz="0" w:space="0" w:color="auto"/>
                                                        <w:bottom w:val="none" w:sz="0" w:space="0" w:color="auto"/>
                                                        <w:right w:val="none" w:sz="0" w:space="0" w:color="auto"/>
                                                      </w:divBdr>
                                                    </w:div>
                                                  </w:divsChild>
                                                </w:div>
                                                <w:div w:id="699362047">
                                                  <w:marLeft w:val="0"/>
                                                  <w:marRight w:val="0"/>
                                                  <w:marTop w:val="0"/>
                                                  <w:marBottom w:val="0"/>
                                                  <w:divBdr>
                                                    <w:top w:val="none" w:sz="0" w:space="0" w:color="auto"/>
                                                    <w:left w:val="none" w:sz="0" w:space="0" w:color="auto"/>
                                                    <w:bottom w:val="none" w:sz="0" w:space="0" w:color="auto"/>
                                                    <w:right w:val="none" w:sz="0" w:space="0" w:color="auto"/>
                                                  </w:divBdr>
                                                  <w:divsChild>
                                                    <w:div w:id="9818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535678">
                  <w:marLeft w:val="3300"/>
                  <w:marRight w:val="0"/>
                  <w:marTop w:val="0"/>
                  <w:marBottom w:val="0"/>
                  <w:divBdr>
                    <w:top w:val="single" w:sz="2" w:space="0" w:color="A8A8A8"/>
                    <w:left w:val="single" w:sz="6" w:space="0" w:color="A8A8A8"/>
                    <w:bottom w:val="single" w:sz="2" w:space="0" w:color="A8A8A8"/>
                    <w:right w:val="single" w:sz="6" w:space="0" w:color="A8A8A8"/>
                  </w:divBdr>
                  <w:divsChild>
                    <w:div w:id="970791949">
                      <w:marLeft w:val="-15"/>
                      <w:marRight w:val="-15"/>
                      <w:marTop w:val="0"/>
                      <w:marBottom w:val="0"/>
                      <w:divBdr>
                        <w:top w:val="none" w:sz="0" w:space="0" w:color="auto"/>
                        <w:left w:val="none" w:sz="0" w:space="0" w:color="auto"/>
                        <w:bottom w:val="none" w:sz="0" w:space="0" w:color="auto"/>
                        <w:right w:val="none" w:sz="0" w:space="0" w:color="auto"/>
                      </w:divBdr>
                      <w:divsChild>
                        <w:div w:id="8087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Amy Wilson</cp:lastModifiedBy>
  <cp:revision>2</cp:revision>
  <dcterms:created xsi:type="dcterms:W3CDTF">2020-01-21T03:16:00Z</dcterms:created>
  <dcterms:modified xsi:type="dcterms:W3CDTF">2020-01-21T03:16:00Z</dcterms:modified>
</cp:coreProperties>
</file>