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827"/>
        <w:gridCol w:w="9392"/>
        <w:gridCol w:w="944"/>
        <w:gridCol w:w="1227"/>
      </w:tblGrid>
      <w:tr w:rsidR="00C90FC5" w:rsidRPr="00C90FC5" w:rsidTr="00F00779">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8.2.1.2 Assessable development - Coastal hazard overlay</w:t>
            </w: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Performance outcomes</w:t>
            </w:r>
          </w:p>
        </w:tc>
        <w:tc>
          <w:tcPr>
            <w:tcW w:w="178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Examples that achieve aspects of the Performance Outcomes</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2A3213" w:rsidRDefault="00C90FC5" w:rsidP="00C90FC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90FC5" w:rsidRPr="008B6E1B" w:rsidRDefault="00C90FC5" w:rsidP="00C90FC5">
            <w:pPr>
              <w:pStyle w:val="ListParagraph"/>
              <w:numPr>
                <w:ilvl w:val="0"/>
                <w:numId w:val="2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C90FC5" w:rsidRPr="00E42B98"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C90FC5" w:rsidRPr="00666BDF"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666BDF"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0FC5" w:rsidRPr="00C90FC5" w:rsidTr="00F00779">
        <w:trPr>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Material change of use or building work for a dwelling house</w:t>
            </w:r>
            <w:r w:rsidRPr="00C90FC5">
              <w:rPr>
                <w:rFonts w:ascii="Arial" w:eastAsia="Times New Roman" w:hAnsi="Arial" w:cs="Arial"/>
                <w:sz w:val="20"/>
                <w:szCs w:val="20"/>
                <w:lang w:eastAsia="en-AU"/>
              </w:rPr>
              <w:t xml:space="preserve"> </w:t>
            </w:r>
            <w:r w:rsidRPr="00C90FC5">
              <w:rPr>
                <w:rFonts w:ascii="Arial" w:eastAsia="Times New Roman" w:hAnsi="Arial" w:cs="Arial"/>
                <w:sz w:val="20"/>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745"/>
          <w:tblCellSpacing w:w="15" w:type="dxa"/>
        </w:trPr>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High risk storm tide inundation area included in the Limited development zone for:</w:t>
            </w:r>
          </w:p>
          <w:p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material change of use and associated building work for a dwelling house</w:t>
            </w:r>
            <w:r w:rsidRPr="00C90FC5">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does not occur; </w:t>
            </w:r>
          </w:p>
          <w:p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building work not associated with a material change of use for a dwelling house</w:t>
            </w:r>
            <w:r w:rsidRPr="00C90FC5">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only occurs for an existing lawful use. </w:t>
            </w:r>
          </w:p>
        </w:tc>
        <w:tc>
          <w:tcPr>
            <w:tcW w:w="17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1320"/>
          <w:tblCellSpacing w:w="15" w:type="dxa"/>
        </w:trPr>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p>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is sited to protect people and property from coastal processes and minimise the need for additional coastal protection works to mitigate the erosion risk. </w:t>
            </w:r>
          </w:p>
          <w:p w:rsidR="00C90FC5" w:rsidRPr="00C90FC5" w:rsidRDefault="00C90FC5" w:rsidP="00C90FC5">
            <w:pPr>
              <w:rPr>
                <w:rFonts w:ascii="Arial" w:eastAsia="Times New Roman" w:hAnsi="Arial" w:cs="Arial"/>
                <w:sz w:val="20"/>
                <w:szCs w:val="20"/>
                <w:lang w:eastAsia="en-AU"/>
              </w:rPr>
            </w:pPr>
          </w:p>
          <w:p w:rsidR="00C90FC5" w:rsidRPr="00C90FC5" w:rsidRDefault="00C90FC5" w:rsidP="00C90FC5">
            <w:pPr>
              <w:rPr>
                <w:rFonts w:ascii="Arial" w:eastAsia="Times New Roman" w:hAnsi="Arial" w:cs="Arial"/>
                <w:sz w:val="20"/>
                <w:szCs w:val="20"/>
                <w:lang w:eastAsia="en-AU"/>
              </w:rPr>
            </w:pPr>
          </w:p>
          <w:p w:rsidR="00C90FC5" w:rsidRPr="00C90FC5" w:rsidRDefault="00C90FC5" w:rsidP="00C90FC5">
            <w:pPr>
              <w:tabs>
                <w:tab w:val="left" w:pos="4705"/>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7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p>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rPr>
                <w:rFonts w:ascii="Arial" w:eastAsia="Times New Roman" w:hAnsi="Arial" w:cs="Arial"/>
                <w:sz w:val="20"/>
                <w:szCs w:val="20"/>
                <w:lang w:eastAsia="en-AU"/>
              </w:rPr>
            </w:pPr>
          </w:p>
          <w:p w:rsidR="00450AAE" w:rsidRPr="00450AAE" w:rsidRDefault="00F00779" w:rsidP="00F00779">
            <w:pPr>
              <w:tabs>
                <w:tab w:val="left" w:pos="7153"/>
              </w:tabs>
              <w:rPr>
                <w:rFonts w:ascii="Arial" w:eastAsia="Times New Roman" w:hAnsi="Arial" w:cs="Arial"/>
                <w:sz w:val="20"/>
                <w:szCs w:val="20"/>
                <w:lang w:eastAsia="en-AU"/>
              </w:rPr>
            </w:pPr>
            <w:r>
              <w:rPr>
                <w:rFonts w:ascii="Arial" w:eastAsia="Times New Roman" w:hAnsi="Arial" w:cs="Arial"/>
                <w:sz w:val="20"/>
                <w:szCs w:val="20"/>
                <w:lang w:eastAsia="en-AU"/>
              </w:rPr>
              <w:tab/>
            </w:r>
          </w:p>
          <w:p w:rsidR="00450AAE" w:rsidRPr="00450AAE" w:rsidRDefault="00450AAE" w:rsidP="00450AAE">
            <w:pPr>
              <w:rPr>
                <w:rFonts w:ascii="Arial" w:eastAsia="Times New Roman" w:hAnsi="Arial" w:cs="Arial"/>
                <w:sz w:val="20"/>
                <w:szCs w:val="20"/>
                <w:lang w:eastAsia="en-AU"/>
              </w:rPr>
            </w:pPr>
          </w:p>
          <w:p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tab/>
            </w:r>
          </w:p>
          <w:p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5925"/>
          <w:tblCellSpacing w:w="15" w:type="dxa"/>
        </w:trPr>
        <w:tc>
          <w:tcPr>
            <w:tcW w:w="1662"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the design and built form account for the potential risks of the coastal hazard event (including storm tide inundation, wave action and coastal erosion).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92"/>
            </w:tblGrid>
            <w:tr w:rsidR="00C90FC5" w:rsidRPr="00C90FC5" w:rsidTr="00C90FC5">
              <w:trPr>
                <w:tblCellSpacing w:w="15" w:type="dxa"/>
              </w:trPr>
              <w:tc>
                <w:tcPr>
                  <w:tcW w:w="472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rsidTr="00C90FC5">
              <w:trPr>
                <w:tblCellSpacing w:w="15" w:type="dxa"/>
              </w:trPr>
              <w:tc>
                <w:tcPr>
                  <w:tcW w:w="4722" w:type="dxa"/>
                  <w:vAlign w:val="center"/>
                  <w:hideMark/>
                </w:tcPr>
                <w:p w:rsidR="00C90FC5" w:rsidRPr="00C34DE8" w:rsidRDefault="00C90FC5" w:rsidP="00221DA7">
                  <w:pPr>
                    <w:spacing w:before="100" w:beforeAutospacing="1" w:after="100" w:afterAutospacing="1" w:line="240" w:lineRule="auto"/>
                    <w:ind w:left="153" w:right="153"/>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in accordance with the following:</w:t>
            </w:r>
          </w:p>
          <w:p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site based coastal engineering report from a suitably qualified Registered Professional Engineer Queensland which identifies the coastal hazard and the structural approach to be utilised for the building work; </w:t>
            </w:r>
          </w:p>
          <w:p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w:t>
            </w:r>
            <w:proofErr w:type="gramStart"/>
            <w:r w:rsidRPr="00C90FC5">
              <w:rPr>
                <w:rFonts w:ascii="Arial" w:eastAsia="Times New Roman" w:hAnsi="Arial" w:cs="Arial"/>
                <w:sz w:val="20"/>
                <w:szCs w:val="20"/>
                <w:lang w:eastAsia="en-AU"/>
              </w:rPr>
              <w:t>are capable of withstanding</w:t>
            </w:r>
            <w:proofErr w:type="gramEnd"/>
            <w:r w:rsidRPr="00C90FC5">
              <w:rPr>
                <w:rFonts w:ascii="Arial" w:eastAsia="Times New Roman" w:hAnsi="Arial" w:cs="Arial"/>
                <w:sz w:val="20"/>
                <w:szCs w:val="20"/>
                <w:lang w:eastAsia="en-AU"/>
              </w:rPr>
              <w:t xml:space="preserve"> the nature of the coastal hazard event to which the building will be subject.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2"/>
            </w:tblGrid>
            <w:tr w:rsidR="00C90FC5" w:rsidRPr="00C34DE8" w:rsidTr="00C90FC5">
              <w:trPr>
                <w:tblCellSpacing w:w="15" w:type="dxa"/>
              </w:trPr>
              <w:tc>
                <w:tcPr>
                  <w:tcW w:w="62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34DE8" w:rsidTr="00C90FC5">
              <w:trPr>
                <w:tblCellSpacing w:w="15" w:type="dxa"/>
              </w:trPr>
              <w:tc>
                <w:tcPr>
                  <w:tcW w:w="62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475"/>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w:t>
            </w:r>
            <w:proofErr w:type="gramStart"/>
            <w:r w:rsidRPr="00C90FC5">
              <w:rPr>
                <w:rFonts w:ascii="Arial" w:eastAsia="Times New Roman" w:hAnsi="Arial" w:cs="Arial"/>
                <w:sz w:val="20"/>
                <w:szCs w:val="20"/>
                <w:lang w:eastAsia="en-AU"/>
              </w:rPr>
              <w:t>high water</w:t>
            </w:r>
            <w:proofErr w:type="gramEnd"/>
            <w:r w:rsidRPr="00C90FC5">
              <w:rPr>
                <w:rFonts w:ascii="Arial" w:eastAsia="Times New Roman" w:hAnsi="Arial" w:cs="Arial"/>
                <w:sz w:val="20"/>
                <w:szCs w:val="20"/>
                <w:lang w:eastAsia="en-AU"/>
              </w:rPr>
              <w:t xml:space="preserve">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 xml:space="preserve">Note - The Queensland Government Fact Sheet ‘Rebuilding after a flood’ provides information about water resilient products and building techniques.  Available at </w:t>
                  </w:r>
                  <w:hyperlink r:id="rId11" w:history="1">
                    <w:r w:rsidR="00221DA7" w:rsidRPr="00C34DE8">
                      <w:rPr>
                        <w:rStyle w:val="Hyperlink"/>
                        <w:rFonts w:ascii="Arial" w:eastAsia="Times New Roman" w:hAnsi="Arial" w:cs="Arial"/>
                        <w:color w:val="auto"/>
                        <w:sz w:val="18"/>
                        <w:szCs w:val="18"/>
                        <w:lang w:eastAsia="en-AU"/>
                      </w:rPr>
                      <w:t>http://www.hpw.qld.gov.au/SiteCollectionDocuments/WaterResilientProductsAndBuildingTechniquesForRebuildingAfterAFlood.pdf</w:t>
                    </w:r>
                  </w:hyperlink>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in the High risk storm tide inundation area or Medium risk storm tide inundation area</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184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a functional and attractive relationship with the adjacent street frontage.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dwelling </w:t>
            </w:r>
            <w:r w:rsidR="00787248">
              <w:rPr>
                <w:rFonts w:ascii="Arial" w:eastAsia="Times New Roman" w:hAnsi="Arial" w:cs="Arial"/>
                <w:sz w:val="20"/>
                <w:szCs w:val="20"/>
                <w:lang w:eastAsia="en-AU"/>
              </w:rPr>
              <w:t xml:space="preserve">house </w:t>
            </w:r>
            <w:r w:rsidRPr="00C90FC5">
              <w:rPr>
                <w:rFonts w:ascii="Arial" w:eastAsia="Times New Roman" w:hAnsi="Arial" w:cs="Arial"/>
                <w:sz w:val="20"/>
                <w:szCs w:val="20"/>
                <w:lang w:eastAsia="en-AU"/>
              </w:rPr>
              <w:t xml:space="preserve">where pier and pole construction </w:t>
            </w:r>
            <w:proofErr w:type="gramStart"/>
            <w:r w:rsidRPr="00C90FC5">
              <w:rPr>
                <w:rFonts w:ascii="Arial" w:eastAsia="Times New Roman" w:hAnsi="Arial" w:cs="Arial"/>
                <w:sz w:val="20"/>
                <w:szCs w:val="20"/>
                <w:lang w:eastAsia="en-AU"/>
              </w:rPr>
              <w:t>is</w:t>
            </w:r>
            <w:proofErr w:type="gramEnd"/>
            <w:r w:rsidRPr="00C90FC5">
              <w:rPr>
                <w:rFonts w:ascii="Arial" w:eastAsia="Times New Roman" w:hAnsi="Arial" w:cs="Arial"/>
                <w:sz w:val="20"/>
                <w:szCs w:val="20"/>
                <w:lang w:eastAsia="en-AU"/>
              </w:rPr>
              <w:t xml:space="preserve"> utilised:</w:t>
            </w:r>
          </w:p>
          <w:p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 to ensure the understorey is not visible from the street;</w:t>
            </w:r>
          </w:p>
          <w:p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83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does not increase the potential for erosion, scour or flood damage either on the premises or on other premises, public land, watercourses, roads or infrastructure or elsewhere in the floodplain.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2370"/>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to achieve the required storm tide immunity in the Defined Flood Event and maintain public safety at all times.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An essential electrical service includes services defined as utilities and customer dedicated substation</w:t>
                  </w:r>
                  <w:r w:rsidRPr="00C34DE8">
                    <w:rPr>
                      <w:rFonts w:ascii="Arial" w:eastAsia="Times New Roman" w:hAnsi="Arial" w:cs="Arial"/>
                      <w:sz w:val="18"/>
                      <w:szCs w:val="20"/>
                      <w:vertAlign w:val="superscript"/>
                      <w:lang w:eastAsia="en-AU"/>
                    </w:rPr>
                    <w:t>(</w:t>
                  </w:r>
                  <w:hyperlink r:id="rId1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20"/>
                        <w:vertAlign w:val="superscript"/>
                        <w:lang w:eastAsia="en-AU"/>
                      </w:rPr>
                      <w:t>80</w:t>
                    </w:r>
                  </w:hyperlink>
                  <w:r w:rsidRPr="00C34DE8">
                    <w:rPr>
                      <w:rFonts w:ascii="Arial" w:eastAsia="Times New Roman" w:hAnsi="Arial" w:cs="Arial"/>
                      <w:sz w:val="18"/>
                      <w:szCs w:val="20"/>
                      <w:vertAlign w:val="superscript"/>
                      <w:lang w:eastAsia="en-AU"/>
                    </w:rPr>
                    <w:t>)</w:t>
                  </w:r>
                  <w:r w:rsidRPr="00C34DE8">
                    <w:rPr>
                      <w:rFonts w:ascii="Arial" w:eastAsia="Times New Roman" w:hAnsi="Arial" w:cs="Arial"/>
                      <w:sz w:val="18"/>
                      <w:szCs w:val="20"/>
                      <w:lang w:eastAsia="en-AU"/>
                    </w:rPr>
                    <w:t xml:space="preserve"> in </w:t>
                  </w:r>
                  <w:r w:rsidRPr="00C34DE8">
                    <w:rPr>
                      <w:rFonts w:ascii="Arial" w:eastAsia="Times New Roman" w:hAnsi="Arial" w:cs="Arial"/>
                      <w:i/>
                      <w:iCs/>
                      <w:sz w:val="18"/>
                      <w:szCs w:val="20"/>
                      <w:lang w:eastAsia="en-AU"/>
                    </w:rPr>
                    <w:t xml:space="preserve">Mandatory Part 3.5 – Construction of buildings in flood hazard areas </w:t>
                  </w:r>
                  <w:r w:rsidRPr="00C34DE8">
                    <w:rPr>
                      <w:rFonts w:ascii="Arial" w:eastAsia="Times New Roman" w:hAnsi="Arial" w:cs="Arial"/>
                      <w:sz w:val="18"/>
                      <w:szCs w:val="20"/>
                      <w:lang w:eastAsia="en-AU"/>
                    </w:rPr>
                    <w:t xml:space="preserve">of the </w:t>
                  </w:r>
                  <w:r w:rsidRPr="00C34DE8">
                    <w:rPr>
                      <w:rFonts w:ascii="Arial" w:eastAsia="Times New Roman" w:hAnsi="Arial" w:cs="Arial"/>
                      <w:i/>
                      <w:iCs/>
                      <w:sz w:val="18"/>
                      <w:szCs w:val="20"/>
                      <w:lang w:eastAsia="en-AU"/>
                    </w:rPr>
                    <w:t>Queensland Development Code</w:t>
                  </w:r>
                  <w:r w:rsidRPr="00C34DE8">
                    <w:rPr>
                      <w:rFonts w:ascii="Arial" w:eastAsia="Times New Roman" w:hAnsi="Arial" w:cs="Arial"/>
                      <w:sz w:val="18"/>
                      <w:szCs w:val="20"/>
                      <w:lang w:eastAsia="en-AU"/>
                    </w:rPr>
                    <w:t xml:space="preserve">.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rHeight w:val="480"/>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Note - An essential electrical service includes services defined as utilities and customer dedicated substation</w:t>
                  </w:r>
                  <w:r w:rsidRPr="00C34DE8">
                    <w:rPr>
                      <w:rFonts w:ascii="Arial" w:eastAsia="Times New Roman" w:hAnsi="Arial" w:cs="Arial"/>
                      <w:sz w:val="18"/>
                      <w:szCs w:val="18"/>
                      <w:vertAlign w:val="superscript"/>
                      <w:lang w:eastAsia="en-AU"/>
                    </w:rPr>
                    <w:t>(</w:t>
                  </w:r>
                  <w:hyperlink r:id="rId1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18"/>
                        <w:vertAlign w:val="superscript"/>
                        <w:lang w:eastAsia="en-AU"/>
                      </w:rPr>
                      <w:t>80</w:t>
                    </w:r>
                  </w:hyperlink>
                  <w:r w:rsidRPr="00C34DE8">
                    <w:rPr>
                      <w:rFonts w:ascii="Arial" w:eastAsia="Times New Roman" w:hAnsi="Arial" w:cs="Arial"/>
                      <w:sz w:val="18"/>
                      <w:szCs w:val="18"/>
                      <w:vertAlign w:val="superscript"/>
                      <w:lang w:eastAsia="en-AU"/>
                    </w:rPr>
                    <w:t>)</w:t>
                  </w:r>
                  <w:r w:rsidRPr="00C34DE8">
                    <w:rPr>
                      <w:rFonts w:ascii="Arial" w:eastAsia="Times New Roman" w:hAnsi="Arial" w:cs="Arial"/>
                      <w:sz w:val="18"/>
                      <w:szCs w:val="18"/>
                      <w:lang w:eastAsia="en-AU"/>
                    </w:rPr>
                    <w:t xml:space="preserve"> in </w:t>
                  </w:r>
                  <w:r w:rsidRPr="00C34DE8">
                    <w:rPr>
                      <w:rFonts w:ascii="Arial" w:eastAsia="Times New Roman" w:hAnsi="Arial" w:cs="Arial"/>
                      <w:i/>
                      <w:iCs/>
                      <w:sz w:val="18"/>
                      <w:szCs w:val="18"/>
                      <w:lang w:eastAsia="en-AU"/>
                    </w:rPr>
                    <w:t xml:space="preserve">Mandatory Part 3.5 – Construction of buildings in flood hazard areas </w:t>
                  </w:r>
                  <w:r w:rsidRPr="00C34DE8">
                    <w:rPr>
                      <w:rFonts w:ascii="Arial" w:eastAsia="Times New Roman" w:hAnsi="Arial" w:cs="Arial"/>
                      <w:sz w:val="18"/>
                      <w:szCs w:val="18"/>
                      <w:lang w:eastAsia="en-AU"/>
                    </w:rPr>
                    <w:t xml:space="preserve">of the </w:t>
                  </w:r>
                  <w:r w:rsidRPr="00C34DE8">
                    <w:rPr>
                      <w:rFonts w:ascii="Arial" w:eastAsia="Times New Roman" w:hAnsi="Arial" w:cs="Arial"/>
                      <w:i/>
                      <w:iCs/>
                      <w:sz w:val="18"/>
                      <w:szCs w:val="18"/>
                      <w:lang w:eastAsia="en-AU"/>
                    </w:rPr>
                    <w:t>Queensland Development Code</w:t>
                  </w:r>
                  <w:r w:rsidRPr="00C34DE8">
                    <w:rPr>
                      <w:rFonts w:ascii="Arial" w:eastAsia="Times New Roman" w:hAnsi="Arial" w:cs="Arial"/>
                      <w:sz w:val="18"/>
                      <w:szCs w:val="18"/>
                      <w:lang w:eastAsia="en-AU"/>
                    </w:rPr>
                    <w:t xml:space="preserve">.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Balance area</w:t>
            </w:r>
          </w:p>
        </w:tc>
      </w:tr>
      <w:tr w:rsidR="00C90FC5" w:rsidRPr="00C90FC5" w:rsidTr="00F00779">
        <w:trPr>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w:t>
            </w:r>
            <w:r w:rsidRPr="00C90FC5">
              <w:rPr>
                <w:rFonts w:ascii="Arial" w:eastAsia="Times New Roman" w:hAnsi="Arial" w:cs="Arial"/>
                <w:sz w:val="20"/>
                <w:szCs w:val="20"/>
                <w:lang w:eastAsia="en-AU"/>
              </w:rPr>
              <w:lastRenderedPageBreak/>
              <w:t>built form account for the potential risks of flooding.</w:t>
            </w: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Development involving building work for a residential use</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73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9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rsidTr="00F00779">
        <w:trPr>
          <w:trHeight w:val="855"/>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855"/>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E8.4</w:t>
            </w:r>
          </w:p>
          <w:p w:rsidR="00787248" w:rsidRPr="00787248" w:rsidRDefault="00C90FC5" w:rsidP="00787248">
            <w:pPr>
              <w:spacing w:after="0"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t>
            </w:r>
            <w:r w:rsidR="00787248">
              <w:rPr>
                <w:rFonts w:ascii="Arial" w:eastAsia="Times New Roman" w:hAnsi="Arial" w:cs="Arial"/>
                <w:sz w:val="20"/>
                <w:szCs w:val="20"/>
                <w:lang w:eastAsia="en-AU"/>
              </w:rPr>
              <w:t xml:space="preserve">car parking </w:t>
            </w:r>
            <w:r w:rsidR="00787248" w:rsidRPr="00787248">
              <w:rPr>
                <w:rFonts w:ascii="Arial" w:eastAsia="Times New Roman" w:hAnsi="Arial" w:cs="Arial"/>
                <w:sz w:val="20"/>
                <w:szCs w:val="20"/>
                <w:lang w:eastAsia="en-AU"/>
              </w:rPr>
              <w:t>areas below the</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flood planning level in Table 8.2.1.3 have a high water</w:t>
            </w:r>
          </w:p>
          <w:p w:rsid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resistance.</w:t>
            </w:r>
          </w:p>
          <w:p w:rsidR="00787248" w:rsidRPr="00787248" w:rsidRDefault="00787248" w:rsidP="00787248">
            <w:pPr>
              <w:spacing w:after="0" w:line="240" w:lineRule="auto"/>
              <w:ind w:left="150" w:right="150"/>
              <w:rPr>
                <w:rFonts w:ascii="Arial" w:eastAsia="Times New Roman" w:hAnsi="Arial" w:cs="Arial"/>
                <w:sz w:val="20"/>
                <w:szCs w:val="20"/>
                <w:lang w:eastAsia="en-AU"/>
              </w:rPr>
            </w:pP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Note - The Queensland Government Fact Sheet</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Rebuilding after a flood</w:t>
            </w: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 xml:space="preserve"> provides information about water</w:t>
            </w:r>
          </w:p>
          <w:p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resilient products and building techniques. Available</w:t>
            </w:r>
          </w:p>
          <w:p w:rsidR="00C90FC5" w:rsidRPr="00C90FC5"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at</w:t>
            </w:r>
            <w:r>
              <w:rPr>
                <w:rFonts w:ascii="Arial" w:eastAsia="Times New Roman" w:hAnsi="Arial" w:cs="Arial"/>
                <w:sz w:val="20"/>
                <w:szCs w:val="20"/>
                <w:lang w:eastAsia="en-AU"/>
              </w:rPr>
              <w:t xml:space="preserve"> </w:t>
            </w:r>
            <w:r w:rsidRPr="00C34DE8">
              <w:rPr>
                <w:rFonts w:ascii="Arial" w:eastAsia="Times New Roman" w:hAnsi="Arial" w:cs="Arial"/>
                <w:sz w:val="20"/>
                <w:szCs w:val="20"/>
                <w:u w:val="single"/>
                <w:lang w:eastAsia="en-AU"/>
              </w:rPr>
              <w:t>http://www.hpw.qld.gov.au/SiteCollectionDocuments/WaterResilientProductsAndBuildingTechniquesForRebuildingAfterAFlood.pdf</w:t>
            </w:r>
            <w:r>
              <w:rPr>
                <w:rFonts w:ascii="Arial" w:eastAsia="Times New Roman" w:hAnsi="Arial" w:cs="Arial"/>
                <w:sz w:val="20"/>
                <w:szCs w:val="20"/>
                <w:lang w:eastAsia="en-AU"/>
              </w:rPr>
              <w:t xml:space="preserve">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1500"/>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PO9</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functional </w:t>
            </w:r>
            <w:r w:rsidRPr="00C90FC5">
              <w:rPr>
                <w:rFonts w:ascii="Arial" w:eastAsia="Times New Roman" w:hAnsi="Arial" w:cs="Arial"/>
                <w:sz w:val="20"/>
                <w:szCs w:val="20"/>
                <w:lang w:eastAsia="en-AU"/>
              </w:rPr>
              <w:lastRenderedPageBreak/>
              <w:t xml:space="preserve">and attractive relationship with the adjacent street frontage.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This is particularly relevant for commercial uses in centres with a strong ‘town-centre’ pedestrian realm that also may be affected by flood, or for residential uses to maintain an attractive presentation to the street.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E9.1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residential use where pier and pole construction is utilised:</w:t>
            </w:r>
          </w:p>
          <w:p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w:t>
            </w:r>
          </w:p>
          <w:p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3585"/>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E9.2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or structure maintains an active street frontage through:</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 with and overlook the street; or </w:t>
            </w:r>
          </w:p>
          <w:p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must not impede storm tide flow.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160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PO10</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public safety and risk to the environment are not adversely affected by a detrimental impact of floodwaters up to the Defined Flood Event on a hazardous chemical located or stored on the premises.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E10.1</w:t>
            </w:r>
          </w:p>
          <w:p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Erosion Prone Area, High risk storm tide inundation area and Medium risk storm tide inundation area</w:t>
            </w:r>
          </w:p>
        </w:tc>
      </w:tr>
      <w:tr w:rsidR="00C90FC5" w:rsidRPr="00C90FC5" w:rsidTr="00C34DE8">
        <w:trPr>
          <w:trHeight w:val="1679"/>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w:t>
            </w:r>
          </w:p>
          <w:p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limited in the High risk storm tide inundation area to avoid the intolerable risk of the coastal hazard;</w:t>
            </w:r>
          </w:p>
          <w:p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managed in the Erosion Prone Area and Medium risk storm tide inundation area to mitigate the tolerable risk of the coastal hazard.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lastRenderedPageBreak/>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397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personal safety at all times, such that: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vulnerable land use (flood and coastal) is not located in the Erosion Prone Area, High risk storm tide inundation area or the Medium risk storm tide inundation area;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new buildings are not located in the High risk storm tide inundation area included in the Limited development zone;</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evacuation capability from the development or other premises is not hindered or made more complicated and there is no significant additional burden placed on emergency services personnel; </w:t>
            </w:r>
          </w:p>
          <w:p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isolation of persons in the Defined Flood Event is avoided.</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C34DE8">
        <w:trPr>
          <w:trHeight w:val="37"/>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Erosion Prone Area only occurs on a lot zoned for urban purposes in a manner that:</w:t>
            </w:r>
          </w:p>
          <w:p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accommodates natural coastal processes, including climate change and sea level rise;</w:t>
            </w:r>
          </w:p>
          <w:p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achieves the following: </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avoids coastal erosion risks; or</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manages coastal erosion risks through a strategy of planned retreat; or</w:t>
            </w:r>
          </w:p>
          <w:p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mitigates coastal erosion risks if there are no adverse local drainage impacts, flooding and coastal impacts on other premises, public land, watercourses, roads or infrastructure or impacts on natural riverine and coastal processes or flood warning times.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E13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constitutes or includes temporary or relocatable structures, and these structures and the ongoing use of the premises are subject to the natural processes affecting the site; or </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installs and maintains coastal protection works to mitigate adverse impacts to people and property from coastal erosion within the premises in a manner which accommodates natural coastal processes without detrimental impacts on other premises; or </w:t>
            </w:r>
          </w:p>
          <w:p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is located, designed and constructed to withstand the expected coastal erosion impacts.</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6780"/>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PO14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built form account for the potential risks of the coastal event (including storm tide inundation, wave action and coastal erosion).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rHeight w:val="1920"/>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w:t>
                  </w:r>
                  <w:hyperlink r:id="rId16" w:tgtFrame="_blank" w:tooltip="https://www.moretonbay.qld.gov.au/floodcheck/" w:history="1">
                    <w:r w:rsidRPr="00C34DE8">
                      <w:rPr>
                        <w:rFonts w:ascii="Arial" w:eastAsia="Times New Roman" w:hAnsi="Arial" w:cs="Arial"/>
                        <w:sz w:val="18"/>
                        <w:szCs w:val="20"/>
                        <w:u w:val="single"/>
                        <w:lang w:eastAsia="en-AU"/>
                      </w:rPr>
                      <w:t>https://www.moretonbay.qld.gov.au/floodcheck/</w:t>
                    </w:r>
                  </w:hyperlink>
                  <w:r w:rsidRPr="00C34DE8">
                    <w:rPr>
                      <w:rFonts w:ascii="Arial" w:eastAsia="Times New Roman" w:hAnsi="Arial" w:cs="Arial"/>
                      <w:sz w:val="18"/>
                      <w:szCs w:val="20"/>
                      <w:u w:val="single"/>
                      <w:lang w:eastAsia="en-AU"/>
                    </w:rPr>
                    <w:t>.</w:t>
                  </w:r>
                  <w:r w:rsidRPr="00C34DE8">
                    <w:rPr>
                      <w:rFonts w:ascii="Arial" w:eastAsia="Times New Roman" w:hAnsi="Arial" w:cs="Arial"/>
                      <w:sz w:val="18"/>
                      <w:szCs w:val="20"/>
                      <w:lang w:eastAsia="en-AU"/>
                    </w:rPr>
                    <w:t xml:space="preserve">  </w:t>
                  </w:r>
                </w:p>
              </w:tc>
            </w:tr>
            <w:tr w:rsidR="00C90FC5" w:rsidRPr="00C90FC5" w:rsidTr="00C90FC5">
              <w:trPr>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w:t>
                  </w:r>
                  <w:proofErr w:type="gramStart"/>
                  <w:r w:rsidRPr="00C34DE8">
                    <w:rPr>
                      <w:rFonts w:ascii="Arial" w:eastAsia="Times New Roman" w:hAnsi="Arial" w:cs="Arial"/>
                      <w:sz w:val="18"/>
                      <w:szCs w:val="20"/>
                      <w:lang w:eastAsia="en-AU"/>
                    </w:rPr>
                    <w:t>-  Reporting</w:t>
                  </w:r>
                  <w:proofErr w:type="gramEnd"/>
                  <w:r w:rsidRPr="00C34DE8">
                    <w:rPr>
                      <w:rFonts w:ascii="Arial" w:eastAsia="Times New Roman" w:hAnsi="Arial" w:cs="Arial"/>
                      <w:sz w:val="18"/>
                      <w:szCs w:val="20"/>
                      <w:lang w:eastAsia="en-AU"/>
                    </w:rPr>
                    <w:t xml:space="preserve">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High risk storm tide inundation area and Medium risk storm tide inundation area is in accordance with the following: </w:t>
            </w:r>
          </w:p>
          <w:p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site based coastal engineering report from a suitably qualified Registered Professional Engineer Queensland which identifies the coastal hazard and the structural approach to be utilised for the building work;</w:t>
            </w:r>
          </w:p>
          <w:p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w:t>
            </w:r>
            <w:proofErr w:type="gramStart"/>
            <w:r w:rsidRPr="00C90FC5">
              <w:rPr>
                <w:rFonts w:ascii="Arial" w:eastAsia="Times New Roman" w:hAnsi="Arial" w:cs="Arial"/>
                <w:sz w:val="20"/>
                <w:szCs w:val="20"/>
                <w:lang w:eastAsia="en-AU"/>
              </w:rPr>
              <w:t>are capable of withstanding</w:t>
            </w:r>
            <w:proofErr w:type="gramEnd"/>
            <w:r w:rsidRPr="00C90FC5">
              <w:rPr>
                <w:rFonts w:ascii="Arial" w:eastAsia="Times New Roman" w:hAnsi="Arial" w:cs="Arial"/>
                <w:sz w:val="20"/>
                <w:szCs w:val="20"/>
                <w:lang w:eastAsia="en-AU"/>
              </w:rPr>
              <w:t xml:space="preserve"> the nature of the coastal hazard event to which the building will be subject.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rsidTr="00C90FC5">
              <w:trPr>
                <w:trHeight w:val="510"/>
                <w:tblCellSpacing w:w="15" w:type="dxa"/>
              </w:trPr>
              <w:tc>
                <w:tcPr>
                  <w:tcW w:w="634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w:t>
                  </w:r>
                  <w:proofErr w:type="gramStart"/>
                  <w:r w:rsidRPr="00C34DE8">
                    <w:rPr>
                      <w:rFonts w:ascii="Arial" w:eastAsia="Times New Roman" w:hAnsi="Arial" w:cs="Arial"/>
                      <w:sz w:val="18"/>
                      <w:szCs w:val="20"/>
                      <w:lang w:eastAsia="en-AU"/>
                    </w:rPr>
                    <w:t>-  Reporting</w:t>
                  </w:r>
                  <w:proofErr w:type="gramEnd"/>
                  <w:r w:rsidRPr="00C34DE8">
                    <w:rPr>
                      <w:rFonts w:ascii="Arial" w:eastAsia="Times New Roman" w:hAnsi="Arial" w:cs="Arial"/>
                      <w:sz w:val="18"/>
                      <w:szCs w:val="20"/>
                      <w:lang w:eastAsia="en-AU"/>
                    </w:rPr>
                    <w:t xml:space="preserve"> to be prepared in accordance with Planning scheme policy - Flood hazard, Coastal hazard and Overland flow.</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 residential use </w:t>
            </w:r>
            <w:r w:rsidRPr="00C90FC5">
              <w:rPr>
                <w:rFonts w:ascii="Arial" w:eastAsia="Times New Roman" w:hAnsi="Arial" w:cs="Arial"/>
                <w:sz w:val="20"/>
                <w:szCs w:val="20"/>
                <w:lang w:eastAsia="en-AU"/>
              </w:rPr>
              <w:t> </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all uses </w:t>
            </w:r>
            <w:r w:rsidRPr="00C90FC5">
              <w:rPr>
                <w:rFonts w:ascii="Arial" w:eastAsia="Times New Roman" w:hAnsi="Arial" w:cs="Arial"/>
                <w:sz w:val="20"/>
                <w:szCs w:val="20"/>
                <w:lang w:eastAsia="en-AU"/>
              </w:rPr>
              <w:t> </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C34DE8">
        <w:trPr>
          <w:trHeight w:val="27"/>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located below the flood planning level </w:t>
            </w:r>
            <w:r w:rsidRPr="00C34DE8">
              <w:rPr>
                <w:rFonts w:ascii="Arial" w:eastAsia="Times New Roman" w:hAnsi="Arial" w:cs="Arial"/>
                <w:sz w:val="20"/>
                <w:szCs w:val="20"/>
                <w:lang w:eastAsia="en-AU"/>
              </w:rPr>
              <w:t xml:space="preserve">in Table 8.2.1.3 has </w:t>
            </w:r>
            <w:r w:rsidRPr="00C90FC5">
              <w:rPr>
                <w:rFonts w:ascii="Arial" w:eastAsia="Times New Roman" w:hAnsi="Arial" w:cs="Arial"/>
                <w:sz w:val="20"/>
                <w:szCs w:val="20"/>
                <w:lang w:eastAsia="en-AU"/>
              </w:rPr>
              <w:t xml:space="preserve">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C34DE8">
        <w:trPr>
          <w:trHeight w:val="1112"/>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does not increase the potential for erosion, scour or flood damage either on-site or on a surrounding property, public land, watercourse, road or infrastructure or elsewhere in the floodplain.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34DE8" w:rsidTr="00C90FC5">
              <w:trPr>
                <w:tblCellSpacing w:w="15" w:type="dxa"/>
              </w:trPr>
              <w:tc>
                <w:tcPr>
                  <w:tcW w:w="4782" w:type="dxa"/>
                  <w:vAlign w:val="center"/>
                  <w:hideMark/>
                </w:tcPr>
                <w:p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w:t>
                  </w:r>
                  <w:r w:rsidRPr="00C34DE8">
                    <w:rPr>
                      <w:rFonts w:ascii="Arial" w:eastAsia="Times New Roman" w:hAnsi="Arial" w:cs="Arial"/>
                      <w:sz w:val="18"/>
                      <w:szCs w:val="20"/>
                      <w:lang w:eastAsia="en-AU"/>
                    </w:rPr>
                    <w:lastRenderedPageBreak/>
                    <w:t xml:space="preserve">the matters to be addressed in the report is provided in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supports, and does not unduly burden, disaster management responses and recovery capacity and capabilities for a coastal hazard event up to and including the Defined Flood Event.</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has access which, having regard to the hydraulic hazard, provides for safe vehicular and pedestrian movement and emergency services access.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PO19</w:t>
            </w:r>
          </w:p>
          <w:p w:rsidR="00C90FC5" w:rsidRPr="00C90FC5" w:rsidRDefault="00C90FC5" w:rsidP="00DF295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functional and attractive relationship with the adjacent street frontage.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This is particularly relevant for commercial uses in centres with a strong ‘town-centre’ pedestrian realm that also may be affected by flood, or for residential uses to maintain an attractive presentation to the street.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E19.1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residential </w:t>
            </w:r>
            <w:r w:rsidR="00787248">
              <w:rPr>
                <w:rFonts w:ascii="Arial" w:eastAsia="Times New Roman" w:hAnsi="Arial" w:cs="Arial"/>
                <w:sz w:val="20"/>
                <w:szCs w:val="20"/>
                <w:lang w:eastAsia="en-AU"/>
              </w:rPr>
              <w:t>accommodation building</w:t>
            </w:r>
            <w:r w:rsidRPr="00C90FC5">
              <w:rPr>
                <w:rFonts w:ascii="Arial" w:eastAsia="Times New Roman" w:hAnsi="Arial" w:cs="Arial"/>
                <w:sz w:val="20"/>
                <w:szCs w:val="20"/>
                <w:lang w:eastAsia="en-AU"/>
              </w:rPr>
              <w:t xml:space="preserve"> where pier and pole construction is utilised:</w:t>
            </w:r>
          </w:p>
          <w:p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uses screening around the understorey of the dwelling that is a minimum of 50% permeable to ensure the understorey is not visible from the street; </w:t>
            </w:r>
          </w:p>
          <w:p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storm tide water through the understorey.</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88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E19.2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and structure maintains an active street frontage through:</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interfaces with and overlooks the street; or </w:t>
            </w:r>
          </w:p>
          <w:p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do not impede storm tide flow.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F2958" w:rsidRPr="00C90FC5" w:rsidTr="00F00779">
        <w:trPr>
          <w:trHeight w:val="2880"/>
          <w:tblCellSpacing w:w="15" w:type="dxa"/>
        </w:trPr>
        <w:tc>
          <w:tcPr>
            <w:tcW w:w="1662" w:type="pct"/>
            <w:tcBorders>
              <w:top w:val="outset" w:sz="6" w:space="0" w:color="auto"/>
              <w:left w:val="outset" w:sz="6" w:space="0" w:color="auto"/>
              <w:bottom w:val="outset" w:sz="6" w:space="0" w:color="auto"/>
              <w:right w:val="outset" w:sz="6" w:space="0" w:color="auto"/>
            </w:tcBorders>
            <w:vAlign w:val="center"/>
          </w:tcPr>
          <w:p w:rsidR="00DF2958" w:rsidRDefault="00DF2958" w:rsidP="00DF2958">
            <w:pPr>
              <w:spacing w:before="100" w:beforeAutospacing="1" w:after="100" w:afterAutospacing="1" w:line="240" w:lineRule="auto"/>
              <w:ind w:left="153" w:right="153"/>
              <w:rPr>
                <w:rFonts w:ascii="Arial" w:eastAsia="Times New Roman" w:hAnsi="Arial" w:cs="Arial"/>
                <w:b/>
                <w:sz w:val="20"/>
                <w:szCs w:val="20"/>
                <w:lang w:eastAsia="en-AU"/>
              </w:rPr>
            </w:pPr>
            <w:r w:rsidRPr="00787248">
              <w:rPr>
                <w:rFonts w:ascii="Arial" w:eastAsia="Times New Roman" w:hAnsi="Arial" w:cs="Arial"/>
                <w:b/>
                <w:sz w:val="20"/>
                <w:szCs w:val="20"/>
                <w:lang w:eastAsia="en-AU"/>
              </w:rPr>
              <w:lastRenderedPageBreak/>
              <w:t xml:space="preserve">PO20 </w:t>
            </w:r>
          </w:p>
          <w:p w:rsidR="00DF2958" w:rsidRDefault="00DF2958" w:rsidP="00DF2958">
            <w:pPr>
              <w:spacing w:before="100" w:beforeAutospacing="1" w:after="100" w:afterAutospacing="1" w:line="240" w:lineRule="auto"/>
              <w:ind w:left="153" w:right="153"/>
              <w:rPr>
                <w:rFonts w:ascii="Arial" w:eastAsia="Times New Roman" w:hAnsi="Arial" w:cs="Arial"/>
                <w:sz w:val="20"/>
                <w:szCs w:val="20"/>
                <w:lang w:eastAsia="en-AU"/>
              </w:rPr>
            </w:pPr>
            <w:r w:rsidRPr="00787248">
              <w:rPr>
                <w:rFonts w:ascii="Arial" w:eastAsia="Times New Roman" w:hAnsi="Arial" w:cs="Arial"/>
                <w:sz w:val="20"/>
                <w:szCs w:val="20"/>
                <w:lang w:eastAsia="en-AU"/>
              </w:rPr>
              <w:t>Development ensures that an essential electrical service</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is located to achieve the required storm tide immunity in</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the Defined Flood Event and maintain public safety at all</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times.</w:t>
            </w:r>
          </w:p>
          <w:p w:rsidR="00DF2958" w:rsidRPr="00C90FC5" w:rsidRDefault="00DF2958" w:rsidP="00C34DE8">
            <w:pPr>
              <w:spacing w:before="100" w:beforeAutospacing="1" w:after="100" w:afterAutospacing="1" w:line="240" w:lineRule="auto"/>
              <w:ind w:left="153"/>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sz w:val="18"/>
                <w:szCs w:val="20"/>
                <w:lang w:eastAsia="en-AU"/>
              </w:rPr>
              <w:t>–</w:t>
            </w:r>
            <w:r w:rsidRPr="00C34DE8">
              <w:rPr>
                <w:rFonts w:ascii="Arial" w:eastAsia="Times New Roman" w:hAnsi="Arial" w:cs="Arial"/>
                <w:sz w:val="18"/>
                <w:szCs w:val="20"/>
                <w:lang w:eastAsia="en-AU"/>
              </w:rPr>
              <w:t xml:space="preserve"> Construction of buildings in flood hazard areas of the Queensland Development Code.</w:t>
            </w:r>
          </w:p>
        </w:tc>
        <w:tc>
          <w:tcPr>
            <w:tcW w:w="1784" w:type="pct"/>
            <w:tcBorders>
              <w:top w:val="outset" w:sz="6" w:space="0" w:color="auto"/>
              <w:left w:val="outset" w:sz="6" w:space="0" w:color="auto"/>
              <w:bottom w:val="outset" w:sz="6" w:space="0" w:color="auto"/>
              <w:right w:val="outset" w:sz="6" w:space="0" w:color="auto"/>
            </w:tcBorders>
          </w:tcPr>
          <w:p w:rsidR="00DF2958"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w:t>
            </w:r>
          </w:p>
          <w:p w:rsidR="00DF2958" w:rsidRPr="00DF2958" w:rsidRDefault="00DF2958" w:rsidP="00DF2958">
            <w:pPr>
              <w:spacing w:before="100" w:beforeAutospacing="1" w:after="100" w:afterAutospacing="1" w:line="240" w:lineRule="auto"/>
              <w:ind w:left="150" w:right="150"/>
              <w:rPr>
                <w:rFonts w:ascii="Arial" w:eastAsia="Times New Roman" w:hAnsi="Arial" w:cs="Arial"/>
                <w:bCs/>
                <w:sz w:val="20"/>
                <w:szCs w:val="20"/>
                <w:lang w:eastAsia="en-AU"/>
              </w:rPr>
            </w:pPr>
            <w:r w:rsidRPr="00DF2958">
              <w:rPr>
                <w:rFonts w:ascii="Arial" w:eastAsia="Times New Roman" w:hAnsi="Arial" w:cs="Arial"/>
                <w:bCs/>
                <w:sz w:val="20"/>
                <w:szCs w:val="20"/>
                <w:lang w:eastAsia="en-AU"/>
              </w:rPr>
              <w:t>Development ensures that an essential electrical service is located above the flood planning level.</w:t>
            </w:r>
          </w:p>
          <w:p w:rsidR="00DF2958" w:rsidRPr="00C90FC5"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sidRPr="00C34DE8">
              <w:rPr>
                <w:rFonts w:ascii="Arial" w:eastAsia="Times New Roman" w:hAnsi="Arial" w:cs="Arial"/>
                <w:bCs/>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bCs/>
                <w:sz w:val="18"/>
                <w:szCs w:val="20"/>
                <w:lang w:eastAsia="en-AU"/>
              </w:rPr>
              <w:t>–</w:t>
            </w:r>
            <w:r w:rsidRPr="00C34DE8">
              <w:rPr>
                <w:rFonts w:ascii="Arial" w:eastAsia="Times New Roman" w:hAnsi="Arial" w:cs="Arial"/>
                <w:bCs/>
                <w:sz w:val="18"/>
                <w:szCs w:val="20"/>
                <w:lang w:eastAsia="en-AU"/>
              </w:rPr>
              <w:t xml:space="preserve"> Construction of buildings in flood hazard areas of the Queensland Development Code.</w:t>
            </w:r>
          </w:p>
        </w:tc>
        <w:tc>
          <w:tcPr>
            <w:tcW w:w="595" w:type="pct"/>
            <w:tcBorders>
              <w:top w:val="outset" w:sz="6" w:space="0" w:color="auto"/>
              <w:left w:val="outset" w:sz="6" w:space="0" w:color="auto"/>
              <w:bottom w:val="outset" w:sz="6" w:space="0" w:color="auto"/>
              <w:right w:val="outset" w:sz="6" w:space="0" w:color="auto"/>
            </w:tcBorders>
          </w:tcPr>
          <w:p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Reconfiguring a lot (boundary realignment)</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C34DE8">
        <w:trPr>
          <w:trHeight w:val="1813"/>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9E61E9">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designed to:</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 personal safety at all times;</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 increase the potential for erosion, scour or flood damage either on the premises or other premises, public land, watercourses, roads or infrastructure or elsewhere in the floodplain; </w:t>
            </w:r>
          </w:p>
          <w:p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 increase the risk to people, property and infrastructure located on the premises and other premises and where applicable the risk for future occupants is mitigated.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development footprint is located in an area other than a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or Erosion Prone Area.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312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entry points into the development are located to provide a safe and clear evacuation route path.</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Reconfiguring a lot (other than by boundary realignment)</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6360"/>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compatible with the intolerable or tolerable level of risk of the coastal hazard applicable to the premises such that reconfiguring a lot for creating lots by subdividing another lot: </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Erosion Prone Area, is only for the purpose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all resultant lots provide the required minimum lot size outside the Erosion Prone Area;         </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is only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Rural residential zone where the minimum lot size for each rural residential lot is provided outside the High risk storm tide inundation area; or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in the Rural zone</w:t>
            </w:r>
            <w:r w:rsidR="009E61E9">
              <w:rPr>
                <w:rFonts w:ascii="Arial" w:eastAsia="Times New Roman" w:hAnsi="Arial" w:cs="Arial"/>
                <w:sz w:val="20"/>
                <w:szCs w:val="20"/>
                <w:lang w:eastAsia="en-AU"/>
              </w:rPr>
              <w:t xml:space="preserve"> where a development footprint (flood and coastal) is provided outside the </w:t>
            </w:r>
            <w:proofErr w:type="gramStart"/>
            <w:r w:rsidR="009E61E9">
              <w:rPr>
                <w:rFonts w:ascii="Arial" w:eastAsia="Times New Roman" w:hAnsi="Arial" w:cs="Arial"/>
                <w:sz w:val="20"/>
                <w:szCs w:val="20"/>
                <w:lang w:eastAsia="en-AU"/>
              </w:rPr>
              <w:t>High risk</w:t>
            </w:r>
            <w:proofErr w:type="gramEnd"/>
            <w:r w:rsidR="009E61E9">
              <w:rPr>
                <w:rFonts w:ascii="Arial" w:eastAsia="Times New Roman" w:hAnsi="Arial" w:cs="Arial"/>
                <w:sz w:val="20"/>
                <w:szCs w:val="20"/>
                <w:lang w:eastAsia="en-AU"/>
              </w:rPr>
              <w:t xml:space="preserve"> area</w:t>
            </w:r>
            <w:r w:rsidRPr="00C90FC5">
              <w:rPr>
                <w:rFonts w:ascii="Arial" w:eastAsia="Times New Roman" w:hAnsi="Arial" w:cs="Arial"/>
                <w:sz w:val="20"/>
                <w:szCs w:val="20"/>
                <w:lang w:eastAsia="en-AU"/>
              </w:rPr>
              <w:t>; or</w:t>
            </w:r>
          </w:p>
          <w:p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occurs in the Medium risk storm tide inundation area: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Centre zone, Industry zone, or Recreation and open space zone,  where not for the purpose of a vulnerable use (flood and coastal); or </w:t>
            </w:r>
          </w:p>
          <w:p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in the Rural residential zone , where the minimum lot size for each rural residential lot is provided outside the Medium risk storm tide inundation area; or </w:t>
            </w:r>
          </w:p>
          <w:p w:rsid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in the Rural zone</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where a development</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 xml:space="preserve">footprint (flood </w:t>
            </w:r>
            <w:r w:rsidR="009E61E9" w:rsidRPr="009E61E9">
              <w:rPr>
                <w:rFonts w:ascii="Arial" w:eastAsia="Times New Roman" w:hAnsi="Arial" w:cs="Arial"/>
                <w:sz w:val="20"/>
                <w:szCs w:val="20"/>
                <w:lang w:eastAsia="en-AU"/>
              </w:rPr>
              <w:lastRenderedPageBreak/>
              <w:t>and coastal) is provided outside the Medium risk area</w:t>
            </w:r>
            <w:r w:rsidRPr="009E61E9">
              <w:rPr>
                <w:rFonts w:ascii="Arial" w:eastAsia="Times New Roman" w:hAnsi="Arial" w:cs="Arial"/>
                <w:sz w:val="20"/>
                <w:szCs w:val="20"/>
                <w:lang w:eastAsia="en-AU"/>
              </w:rPr>
              <w:t>; or</w:t>
            </w:r>
          </w:p>
          <w:p w:rsidR="00C90FC5" w:rsidRP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E61E9">
              <w:rPr>
                <w:rFonts w:ascii="Arial" w:eastAsia="Times New Roman" w:hAnsi="Arial" w:cs="Arial"/>
                <w:sz w:val="20"/>
                <w:szCs w:val="20"/>
                <w:lang w:eastAsia="en-AU"/>
              </w:rPr>
              <w:t xml:space="preserve">in any other zone, where: </w:t>
            </w:r>
          </w:p>
          <w:p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all resultant lots are located outside the Medium risk storm tide inundation area </w:t>
            </w:r>
            <w:r w:rsidR="009E61E9">
              <w:rPr>
                <w:rFonts w:ascii="Arial" w:eastAsia="Times New Roman" w:hAnsi="Arial" w:cs="Arial"/>
                <w:sz w:val="20"/>
                <w:szCs w:val="20"/>
                <w:lang w:eastAsia="en-AU"/>
              </w:rPr>
              <w:t xml:space="preserve">(or at the development planning level where filling is permitted) </w:t>
            </w:r>
            <w:r w:rsidRPr="00C90FC5">
              <w:rPr>
                <w:rFonts w:ascii="Arial" w:eastAsia="Times New Roman" w:hAnsi="Arial" w:cs="Arial"/>
                <w:sz w:val="20"/>
                <w:szCs w:val="20"/>
                <w:lang w:eastAsia="en-AU"/>
              </w:rPr>
              <w:t xml:space="preserve">other than those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or </w:t>
            </w:r>
          </w:p>
          <w:p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for a lot on a building format plan under the</w:t>
            </w:r>
            <w:r w:rsidRPr="00C90FC5">
              <w:rPr>
                <w:rFonts w:ascii="Arial" w:eastAsia="Times New Roman" w:hAnsi="Arial" w:cs="Arial"/>
                <w:i/>
                <w:iCs/>
                <w:sz w:val="20"/>
                <w:szCs w:val="20"/>
                <w:lang w:eastAsia="en-AU"/>
              </w:rPr>
              <w:t xml:space="preserve"> Land Title Act 1994</w:t>
            </w:r>
            <w:r w:rsidRPr="00C90FC5">
              <w:rPr>
                <w:rFonts w:ascii="Arial" w:eastAsia="Times New Roman" w:hAnsi="Arial" w:cs="Arial"/>
                <w:sz w:val="20"/>
                <w:szCs w:val="20"/>
                <w:lang w:eastAsia="en-AU"/>
              </w:rPr>
              <w:t xml:space="preserve"> which is subject to a community titles scheme under the </w:t>
            </w:r>
            <w:r w:rsidRPr="00C90FC5">
              <w:rPr>
                <w:rFonts w:ascii="Arial" w:eastAsia="Times New Roman" w:hAnsi="Arial" w:cs="Arial"/>
                <w:i/>
                <w:iCs/>
                <w:sz w:val="20"/>
                <w:szCs w:val="20"/>
                <w:lang w:eastAsia="en-AU"/>
              </w:rPr>
              <w:t>Body Corporate and Community Management Act 1997</w:t>
            </w:r>
            <w:r w:rsidRPr="00C90FC5">
              <w:rPr>
                <w:rFonts w:ascii="Arial" w:eastAsia="Times New Roman" w:hAnsi="Arial" w:cs="Arial"/>
                <w:sz w:val="20"/>
                <w:szCs w:val="20"/>
                <w:lang w:eastAsia="en-AU"/>
              </w:rPr>
              <w:t xml:space="preserve"> and is associated with a material of use; or </w:t>
            </w:r>
          </w:p>
          <w:p w:rsidR="00C90FC5" w:rsidRPr="00C90FC5" w:rsidRDefault="00C90FC5" w:rsidP="009E61E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in the Balance coastal planning area, where consistent with the overall outcomes of the applicable zone and precinct.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C34DE8">
        <w:trPr>
          <w:trHeight w:val="292"/>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w:t>
            </w:r>
            <w:proofErr w:type="gramStart"/>
            <w:r w:rsidRPr="00C90FC5">
              <w:rPr>
                <w:rFonts w:ascii="Arial" w:eastAsia="Times New Roman" w:hAnsi="Arial" w:cs="Arial"/>
                <w:sz w:val="20"/>
                <w:szCs w:val="20"/>
                <w:lang w:eastAsia="en-AU"/>
              </w:rPr>
              <w:t>is designed to ensure personal safety at all times</w:t>
            </w:r>
            <w:proofErr w:type="gramEnd"/>
            <w:r w:rsidRPr="00C90FC5">
              <w:rPr>
                <w:rFonts w:ascii="Arial" w:eastAsia="Times New Roman" w:hAnsi="Arial" w:cs="Arial"/>
                <w:sz w:val="20"/>
                <w:szCs w:val="20"/>
                <w:lang w:eastAsia="en-AU"/>
              </w:rPr>
              <w:t xml:space="preserve"> such that:</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storm tide immunity up to the Flood planning level is achieved;</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road layout avoids isolation in a coastal hazard event and does not impede evacuation;</w:t>
            </w:r>
          </w:p>
          <w:p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utilised to ensure that community members have a clear understanding of the nature of the risk of storm tide inundation in the area. </w:t>
            </w: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 xml:space="preserve">If the ground level is to be filled to the Flood planning level as permitted by </w:t>
            </w:r>
            <w:hyperlink r:id="rId17" w:anchor="ID-571941-TABLE-8.2.1.4" w:history="1">
              <w:r w:rsidRPr="00C34DE8">
                <w:rPr>
                  <w:rFonts w:ascii="Arial" w:eastAsia="Times New Roman" w:hAnsi="Arial" w:cs="Arial"/>
                  <w:i/>
                  <w:iCs/>
                  <w:sz w:val="20"/>
                  <w:szCs w:val="20"/>
                  <w:lang w:eastAsia="en-AU"/>
                </w:rPr>
                <w:t>Table 8.2.1.4 ‘Fill requirements’</w:t>
              </w:r>
            </w:hyperlink>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finished ground level for all additional lots, excluding a Park,</w:t>
            </w:r>
            <w:r w:rsidRPr="00C90FC5">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complies with the requirements of </w:t>
            </w:r>
            <w:hyperlink r:id="rId19"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516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.2</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road and pathway layout:</w:t>
            </w:r>
          </w:p>
          <w:p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ensures residents are not physically isolated from an adjacent storm tide inundation free urban area;</w:t>
            </w:r>
          </w:p>
          <w:p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provides a safe and clear evacuation route path by:</w:t>
            </w:r>
          </w:p>
          <w:p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locating entry points into the development above the requirements set out in Appendix C of Planning scheme policy - Integrated design and avoiding cul-de-sac or other non-permeable layouts; </w:t>
            </w:r>
          </w:p>
          <w:p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 and simple routes to a main carriageway.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9E61E9">
              <w:trPr>
                <w:tblCellSpacing w:w="15" w:type="dxa"/>
              </w:trPr>
              <w:tc>
                <w:tcPr>
                  <w:tcW w:w="5400"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It is important to ensure that new reconfigurations are not isolated from other urban areas in the event of a flood.</w:t>
                  </w:r>
                </w:p>
              </w:tc>
            </w:tr>
          </w:tbl>
          <w:p w:rsidR="00C34DE8" w:rsidRPr="00C34DE8" w:rsidRDefault="00C34DE8" w:rsidP="00C34DE8">
            <w:pPr>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.3</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new road and development access are provided in accordance with the requirements set out in Appendix C of Planning scheme policy - Integrated design.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3021"/>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rsidR="00C90FC5" w:rsidRPr="00C90FC5" w:rsidRDefault="00C90FC5" w:rsidP="00C90FC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provided on a road or pathway indicating the position and path of all safe evacuation routes off the premises; and </w:t>
            </w:r>
          </w:p>
          <w:p w:rsidR="00C90FC5" w:rsidRPr="00C90FC5" w:rsidRDefault="00C90FC5" w:rsidP="009E61E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the premises </w:t>
            </w:r>
            <w:proofErr w:type="gramStart"/>
            <w:r w:rsidRPr="00C90FC5">
              <w:rPr>
                <w:rFonts w:ascii="Arial" w:eastAsia="Times New Roman" w:hAnsi="Arial" w:cs="Arial"/>
                <w:sz w:val="20"/>
                <w:szCs w:val="20"/>
                <w:lang w:eastAsia="en-AU"/>
              </w:rPr>
              <w:t>contains</w:t>
            </w:r>
            <w:proofErr w:type="gramEnd"/>
            <w:r w:rsidRPr="00C90FC5">
              <w:rPr>
                <w:rFonts w:ascii="Arial" w:eastAsia="Times New Roman" w:hAnsi="Arial" w:cs="Arial"/>
                <w:sz w:val="20"/>
                <w:szCs w:val="20"/>
                <w:lang w:eastAsia="en-AU"/>
              </w:rPr>
              <w:t xml:space="preserve"> or is within 100m of an area subject to the Defined Flood Event, hazard warning signage and depth indicators are provided at each key hazard point, such as at a waterway crossing or an entrance to a low-lying reserve.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If the ground level is to be filled other than as permitted </w:t>
            </w:r>
            <w:r w:rsidRPr="00C34DE8">
              <w:rPr>
                <w:rFonts w:ascii="Arial" w:eastAsia="Times New Roman" w:hAnsi="Arial" w:cs="Arial"/>
                <w:i/>
                <w:iCs/>
                <w:sz w:val="20"/>
                <w:szCs w:val="20"/>
                <w:lang w:eastAsia="en-AU"/>
              </w:rPr>
              <w:t xml:space="preserve">by </w:t>
            </w:r>
            <w:hyperlink r:id="rId20" w:anchor="ID-571941-TABLE-8.2.1.4" w:history="1">
              <w:r w:rsidRPr="00C34DE8">
                <w:rPr>
                  <w:rFonts w:ascii="Arial" w:eastAsia="Times New Roman" w:hAnsi="Arial" w:cs="Arial"/>
                  <w:i/>
                  <w:iCs/>
                  <w:sz w:val="20"/>
                  <w:szCs w:val="20"/>
                  <w:lang w:eastAsia="en-AU"/>
                </w:rPr>
                <w:t>Table 8.2.1.4 ‘Fill requirements’</w:t>
              </w:r>
            </w:hyperlink>
          </w:p>
        </w:tc>
      </w:tr>
      <w:tr w:rsidR="00C90FC5" w:rsidRPr="00C90FC5" w:rsidTr="00F00779">
        <w:trPr>
          <w:trHeight w:val="210"/>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p w:rsidR="00C34DE8" w:rsidRPr="00C90FC5" w:rsidRDefault="00C34DE8"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1662" w:type="pct"/>
            <w:vMerge w:val="restar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infrastructure (excluding a road</w:t>
            </w:r>
            <w:r w:rsidR="009E61E9">
              <w:rPr>
                <w:rFonts w:ascii="Arial" w:eastAsia="Times New Roman" w:hAnsi="Arial" w:cs="Arial"/>
                <w:sz w:val="20"/>
                <w:szCs w:val="20"/>
                <w:lang w:eastAsia="en-AU"/>
              </w:rPr>
              <w:t xml:space="preserve"> and associated infrastructure</w:t>
            </w:r>
            <w:r w:rsidRPr="00C90FC5">
              <w:rPr>
                <w:rFonts w:ascii="Arial" w:eastAsia="Times New Roman" w:hAnsi="Arial" w:cs="Arial"/>
                <w:sz w:val="20"/>
                <w:szCs w:val="20"/>
                <w:lang w:eastAsia="en-AU"/>
              </w:rPr>
              <w:t>):</w:t>
            </w:r>
          </w:p>
          <w:p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located outside of the Erosion Prone Area, High risk storm tide inundation area and Medium risk storm tide inundation area; or </w:t>
            </w:r>
          </w:p>
          <w:p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otherwise located in the Erosion Prone Area, High risk storm tide inundation area or Medium risk storm tide inundation area to function during and after all coastal hazard events up to and including the Defined Flood Event. </w:t>
            </w: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Balance coastal planning area</w:t>
            </w:r>
          </w:p>
        </w:tc>
      </w:tr>
      <w:tr w:rsidR="00C90FC5" w:rsidRPr="00C90FC5" w:rsidTr="00F00779">
        <w:trPr>
          <w:trHeight w:val="2775"/>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4</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any component of infrastructure which is likely to fail to function or may result in contamination when inundated by storm tide is located above the Flood planning level; or </w:t>
            </w:r>
          </w:p>
          <w:p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infrastructure is designed, located and constructed to resist the hydrostatic and hydrodynamic forces as a result of inundation by the Defined Flood Event.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330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Erosion Prone Area, High risk storm tide inundation area or Medium risk storm tide inundation area</w:t>
            </w:r>
          </w:p>
        </w:tc>
      </w:tr>
      <w:tr w:rsidR="00C90FC5" w:rsidRPr="00C90FC5" w:rsidTr="00F00779">
        <w:trPr>
          <w:tblCellSpacing w:w="15" w:type="dxa"/>
        </w:trPr>
        <w:tc>
          <w:tcPr>
            <w:tcW w:w="1662" w:type="pct"/>
            <w:vMerge/>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Additional criteria for works whether or not associated with a material change of use, building work or reconfiguring a lot</w:t>
            </w: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5</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filling complies with the requirements of </w:t>
            </w:r>
            <w:hyperlink r:id="rId21"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 xml:space="preserve">.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358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6</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increase the potential for erosion, scour or flood damage either on the premises or other premises, public land, watercourses, roads or infrastructure or elsewhere in the floodplain; </w:t>
            </w:r>
          </w:p>
          <w:p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change the timing of the flood wave or impact on flood warning times.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52"/>
            </w:tblGrid>
            <w:tr w:rsidR="00C90FC5" w:rsidRPr="00C90FC5" w:rsidTr="00C90FC5">
              <w:trPr>
                <w:tblCellSpacing w:w="15" w:type="dxa"/>
              </w:trPr>
              <w:tc>
                <w:tcPr>
                  <w:tcW w:w="478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105"/>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involving hazardous chemicals</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480"/>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7</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hazardous chemicals are not located or stored in the Erosion Prone Area or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2265"/>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8</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Medium risk storm </w:t>
            </w:r>
            <w:proofErr w:type="gramStart"/>
            <w:r w:rsidRPr="00C90FC5">
              <w:rPr>
                <w:rFonts w:ascii="Arial" w:eastAsia="Times New Roman" w:hAnsi="Arial" w:cs="Arial"/>
                <w:sz w:val="20"/>
                <w:szCs w:val="20"/>
                <w:lang w:eastAsia="en-AU"/>
              </w:rPr>
              <w:t>tide  inundation</w:t>
            </w:r>
            <w:proofErr w:type="gramEnd"/>
            <w:r w:rsidRPr="00C90FC5">
              <w:rPr>
                <w:rFonts w:ascii="Arial" w:eastAsia="Times New Roman" w:hAnsi="Arial" w:cs="Arial"/>
                <w:sz w:val="20"/>
                <w:szCs w:val="20"/>
                <w:lang w:eastAsia="en-AU"/>
              </w:rPr>
              <w:t xml:space="preserve"> area and Balance coastal planning area ensures that public safety and risk to the environment are not adversely affected by a detrimental impact of a coastal hazard event on a hazardous chemical located or stored on the premises.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8</w:t>
            </w:r>
          </w:p>
          <w:p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32"/>
            </w:tblGrid>
            <w:tr w:rsidR="00C90FC5" w:rsidRPr="00C90FC5" w:rsidTr="00C90FC5">
              <w:trPr>
                <w:tblCellSpacing w:w="15" w:type="dxa"/>
              </w:trPr>
              <w:tc>
                <w:tcPr>
                  <w:tcW w:w="6342" w:type="dxa"/>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for community infrastructure</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9</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involving community infrastructure is not located in the Erosion Prone Area or </w:t>
            </w:r>
            <w:proofErr w:type="gramStart"/>
            <w:r w:rsidRPr="00C90FC5">
              <w:rPr>
                <w:rFonts w:ascii="Arial" w:eastAsia="Times New Roman" w:hAnsi="Arial" w:cs="Arial"/>
                <w:sz w:val="20"/>
                <w:szCs w:val="20"/>
                <w:lang w:eastAsia="en-AU"/>
              </w:rPr>
              <w:t>High risk</w:t>
            </w:r>
            <w:proofErr w:type="gramEnd"/>
            <w:r w:rsidRPr="00C90FC5">
              <w:rPr>
                <w:rFonts w:ascii="Arial" w:eastAsia="Times New Roman" w:hAnsi="Arial" w:cs="Arial"/>
                <w:sz w:val="20"/>
                <w:szCs w:val="20"/>
                <w:lang w:eastAsia="en-AU"/>
              </w:rPr>
              <w:t xml:space="preserve"> storm tide inundation area. </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rHeight w:val="4770"/>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w:t>
            </w:r>
            <w:r w:rsidR="00221DA7">
              <w:rPr>
                <w:rFonts w:ascii="Arial" w:eastAsia="Times New Roman" w:hAnsi="Arial" w:cs="Arial"/>
                <w:b/>
                <w:bCs/>
                <w:sz w:val="20"/>
                <w:szCs w:val="20"/>
                <w:lang w:eastAsia="en-AU"/>
              </w:rPr>
              <w:t>30</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community infrastructure in the Medium risk storm </w:t>
            </w:r>
            <w:proofErr w:type="gramStart"/>
            <w:r w:rsidRPr="00C90FC5">
              <w:rPr>
                <w:rFonts w:ascii="Arial" w:eastAsia="Times New Roman" w:hAnsi="Arial" w:cs="Arial"/>
                <w:sz w:val="20"/>
                <w:szCs w:val="20"/>
                <w:lang w:eastAsia="en-AU"/>
              </w:rPr>
              <w:t>tide  inundation</w:t>
            </w:r>
            <w:proofErr w:type="gramEnd"/>
            <w:r w:rsidRPr="00C90FC5">
              <w:rPr>
                <w:rFonts w:ascii="Arial" w:eastAsia="Times New Roman" w:hAnsi="Arial" w:cs="Arial"/>
                <w:sz w:val="20"/>
                <w:szCs w:val="20"/>
                <w:lang w:eastAsia="en-AU"/>
              </w:rPr>
              <w:t xml:space="preserve"> area or the Balance coastal planning area:</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remains functional to serve community needs during and immediately after the Defined Flood Event;  </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designed, sited and operated to avoid adverse impacts on the community or the environment due to the impacts of storm tide inundation on infrastructure, facilities or access and egress routes; </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retains essential site access during the Defined Flood Event;</w:t>
            </w:r>
          </w:p>
          <w:p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90FC5">
              <w:rPr>
                <w:rFonts w:ascii="Arial" w:eastAsia="Times New Roman" w:hAnsi="Arial" w:cs="Arial"/>
                <w:sz w:val="20"/>
                <w:szCs w:val="20"/>
                <w:lang w:eastAsia="en-AU"/>
              </w:rPr>
              <w:t>is able to</w:t>
            </w:r>
            <w:proofErr w:type="gramEnd"/>
            <w:r w:rsidRPr="00C90FC5">
              <w:rPr>
                <w:rFonts w:ascii="Arial" w:eastAsia="Times New Roman" w:hAnsi="Arial" w:cs="Arial"/>
                <w:sz w:val="20"/>
                <w:szCs w:val="20"/>
                <w:lang w:eastAsia="en-AU"/>
              </w:rPr>
              <w:t xml:space="preserve"> remain functional even when other infrastructure or services may be compromised in the Defined Flood Event.</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rsidTr="00F00779">
        <w:trPr>
          <w:tblCellSpacing w:w="15" w:type="dxa"/>
        </w:trPr>
        <w:tc>
          <w:tcPr>
            <w:tcW w:w="34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for a Park</w:t>
            </w:r>
            <w:r w:rsidRPr="00C90FC5">
              <w:rPr>
                <w:rFonts w:ascii="Arial" w:eastAsia="Times New Roman" w:hAnsi="Arial" w:cs="Arial"/>
                <w:b/>
                <w:bCs/>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w:t>
            </w:r>
          </w:p>
        </w:tc>
        <w:tc>
          <w:tcPr>
            <w:tcW w:w="595"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shd w:val="clear" w:color="auto" w:fill="CCCCCC"/>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rsidTr="00F00779">
        <w:trPr>
          <w:trHeight w:val="2160"/>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r w:rsidR="00221DA7">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that the design and layout responds to the nature of the coastal hazard affecting the premises in order to: </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maximise public benefit and enjoyment;</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impacts on the asset life and integrity of park</w:t>
            </w:r>
            <w:r w:rsidRPr="00C90FC5">
              <w:rPr>
                <w:rFonts w:ascii="Arial" w:eastAsia="Times New Roman" w:hAnsi="Arial" w:cs="Arial"/>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structures; </w:t>
            </w:r>
          </w:p>
          <w:p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maintenance and replacement costs.</w:t>
            </w:r>
          </w:p>
        </w:tc>
        <w:tc>
          <w:tcPr>
            <w:tcW w:w="17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w:t>
            </w:r>
            <w:r w:rsidR="00221DA7">
              <w:rPr>
                <w:rFonts w:ascii="Arial" w:eastAsia="Times New Roman" w:hAnsi="Arial" w:cs="Arial"/>
                <w:b/>
                <w:bCs/>
                <w:sz w:val="20"/>
                <w:szCs w:val="20"/>
                <w:lang w:eastAsia="en-AU"/>
              </w:rPr>
              <w:t>1</w:t>
            </w:r>
          </w:p>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works are provided in accordance with the requirements set out in Appendix B of Planning scheme policy - Integrated design. </w:t>
            </w:r>
          </w:p>
        </w:tc>
        <w:tc>
          <w:tcPr>
            <w:tcW w:w="595"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9" w:type="pct"/>
            <w:tcBorders>
              <w:top w:val="outset" w:sz="6" w:space="0" w:color="auto"/>
              <w:left w:val="outset" w:sz="6" w:space="0" w:color="auto"/>
              <w:bottom w:val="outset" w:sz="6" w:space="0" w:color="auto"/>
              <w:right w:val="outset" w:sz="6" w:space="0" w:color="auto"/>
            </w:tcBorders>
          </w:tcPr>
          <w:p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A3098" w:rsidRDefault="005A3098"/>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72"/>
        <w:gridCol w:w="3652"/>
        <w:gridCol w:w="7128"/>
      </w:tblGrid>
      <w:tr w:rsidR="00C90FC5" w:rsidRPr="00C90FC5" w:rsidTr="005A3098">
        <w:trPr>
          <w:tblCellSpacing w:w="15" w:type="dxa"/>
        </w:trPr>
        <w:tc>
          <w:tcPr>
            <w:tcW w:w="4980" w:type="pct"/>
            <w:gridSpan w:val="3"/>
            <w:tcBorders>
              <w:top w:val="nil"/>
              <w:left w:val="nil"/>
              <w:bottom w:val="nil"/>
              <w:right w:val="nil"/>
            </w:tcBorders>
            <w:shd w:val="clear" w:color="auto" w:fill="CCCCCC"/>
            <w:vAlign w:val="center"/>
            <w:hideMark/>
          </w:tcPr>
          <w:p w:rsidR="00C90FC5" w:rsidRPr="00C90FC5" w:rsidRDefault="005A3098" w:rsidP="00C90FC5">
            <w:pPr>
              <w:spacing w:before="100" w:beforeAutospacing="1" w:after="100" w:afterAutospacing="1" w:line="240" w:lineRule="auto"/>
              <w:jc w:val="center"/>
              <w:rPr>
                <w:rFonts w:ascii="Arial" w:eastAsia="Times New Roman" w:hAnsi="Arial" w:cs="Arial"/>
                <w:sz w:val="20"/>
                <w:szCs w:val="20"/>
                <w:lang w:eastAsia="en-AU"/>
              </w:rPr>
            </w:pPr>
            <w:r>
              <w:lastRenderedPageBreak/>
              <w:br w:type="page"/>
            </w:r>
            <w:bookmarkStart w:id="0" w:name="_GoBack"/>
            <w:bookmarkEnd w:id="0"/>
            <w:r w:rsidR="00C90FC5"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1184"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9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98"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C90FC5" w:rsidRPr="00C90FC5"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4"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98"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C90FC5" w:rsidRPr="00C90FC5" w:rsidTr="005A3098">
        <w:trPr>
          <w:tblCellSpacing w:w="15" w:type="dxa"/>
        </w:trPr>
        <w:tc>
          <w:tcPr>
            <w:tcW w:w="0" w:type="auto"/>
            <w:vAlign w:val="center"/>
            <w:hideMark/>
          </w:tcPr>
          <w:p w:rsidR="00C90FC5" w:rsidRPr="00C90FC5" w:rsidRDefault="00C90FC5" w:rsidP="005A309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rsidR="005A3098" w:rsidRDefault="005A3098"/>
    <w:p w:rsidR="005A3098" w:rsidRDefault="005A3098"/>
    <w:p w:rsidR="005A3098" w:rsidRDefault="005A3098"/>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8"/>
        <w:gridCol w:w="7870"/>
      </w:tblGrid>
      <w:tr w:rsidR="00C90FC5" w:rsidRPr="00C90FC5" w:rsidTr="005A3098">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rsidTr="005A3098">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500DC" w:rsidRDefault="008500DC"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is only permitted:</w:t>
            </w:r>
          </w:p>
          <w:p w:rsid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Where for the creation of stormwater infrastructure such as detention basins, bioretention and levees; or</w:t>
            </w:r>
          </w:p>
          <w:p w:rsidR="00C90FC5" w:rsidRP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 xml:space="preserve">In isolated areas of </w:t>
            </w:r>
            <w:proofErr w:type="gramStart"/>
            <w:r w:rsidRPr="00881A0B">
              <w:rPr>
                <w:rFonts w:eastAsia="Times New Roman" w:cs="Arial"/>
                <w:sz w:val="20"/>
                <w:szCs w:val="20"/>
                <w:lang w:eastAsia="en-AU"/>
              </w:rPr>
              <w:t>High risk</w:t>
            </w:r>
            <w:proofErr w:type="gramEnd"/>
            <w:r w:rsidRPr="00881A0B">
              <w:rPr>
                <w:rFonts w:eastAsia="Times New Roman" w:cs="Arial"/>
                <w:sz w:val="20"/>
                <w:szCs w:val="20"/>
                <w:lang w:eastAsia="en-AU"/>
              </w:rPr>
              <w:t xml:space="preserve"> storm tide inundation where the storm tide maximum flow velocity is less than 0.5 metres per second, filling may be permitted in accordance with the requirements for the Medium risk storm tide inundation area.</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rsidR="00881A0B"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sidRPr="00881A0B">
              <w:rPr>
                <w:rFonts w:ascii="Arial" w:eastAsia="Times New Roman" w:hAnsi="Arial" w:cs="Arial"/>
                <w:sz w:val="20"/>
                <w:szCs w:val="20"/>
                <w:lang w:eastAsia="en-AU"/>
              </w:rPr>
              <w:t>For reconfiguring a lot - filling permitted as a minimum to</w:t>
            </w:r>
            <w:r>
              <w:rPr>
                <w:rFonts w:ascii="Arial" w:eastAsia="Times New Roman" w:hAnsi="Arial" w:cs="Arial"/>
                <w:sz w:val="20"/>
                <w:szCs w:val="20"/>
                <w:lang w:eastAsia="en-AU"/>
              </w:rPr>
              <w:t xml:space="preserve"> </w:t>
            </w:r>
            <w:r w:rsidRPr="00881A0B">
              <w:rPr>
                <w:rFonts w:ascii="Arial" w:eastAsia="Times New Roman" w:hAnsi="Arial" w:cs="Arial"/>
                <w:sz w:val="20"/>
                <w:szCs w:val="20"/>
                <w:lang w:eastAsia="en-AU"/>
              </w:rPr>
              <w:t>the Flood planning level.</w:t>
            </w:r>
          </w:p>
          <w:p w:rsidR="00C90FC5" w:rsidRPr="00C90FC5"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For all other - </w:t>
            </w:r>
            <w:r w:rsidR="00C90FC5" w:rsidRPr="00C90FC5">
              <w:rPr>
                <w:rFonts w:ascii="Arial" w:eastAsia="Times New Roman" w:hAnsi="Arial" w:cs="Arial"/>
                <w:sz w:val="20"/>
                <w:szCs w:val="20"/>
                <w:lang w:eastAsia="en-AU"/>
              </w:rPr>
              <w:t>Filling permitted as a minimum to the Year 2100 Highest Astronomical Tide level.</w:t>
            </w:r>
          </w:p>
        </w:tc>
      </w:tr>
      <w:tr w:rsidR="00C90FC5" w:rsidRPr="00C90FC5"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Filling </w:t>
            </w:r>
            <w:r w:rsidR="00881A0B">
              <w:rPr>
                <w:rFonts w:ascii="Arial" w:eastAsia="Times New Roman" w:hAnsi="Arial" w:cs="Arial"/>
                <w:sz w:val="20"/>
                <w:szCs w:val="20"/>
                <w:lang w:eastAsia="en-AU"/>
              </w:rPr>
              <w:t>permitted as a minimum to the Flood planning level.</w:t>
            </w:r>
          </w:p>
        </w:tc>
      </w:tr>
    </w:tbl>
    <w:p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C90FC5" w:rsidRPr="00C90FC5" w:rsidTr="00C90FC5">
        <w:trPr>
          <w:tblCellSpacing w:w="15" w:type="dxa"/>
        </w:trPr>
        <w:tc>
          <w:tcPr>
            <w:tcW w:w="0" w:type="auto"/>
            <w:vAlign w:val="center"/>
            <w:hideMark/>
          </w:tcPr>
          <w:p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Year 2100 Highest Astronomical Tide level is available on Council's Flood Check </w:t>
            </w:r>
            <w:r w:rsidR="00881A0B">
              <w:rPr>
                <w:rFonts w:ascii="Arial" w:eastAsia="Times New Roman" w:hAnsi="Arial" w:cs="Arial"/>
                <w:sz w:val="20"/>
                <w:szCs w:val="20"/>
                <w:lang w:eastAsia="en-AU"/>
              </w:rPr>
              <w:t>Development Report</w:t>
            </w:r>
            <w:r w:rsidRPr="00C90FC5">
              <w:rPr>
                <w:rFonts w:ascii="Arial" w:eastAsia="Times New Roman" w:hAnsi="Arial" w:cs="Arial"/>
                <w:sz w:val="20"/>
                <w:szCs w:val="20"/>
                <w:lang w:eastAsia="en-AU"/>
              </w:rPr>
              <w:t xml:space="preserve"> via https://www.moretonbay.qld.gov.au/floodcheck/.</w:t>
            </w:r>
          </w:p>
        </w:tc>
      </w:tr>
    </w:tbl>
    <w:p w:rsidR="00641E2E" w:rsidRPr="00C90FC5" w:rsidRDefault="00641E2E" w:rsidP="00C90FC5">
      <w:pPr>
        <w:spacing w:before="100" w:beforeAutospacing="1" w:after="100" w:afterAutospacing="1" w:line="240" w:lineRule="auto"/>
        <w:rPr>
          <w:rFonts w:ascii="Arial" w:hAnsi="Arial" w:cs="Arial"/>
          <w:sz w:val="20"/>
          <w:szCs w:val="20"/>
        </w:rPr>
      </w:pPr>
    </w:p>
    <w:sectPr w:rsidR="00641E2E" w:rsidRPr="00C90FC5" w:rsidSect="00C90FC5">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81" w:rsidRDefault="00191C81" w:rsidP="00C90FC5">
      <w:pPr>
        <w:spacing w:after="0" w:line="240" w:lineRule="auto"/>
      </w:pPr>
      <w:r>
        <w:separator/>
      </w:r>
    </w:p>
  </w:endnote>
  <w:endnote w:type="continuationSeparator" w:id="0">
    <w:p w:rsidR="00191C81" w:rsidRDefault="00191C81" w:rsidP="00C9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48" w:rsidRPr="00C90FC5" w:rsidRDefault="00787248" w:rsidP="00C90FC5">
    <w:pPr>
      <w:pStyle w:val="Footer"/>
      <w:tabs>
        <w:tab w:val="left" w:pos="1356"/>
        <w:tab w:val="center" w:pos="7699"/>
      </w:tabs>
      <w:rPr>
        <w:rFonts w:ascii="Arial" w:hAnsi="Arial" w:cs="Arial"/>
        <w:i/>
        <w:sz w:val="20"/>
        <w:szCs w:val="20"/>
      </w:rPr>
    </w:pP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MBRC Planning Scheme</w:t>
    </w:r>
    <w:r w:rsidR="00450AAE">
      <w:rPr>
        <w:rFonts w:ascii="Arial" w:hAnsi="Arial" w:cs="Arial"/>
        <w:i/>
        <w:sz w:val="20"/>
        <w:szCs w:val="20"/>
      </w:rPr>
      <w:t xml:space="preserve"> Version 4 </w:t>
    </w:r>
    <w:r w:rsidRPr="005A0BA0">
      <w:rPr>
        <w:rFonts w:ascii="Arial" w:hAnsi="Arial" w:cs="Arial"/>
        <w:i/>
        <w:sz w:val="20"/>
        <w:szCs w:val="20"/>
      </w:rPr>
      <w:t xml:space="preserve">- </w:t>
    </w:r>
    <w:r>
      <w:rPr>
        <w:rFonts w:ascii="Arial" w:hAnsi="Arial" w:cs="Arial"/>
        <w:i/>
        <w:sz w:val="20"/>
        <w:szCs w:val="20"/>
      </w:rPr>
      <w:t xml:space="preserve">Overlay code - Coastal hazard - </w:t>
    </w:r>
    <w:r w:rsidRPr="005A0BA0">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18</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81" w:rsidRDefault="00191C81" w:rsidP="00C90FC5">
      <w:pPr>
        <w:spacing w:after="0" w:line="240" w:lineRule="auto"/>
      </w:pPr>
      <w:r>
        <w:separator/>
      </w:r>
    </w:p>
  </w:footnote>
  <w:footnote w:type="continuationSeparator" w:id="0">
    <w:p w:rsidR="00191C81" w:rsidRDefault="00191C81" w:rsidP="00C90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498"/>
    <w:multiLevelType w:val="multilevel"/>
    <w:tmpl w:val="AFC4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A59E1"/>
    <w:multiLevelType w:val="multilevel"/>
    <w:tmpl w:val="CB20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3F2488"/>
    <w:multiLevelType w:val="multilevel"/>
    <w:tmpl w:val="7AFA3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A426D"/>
    <w:multiLevelType w:val="multilevel"/>
    <w:tmpl w:val="30083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532D7B"/>
    <w:multiLevelType w:val="multilevel"/>
    <w:tmpl w:val="17928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3555B"/>
    <w:multiLevelType w:val="multilevel"/>
    <w:tmpl w:val="88CA4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F79A9"/>
    <w:multiLevelType w:val="multilevel"/>
    <w:tmpl w:val="4538CF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1642CE"/>
    <w:multiLevelType w:val="multilevel"/>
    <w:tmpl w:val="59BAA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213A0F"/>
    <w:multiLevelType w:val="multilevel"/>
    <w:tmpl w:val="155CD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0E5D"/>
    <w:multiLevelType w:val="multilevel"/>
    <w:tmpl w:val="72C08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C27DD3"/>
    <w:multiLevelType w:val="multilevel"/>
    <w:tmpl w:val="AAE0F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B6382D"/>
    <w:multiLevelType w:val="multilevel"/>
    <w:tmpl w:val="AE348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982D24"/>
    <w:multiLevelType w:val="multilevel"/>
    <w:tmpl w:val="03C85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08393A"/>
    <w:multiLevelType w:val="multilevel"/>
    <w:tmpl w:val="65165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FD72D5"/>
    <w:multiLevelType w:val="multilevel"/>
    <w:tmpl w:val="32962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2B050B"/>
    <w:multiLevelType w:val="multilevel"/>
    <w:tmpl w:val="2DC2BD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61110F3"/>
    <w:multiLevelType w:val="multilevel"/>
    <w:tmpl w:val="D1A2B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4F73CD"/>
    <w:multiLevelType w:val="multilevel"/>
    <w:tmpl w:val="5A9CA3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E042B9"/>
    <w:multiLevelType w:val="multilevel"/>
    <w:tmpl w:val="ED2EC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C927000"/>
    <w:multiLevelType w:val="multilevel"/>
    <w:tmpl w:val="F4527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833AA5"/>
    <w:multiLevelType w:val="multilevel"/>
    <w:tmpl w:val="37227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1454BF"/>
    <w:multiLevelType w:val="multilevel"/>
    <w:tmpl w:val="C26A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0B672E"/>
    <w:multiLevelType w:val="multilevel"/>
    <w:tmpl w:val="4BD8F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9D6A01"/>
    <w:multiLevelType w:val="multilevel"/>
    <w:tmpl w:val="C6B6D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9D2174"/>
    <w:multiLevelType w:val="hybridMultilevel"/>
    <w:tmpl w:val="4D5C175C"/>
    <w:lvl w:ilvl="0" w:tplc="0C09000F">
      <w:start w:val="1"/>
      <w:numFmt w:val="decimal"/>
      <w:lvlText w:val="%1."/>
      <w:lvlJc w:val="left"/>
      <w:pPr>
        <w:ind w:left="870" w:hanging="360"/>
      </w:pPr>
    </w:lvl>
    <w:lvl w:ilvl="1" w:tplc="0C090019">
      <w:start w:val="1"/>
      <w:numFmt w:val="lowerLetter"/>
      <w:lvlText w:val="%2."/>
      <w:lvlJc w:val="left"/>
      <w:pPr>
        <w:ind w:left="1590" w:hanging="360"/>
      </w:pPr>
    </w:lvl>
    <w:lvl w:ilvl="2" w:tplc="0C09001B">
      <w:start w:val="1"/>
      <w:numFmt w:val="lowerRoman"/>
      <w:lvlText w:val="%3."/>
      <w:lvlJc w:val="right"/>
      <w:pPr>
        <w:ind w:left="2310" w:hanging="180"/>
      </w:pPr>
    </w:lvl>
    <w:lvl w:ilvl="3" w:tplc="0C09000F">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num w:numId="1">
    <w:abstractNumId w:val="20"/>
  </w:num>
  <w:num w:numId="2">
    <w:abstractNumId w:val="15"/>
  </w:num>
  <w:num w:numId="3">
    <w:abstractNumId w:val="22"/>
  </w:num>
  <w:num w:numId="4">
    <w:abstractNumId w:val="8"/>
  </w:num>
  <w:num w:numId="5">
    <w:abstractNumId w:val="11"/>
  </w:num>
  <w:num w:numId="6">
    <w:abstractNumId w:val="9"/>
  </w:num>
  <w:num w:numId="7">
    <w:abstractNumId w:val="23"/>
  </w:num>
  <w:num w:numId="8">
    <w:abstractNumId w:val="7"/>
  </w:num>
  <w:num w:numId="9">
    <w:abstractNumId w:val="0"/>
  </w:num>
  <w:num w:numId="10">
    <w:abstractNumId w:val="3"/>
  </w:num>
  <w:num w:numId="11">
    <w:abstractNumId w:val="2"/>
  </w:num>
  <w:num w:numId="12">
    <w:abstractNumId w:val="1"/>
  </w:num>
  <w:num w:numId="13">
    <w:abstractNumId w:val="17"/>
  </w:num>
  <w:num w:numId="14">
    <w:abstractNumId w:val="21"/>
  </w:num>
  <w:num w:numId="15">
    <w:abstractNumId w:val="18"/>
  </w:num>
  <w:num w:numId="16">
    <w:abstractNumId w:val="10"/>
  </w:num>
  <w:num w:numId="17">
    <w:abstractNumId w:val="16"/>
  </w:num>
  <w:num w:numId="18">
    <w:abstractNumId w:val="6"/>
  </w:num>
  <w:num w:numId="19">
    <w:abstractNumId w:val="19"/>
  </w:num>
  <w:num w:numId="20">
    <w:abstractNumId w:val="24"/>
  </w:num>
  <w:num w:numId="21">
    <w:abstractNumId w:val="5"/>
  </w:num>
  <w:num w:numId="22">
    <w:abstractNumId w:val="14"/>
  </w:num>
  <w:num w:numId="23">
    <w:abstractNumId w:val="13"/>
  </w:num>
  <w:num w:numId="24">
    <w:abstractNumId w:val="4"/>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C5"/>
    <w:rsid w:val="000C159D"/>
    <w:rsid w:val="00191C81"/>
    <w:rsid w:val="00221DA7"/>
    <w:rsid w:val="00450AAE"/>
    <w:rsid w:val="004E0E41"/>
    <w:rsid w:val="005A3098"/>
    <w:rsid w:val="0062293D"/>
    <w:rsid w:val="00641E2E"/>
    <w:rsid w:val="006422D6"/>
    <w:rsid w:val="006D2C67"/>
    <w:rsid w:val="00787248"/>
    <w:rsid w:val="008500DC"/>
    <w:rsid w:val="00881A0B"/>
    <w:rsid w:val="009E61E9"/>
    <w:rsid w:val="00BA7A31"/>
    <w:rsid w:val="00C34DE8"/>
    <w:rsid w:val="00C90FC5"/>
    <w:rsid w:val="00D004AB"/>
    <w:rsid w:val="00D15CF4"/>
    <w:rsid w:val="00DF2958"/>
    <w:rsid w:val="00F00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0C1F"/>
  <w15:chartTrackingRefBased/>
  <w15:docId w15:val="{7066D250-4BC1-48AA-BDE4-B506A3F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0FC5"/>
    <w:rPr>
      <w:i/>
      <w:iCs/>
    </w:rPr>
  </w:style>
  <w:style w:type="character" w:styleId="Strong">
    <w:name w:val="Strong"/>
    <w:basedOn w:val="DefaultParagraphFont"/>
    <w:uiPriority w:val="22"/>
    <w:qFormat/>
    <w:rsid w:val="00C90FC5"/>
    <w:rPr>
      <w:b/>
      <w:bCs/>
    </w:rPr>
  </w:style>
  <w:style w:type="paragraph" w:styleId="Header">
    <w:name w:val="header"/>
    <w:basedOn w:val="Normal"/>
    <w:link w:val="HeaderChar"/>
    <w:uiPriority w:val="99"/>
    <w:unhideWhenUsed/>
    <w:rsid w:val="00C90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C5"/>
  </w:style>
  <w:style w:type="paragraph" w:styleId="Footer">
    <w:name w:val="footer"/>
    <w:basedOn w:val="Normal"/>
    <w:link w:val="FooterChar"/>
    <w:uiPriority w:val="99"/>
    <w:unhideWhenUsed/>
    <w:rsid w:val="00C90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C5"/>
  </w:style>
  <w:style w:type="paragraph" w:styleId="ListParagraph">
    <w:name w:val="List Paragraph"/>
    <w:basedOn w:val="Normal"/>
    <w:uiPriority w:val="34"/>
    <w:qFormat/>
    <w:rsid w:val="00C90FC5"/>
    <w:pPr>
      <w:spacing w:after="200" w:line="276" w:lineRule="auto"/>
      <w:ind w:left="720"/>
      <w:contextualSpacing/>
    </w:pPr>
    <w:rPr>
      <w:rFonts w:ascii="Arial" w:hAnsi="Arial"/>
    </w:rPr>
  </w:style>
  <w:style w:type="character" w:styleId="Hyperlink">
    <w:name w:val="Hyperlink"/>
    <w:basedOn w:val="DefaultParagraphFont"/>
    <w:uiPriority w:val="99"/>
    <w:unhideWhenUsed/>
    <w:rsid w:val="00787248"/>
    <w:rPr>
      <w:color w:val="0563C1" w:themeColor="hyperlink"/>
      <w:u w:val="single"/>
    </w:rPr>
  </w:style>
  <w:style w:type="character" w:styleId="UnresolvedMention">
    <w:name w:val="Unresolved Mention"/>
    <w:basedOn w:val="DefaultParagraphFont"/>
    <w:uiPriority w:val="99"/>
    <w:semiHidden/>
    <w:unhideWhenUsed/>
    <w:rsid w:val="00787248"/>
    <w:rPr>
      <w:color w:val="605E5C"/>
      <w:shd w:val="clear" w:color="auto" w:fill="E1DFDD"/>
    </w:rPr>
  </w:style>
  <w:style w:type="character" w:styleId="FollowedHyperlink">
    <w:name w:val="FollowedHyperlink"/>
    <w:basedOn w:val="DefaultParagraphFont"/>
    <w:uiPriority w:val="99"/>
    <w:semiHidden/>
    <w:unhideWhenUsed/>
    <w:rsid w:val="00787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3090">
      <w:bodyDiv w:val="1"/>
      <w:marLeft w:val="0"/>
      <w:marRight w:val="0"/>
      <w:marTop w:val="0"/>
      <w:marBottom w:val="0"/>
      <w:divBdr>
        <w:top w:val="none" w:sz="0" w:space="0" w:color="auto"/>
        <w:left w:val="none" w:sz="0" w:space="0" w:color="auto"/>
        <w:bottom w:val="none" w:sz="0" w:space="0" w:color="auto"/>
        <w:right w:val="none" w:sz="0" w:space="0" w:color="auto"/>
      </w:divBdr>
      <w:divsChild>
        <w:div w:id="82068517">
          <w:marLeft w:val="0"/>
          <w:marRight w:val="0"/>
          <w:marTop w:val="0"/>
          <w:marBottom w:val="0"/>
          <w:divBdr>
            <w:top w:val="none" w:sz="0" w:space="0" w:color="auto"/>
            <w:left w:val="none" w:sz="0" w:space="0" w:color="auto"/>
            <w:bottom w:val="none" w:sz="0" w:space="0" w:color="auto"/>
            <w:right w:val="none" w:sz="0" w:space="0" w:color="auto"/>
          </w:divBdr>
          <w:divsChild>
            <w:div w:id="423305568">
              <w:marLeft w:val="0"/>
              <w:marRight w:val="0"/>
              <w:marTop w:val="150"/>
              <w:marBottom w:val="0"/>
              <w:divBdr>
                <w:top w:val="none" w:sz="0" w:space="0" w:color="auto"/>
                <w:left w:val="none" w:sz="0" w:space="0" w:color="auto"/>
                <w:bottom w:val="none" w:sz="0" w:space="0" w:color="auto"/>
                <w:right w:val="none" w:sz="0" w:space="0" w:color="auto"/>
              </w:divBdr>
              <w:divsChild>
                <w:div w:id="1476292620">
                  <w:marLeft w:val="3300"/>
                  <w:marRight w:val="0"/>
                  <w:marTop w:val="0"/>
                  <w:marBottom w:val="0"/>
                  <w:divBdr>
                    <w:top w:val="none" w:sz="0" w:space="0" w:color="auto"/>
                    <w:left w:val="none" w:sz="0" w:space="0" w:color="auto"/>
                    <w:bottom w:val="none" w:sz="0" w:space="0" w:color="auto"/>
                    <w:right w:val="none" w:sz="0" w:space="0" w:color="auto"/>
                  </w:divBdr>
                  <w:divsChild>
                    <w:div w:id="1205293077">
                      <w:marLeft w:val="0"/>
                      <w:marRight w:val="0"/>
                      <w:marTop w:val="0"/>
                      <w:marBottom w:val="0"/>
                      <w:divBdr>
                        <w:top w:val="single" w:sz="6" w:space="7" w:color="A8A8A8"/>
                        <w:left w:val="single" w:sz="2" w:space="14" w:color="A8A8A8"/>
                        <w:bottom w:val="single" w:sz="6" w:space="7" w:color="A8A8A8"/>
                        <w:right w:val="single" w:sz="2" w:space="14" w:color="A8A8A8"/>
                      </w:divBdr>
                      <w:divsChild>
                        <w:div w:id="1671983838">
                          <w:marLeft w:val="0"/>
                          <w:marRight w:val="0"/>
                          <w:marTop w:val="0"/>
                          <w:marBottom w:val="0"/>
                          <w:divBdr>
                            <w:top w:val="none" w:sz="0" w:space="0" w:color="auto"/>
                            <w:left w:val="none" w:sz="0" w:space="0" w:color="auto"/>
                            <w:bottom w:val="none" w:sz="0" w:space="0" w:color="auto"/>
                            <w:right w:val="none" w:sz="0" w:space="0" w:color="auto"/>
                          </w:divBdr>
                          <w:divsChild>
                            <w:div w:id="1907567742">
                              <w:marLeft w:val="0"/>
                              <w:marRight w:val="0"/>
                              <w:marTop w:val="0"/>
                              <w:marBottom w:val="0"/>
                              <w:divBdr>
                                <w:top w:val="none" w:sz="0" w:space="0" w:color="auto"/>
                                <w:left w:val="none" w:sz="0" w:space="0" w:color="auto"/>
                                <w:bottom w:val="none" w:sz="0" w:space="0" w:color="auto"/>
                                <w:right w:val="none" w:sz="0" w:space="0" w:color="auto"/>
                              </w:divBdr>
                              <w:divsChild>
                                <w:div w:id="1863738808">
                                  <w:marLeft w:val="0"/>
                                  <w:marRight w:val="0"/>
                                  <w:marTop w:val="0"/>
                                  <w:marBottom w:val="0"/>
                                  <w:divBdr>
                                    <w:top w:val="none" w:sz="0" w:space="0" w:color="auto"/>
                                    <w:left w:val="none" w:sz="0" w:space="0" w:color="auto"/>
                                    <w:bottom w:val="none" w:sz="0" w:space="0" w:color="auto"/>
                                    <w:right w:val="none" w:sz="0" w:space="0" w:color="auto"/>
                                  </w:divBdr>
                                  <w:divsChild>
                                    <w:div w:id="1920359467">
                                      <w:marLeft w:val="0"/>
                                      <w:marRight w:val="0"/>
                                      <w:marTop w:val="0"/>
                                      <w:marBottom w:val="0"/>
                                      <w:divBdr>
                                        <w:top w:val="none" w:sz="0" w:space="0" w:color="auto"/>
                                        <w:left w:val="none" w:sz="0" w:space="0" w:color="auto"/>
                                        <w:bottom w:val="none" w:sz="0" w:space="0" w:color="auto"/>
                                        <w:right w:val="none" w:sz="0" w:space="0" w:color="auto"/>
                                      </w:divBdr>
                                      <w:divsChild>
                                        <w:div w:id="1821385036">
                                          <w:marLeft w:val="0"/>
                                          <w:marRight w:val="0"/>
                                          <w:marTop w:val="0"/>
                                          <w:marBottom w:val="0"/>
                                          <w:divBdr>
                                            <w:top w:val="none" w:sz="0" w:space="0" w:color="auto"/>
                                            <w:left w:val="none" w:sz="0" w:space="0" w:color="auto"/>
                                            <w:bottom w:val="none" w:sz="0" w:space="0" w:color="auto"/>
                                            <w:right w:val="none" w:sz="0" w:space="0" w:color="auto"/>
                                          </w:divBdr>
                                          <w:divsChild>
                                            <w:div w:id="1601065492">
                                              <w:marLeft w:val="0"/>
                                              <w:marRight w:val="0"/>
                                              <w:marTop w:val="0"/>
                                              <w:marBottom w:val="0"/>
                                              <w:divBdr>
                                                <w:top w:val="none" w:sz="0" w:space="0" w:color="auto"/>
                                                <w:left w:val="none" w:sz="0" w:space="0" w:color="auto"/>
                                                <w:bottom w:val="none" w:sz="0" w:space="0" w:color="auto"/>
                                                <w:right w:val="none" w:sz="0" w:space="0" w:color="auto"/>
                                              </w:divBdr>
                                              <w:divsChild>
                                                <w:div w:id="283539404">
                                                  <w:marLeft w:val="0"/>
                                                  <w:marRight w:val="0"/>
                                                  <w:marTop w:val="0"/>
                                                  <w:marBottom w:val="0"/>
                                                  <w:divBdr>
                                                    <w:top w:val="none" w:sz="0" w:space="0" w:color="auto"/>
                                                    <w:left w:val="none" w:sz="0" w:space="0" w:color="auto"/>
                                                    <w:bottom w:val="none" w:sz="0" w:space="0" w:color="auto"/>
                                                    <w:right w:val="none" w:sz="0" w:space="0" w:color="auto"/>
                                                  </w:divBdr>
                                                  <w:divsChild>
                                                    <w:div w:id="248739075">
                                                      <w:marLeft w:val="0"/>
                                                      <w:marRight w:val="0"/>
                                                      <w:marTop w:val="0"/>
                                                      <w:marBottom w:val="0"/>
                                                      <w:divBdr>
                                                        <w:top w:val="none" w:sz="0" w:space="0" w:color="auto"/>
                                                        <w:left w:val="none" w:sz="0" w:space="0" w:color="auto"/>
                                                        <w:bottom w:val="none" w:sz="0" w:space="0" w:color="auto"/>
                                                        <w:right w:val="none" w:sz="0" w:space="0" w:color="auto"/>
                                                      </w:divBdr>
                                                    </w:div>
                                                  </w:divsChild>
                                                </w:div>
                                                <w:div w:id="922909822">
                                                  <w:marLeft w:val="0"/>
                                                  <w:marRight w:val="0"/>
                                                  <w:marTop w:val="0"/>
                                                  <w:marBottom w:val="0"/>
                                                  <w:divBdr>
                                                    <w:top w:val="none" w:sz="0" w:space="0" w:color="auto"/>
                                                    <w:left w:val="none" w:sz="0" w:space="0" w:color="auto"/>
                                                    <w:bottom w:val="none" w:sz="0" w:space="0" w:color="auto"/>
                                                    <w:right w:val="none" w:sz="0" w:space="0" w:color="auto"/>
                                                  </w:divBdr>
                                                  <w:divsChild>
                                                    <w:div w:id="829370106">
                                                      <w:marLeft w:val="0"/>
                                                      <w:marRight w:val="0"/>
                                                      <w:marTop w:val="0"/>
                                                      <w:marBottom w:val="0"/>
                                                      <w:divBdr>
                                                        <w:top w:val="none" w:sz="0" w:space="0" w:color="auto"/>
                                                        <w:left w:val="none" w:sz="0" w:space="0" w:color="auto"/>
                                                        <w:bottom w:val="none" w:sz="0" w:space="0" w:color="auto"/>
                                                        <w:right w:val="none" w:sz="0" w:space="0" w:color="auto"/>
                                                      </w:divBdr>
                                                    </w:div>
                                                  </w:divsChild>
                                                </w:div>
                                                <w:div w:id="363869030">
                                                  <w:marLeft w:val="0"/>
                                                  <w:marRight w:val="0"/>
                                                  <w:marTop w:val="0"/>
                                                  <w:marBottom w:val="0"/>
                                                  <w:divBdr>
                                                    <w:top w:val="none" w:sz="0" w:space="0" w:color="auto"/>
                                                    <w:left w:val="none" w:sz="0" w:space="0" w:color="auto"/>
                                                    <w:bottom w:val="none" w:sz="0" w:space="0" w:color="auto"/>
                                                    <w:right w:val="none" w:sz="0" w:space="0" w:color="auto"/>
                                                  </w:divBdr>
                                                  <w:divsChild>
                                                    <w:div w:id="1775132649">
                                                      <w:marLeft w:val="0"/>
                                                      <w:marRight w:val="0"/>
                                                      <w:marTop w:val="0"/>
                                                      <w:marBottom w:val="0"/>
                                                      <w:divBdr>
                                                        <w:top w:val="none" w:sz="0" w:space="0" w:color="auto"/>
                                                        <w:left w:val="none" w:sz="0" w:space="0" w:color="auto"/>
                                                        <w:bottom w:val="none" w:sz="0" w:space="0" w:color="auto"/>
                                                        <w:right w:val="none" w:sz="0" w:space="0" w:color="auto"/>
                                                      </w:divBdr>
                                                    </w:div>
                                                  </w:divsChild>
                                                </w:div>
                                                <w:div w:id="203299151">
                                                  <w:marLeft w:val="0"/>
                                                  <w:marRight w:val="0"/>
                                                  <w:marTop w:val="0"/>
                                                  <w:marBottom w:val="0"/>
                                                  <w:divBdr>
                                                    <w:top w:val="none" w:sz="0" w:space="0" w:color="auto"/>
                                                    <w:left w:val="none" w:sz="0" w:space="0" w:color="auto"/>
                                                    <w:bottom w:val="none" w:sz="0" w:space="0" w:color="auto"/>
                                                    <w:right w:val="none" w:sz="0" w:space="0" w:color="auto"/>
                                                  </w:divBdr>
                                                  <w:divsChild>
                                                    <w:div w:id="766312538">
                                                      <w:marLeft w:val="0"/>
                                                      <w:marRight w:val="0"/>
                                                      <w:marTop w:val="0"/>
                                                      <w:marBottom w:val="0"/>
                                                      <w:divBdr>
                                                        <w:top w:val="none" w:sz="0" w:space="0" w:color="auto"/>
                                                        <w:left w:val="none" w:sz="0" w:space="0" w:color="auto"/>
                                                        <w:bottom w:val="none" w:sz="0" w:space="0" w:color="auto"/>
                                                        <w:right w:val="none" w:sz="0" w:space="0" w:color="auto"/>
                                                      </w:divBdr>
                                                    </w:div>
                                                  </w:divsChild>
                                                </w:div>
                                                <w:div w:id="622884794">
                                                  <w:marLeft w:val="0"/>
                                                  <w:marRight w:val="0"/>
                                                  <w:marTop w:val="0"/>
                                                  <w:marBottom w:val="0"/>
                                                  <w:divBdr>
                                                    <w:top w:val="none" w:sz="0" w:space="0" w:color="auto"/>
                                                    <w:left w:val="none" w:sz="0" w:space="0" w:color="auto"/>
                                                    <w:bottom w:val="none" w:sz="0" w:space="0" w:color="auto"/>
                                                    <w:right w:val="none" w:sz="0" w:space="0" w:color="auto"/>
                                                  </w:divBdr>
                                                  <w:divsChild>
                                                    <w:div w:id="936405764">
                                                      <w:marLeft w:val="0"/>
                                                      <w:marRight w:val="0"/>
                                                      <w:marTop w:val="0"/>
                                                      <w:marBottom w:val="0"/>
                                                      <w:divBdr>
                                                        <w:top w:val="none" w:sz="0" w:space="0" w:color="auto"/>
                                                        <w:left w:val="none" w:sz="0" w:space="0" w:color="auto"/>
                                                        <w:bottom w:val="none" w:sz="0" w:space="0" w:color="auto"/>
                                                        <w:right w:val="none" w:sz="0" w:space="0" w:color="auto"/>
                                                      </w:divBdr>
                                                    </w:div>
                                                  </w:divsChild>
                                                </w:div>
                                                <w:div w:id="1815101174">
                                                  <w:marLeft w:val="0"/>
                                                  <w:marRight w:val="0"/>
                                                  <w:marTop w:val="0"/>
                                                  <w:marBottom w:val="0"/>
                                                  <w:divBdr>
                                                    <w:top w:val="none" w:sz="0" w:space="0" w:color="auto"/>
                                                    <w:left w:val="none" w:sz="0" w:space="0" w:color="auto"/>
                                                    <w:bottom w:val="none" w:sz="0" w:space="0" w:color="auto"/>
                                                    <w:right w:val="none" w:sz="0" w:space="0" w:color="auto"/>
                                                  </w:divBdr>
                                                  <w:divsChild>
                                                    <w:div w:id="1249654233">
                                                      <w:marLeft w:val="0"/>
                                                      <w:marRight w:val="0"/>
                                                      <w:marTop w:val="0"/>
                                                      <w:marBottom w:val="0"/>
                                                      <w:divBdr>
                                                        <w:top w:val="none" w:sz="0" w:space="0" w:color="auto"/>
                                                        <w:left w:val="none" w:sz="0" w:space="0" w:color="auto"/>
                                                        <w:bottom w:val="none" w:sz="0" w:space="0" w:color="auto"/>
                                                        <w:right w:val="none" w:sz="0" w:space="0" w:color="auto"/>
                                                      </w:divBdr>
                                                    </w:div>
                                                  </w:divsChild>
                                                </w:div>
                                                <w:div w:id="1148204960">
                                                  <w:marLeft w:val="0"/>
                                                  <w:marRight w:val="0"/>
                                                  <w:marTop w:val="0"/>
                                                  <w:marBottom w:val="0"/>
                                                  <w:divBdr>
                                                    <w:top w:val="none" w:sz="0" w:space="0" w:color="auto"/>
                                                    <w:left w:val="none" w:sz="0" w:space="0" w:color="auto"/>
                                                    <w:bottom w:val="none" w:sz="0" w:space="0" w:color="auto"/>
                                                    <w:right w:val="none" w:sz="0" w:space="0" w:color="auto"/>
                                                  </w:divBdr>
                                                  <w:divsChild>
                                                    <w:div w:id="1324971792">
                                                      <w:marLeft w:val="0"/>
                                                      <w:marRight w:val="0"/>
                                                      <w:marTop w:val="0"/>
                                                      <w:marBottom w:val="0"/>
                                                      <w:divBdr>
                                                        <w:top w:val="none" w:sz="0" w:space="0" w:color="auto"/>
                                                        <w:left w:val="none" w:sz="0" w:space="0" w:color="auto"/>
                                                        <w:bottom w:val="none" w:sz="0" w:space="0" w:color="auto"/>
                                                        <w:right w:val="none" w:sz="0" w:space="0" w:color="auto"/>
                                                      </w:divBdr>
                                                    </w:div>
                                                  </w:divsChild>
                                                </w:div>
                                                <w:div w:id="1083068831">
                                                  <w:marLeft w:val="0"/>
                                                  <w:marRight w:val="0"/>
                                                  <w:marTop w:val="0"/>
                                                  <w:marBottom w:val="0"/>
                                                  <w:divBdr>
                                                    <w:top w:val="none" w:sz="0" w:space="0" w:color="auto"/>
                                                    <w:left w:val="none" w:sz="0" w:space="0" w:color="auto"/>
                                                    <w:bottom w:val="none" w:sz="0" w:space="0" w:color="auto"/>
                                                    <w:right w:val="none" w:sz="0" w:space="0" w:color="auto"/>
                                                  </w:divBdr>
                                                  <w:divsChild>
                                                    <w:div w:id="1832217679">
                                                      <w:marLeft w:val="0"/>
                                                      <w:marRight w:val="0"/>
                                                      <w:marTop w:val="0"/>
                                                      <w:marBottom w:val="0"/>
                                                      <w:divBdr>
                                                        <w:top w:val="none" w:sz="0" w:space="0" w:color="auto"/>
                                                        <w:left w:val="none" w:sz="0" w:space="0" w:color="auto"/>
                                                        <w:bottom w:val="none" w:sz="0" w:space="0" w:color="auto"/>
                                                        <w:right w:val="none" w:sz="0" w:space="0" w:color="auto"/>
                                                      </w:divBdr>
                                                    </w:div>
                                                  </w:divsChild>
                                                </w:div>
                                                <w:div w:id="244730696">
                                                  <w:marLeft w:val="0"/>
                                                  <w:marRight w:val="0"/>
                                                  <w:marTop w:val="0"/>
                                                  <w:marBottom w:val="0"/>
                                                  <w:divBdr>
                                                    <w:top w:val="none" w:sz="0" w:space="0" w:color="auto"/>
                                                    <w:left w:val="none" w:sz="0" w:space="0" w:color="auto"/>
                                                    <w:bottom w:val="none" w:sz="0" w:space="0" w:color="auto"/>
                                                    <w:right w:val="none" w:sz="0" w:space="0" w:color="auto"/>
                                                  </w:divBdr>
                                                  <w:divsChild>
                                                    <w:div w:id="989942957">
                                                      <w:marLeft w:val="0"/>
                                                      <w:marRight w:val="0"/>
                                                      <w:marTop w:val="0"/>
                                                      <w:marBottom w:val="0"/>
                                                      <w:divBdr>
                                                        <w:top w:val="none" w:sz="0" w:space="0" w:color="auto"/>
                                                        <w:left w:val="none" w:sz="0" w:space="0" w:color="auto"/>
                                                        <w:bottom w:val="none" w:sz="0" w:space="0" w:color="auto"/>
                                                        <w:right w:val="none" w:sz="0" w:space="0" w:color="auto"/>
                                                      </w:divBdr>
                                                    </w:div>
                                                  </w:divsChild>
                                                </w:div>
                                                <w:div w:id="1592619674">
                                                  <w:marLeft w:val="0"/>
                                                  <w:marRight w:val="0"/>
                                                  <w:marTop w:val="0"/>
                                                  <w:marBottom w:val="0"/>
                                                  <w:divBdr>
                                                    <w:top w:val="none" w:sz="0" w:space="0" w:color="auto"/>
                                                    <w:left w:val="none" w:sz="0" w:space="0" w:color="auto"/>
                                                    <w:bottom w:val="none" w:sz="0" w:space="0" w:color="auto"/>
                                                    <w:right w:val="none" w:sz="0" w:space="0" w:color="auto"/>
                                                  </w:divBdr>
                                                  <w:divsChild>
                                                    <w:div w:id="960768913">
                                                      <w:marLeft w:val="0"/>
                                                      <w:marRight w:val="0"/>
                                                      <w:marTop w:val="0"/>
                                                      <w:marBottom w:val="0"/>
                                                      <w:divBdr>
                                                        <w:top w:val="none" w:sz="0" w:space="0" w:color="auto"/>
                                                        <w:left w:val="none" w:sz="0" w:space="0" w:color="auto"/>
                                                        <w:bottom w:val="none" w:sz="0" w:space="0" w:color="auto"/>
                                                        <w:right w:val="none" w:sz="0" w:space="0" w:color="auto"/>
                                                      </w:divBdr>
                                                    </w:div>
                                                  </w:divsChild>
                                                </w:div>
                                                <w:div w:id="1838840123">
                                                  <w:marLeft w:val="0"/>
                                                  <w:marRight w:val="0"/>
                                                  <w:marTop w:val="0"/>
                                                  <w:marBottom w:val="0"/>
                                                  <w:divBdr>
                                                    <w:top w:val="none" w:sz="0" w:space="0" w:color="auto"/>
                                                    <w:left w:val="none" w:sz="0" w:space="0" w:color="auto"/>
                                                    <w:bottom w:val="none" w:sz="0" w:space="0" w:color="auto"/>
                                                    <w:right w:val="none" w:sz="0" w:space="0" w:color="auto"/>
                                                  </w:divBdr>
                                                  <w:divsChild>
                                                    <w:div w:id="1354381619">
                                                      <w:marLeft w:val="0"/>
                                                      <w:marRight w:val="0"/>
                                                      <w:marTop w:val="0"/>
                                                      <w:marBottom w:val="0"/>
                                                      <w:divBdr>
                                                        <w:top w:val="none" w:sz="0" w:space="0" w:color="auto"/>
                                                        <w:left w:val="none" w:sz="0" w:space="0" w:color="auto"/>
                                                        <w:bottom w:val="none" w:sz="0" w:space="0" w:color="auto"/>
                                                        <w:right w:val="none" w:sz="0" w:space="0" w:color="auto"/>
                                                      </w:divBdr>
                                                    </w:div>
                                                  </w:divsChild>
                                                </w:div>
                                                <w:div w:id="1893730918">
                                                  <w:marLeft w:val="0"/>
                                                  <w:marRight w:val="0"/>
                                                  <w:marTop w:val="0"/>
                                                  <w:marBottom w:val="0"/>
                                                  <w:divBdr>
                                                    <w:top w:val="none" w:sz="0" w:space="0" w:color="auto"/>
                                                    <w:left w:val="none" w:sz="0" w:space="0" w:color="auto"/>
                                                    <w:bottom w:val="none" w:sz="0" w:space="0" w:color="auto"/>
                                                    <w:right w:val="none" w:sz="0" w:space="0" w:color="auto"/>
                                                  </w:divBdr>
                                                  <w:divsChild>
                                                    <w:div w:id="1368986001">
                                                      <w:marLeft w:val="0"/>
                                                      <w:marRight w:val="0"/>
                                                      <w:marTop w:val="0"/>
                                                      <w:marBottom w:val="0"/>
                                                      <w:divBdr>
                                                        <w:top w:val="none" w:sz="0" w:space="0" w:color="auto"/>
                                                        <w:left w:val="none" w:sz="0" w:space="0" w:color="auto"/>
                                                        <w:bottom w:val="none" w:sz="0" w:space="0" w:color="auto"/>
                                                        <w:right w:val="none" w:sz="0" w:space="0" w:color="auto"/>
                                                      </w:divBdr>
                                                    </w:div>
                                                  </w:divsChild>
                                                </w:div>
                                                <w:div w:id="305859217">
                                                  <w:marLeft w:val="0"/>
                                                  <w:marRight w:val="0"/>
                                                  <w:marTop w:val="0"/>
                                                  <w:marBottom w:val="0"/>
                                                  <w:divBdr>
                                                    <w:top w:val="none" w:sz="0" w:space="0" w:color="auto"/>
                                                    <w:left w:val="none" w:sz="0" w:space="0" w:color="auto"/>
                                                    <w:bottom w:val="none" w:sz="0" w:space="0" w:color="auto"/>
                                                    <w:right w:val="none" w:sz="0" w:space="0" w:color="auto"/>
                                                  </w:divBdr>
                                                  <w:divsChild>
                                                    <w:div w:id="1723020916">
                                                      <w:marLeft w:val="0"/>
                                                      <w:marRight w:val="0"/>
                                                      <w:marTop w:val="0"/>
                                                      <w:marBottom w:val="0"/>
                                                      <w:divBdr>
                                                        <w:top w:val="none" w:sz="0" w:space="0" w:color="auto"/>
                                                        <w:left w:val="none" w:sz="0" w:space="0" w:color="auto"/>
                                                        <w:bottom w:val="none" w:sz="0" w:space="0" w:color="auto"/>
                                                        <w:right w:val="none" w:sz="0" w:space="0" w:color="auto"/>
                                                      </w:divBdr>
                                                    </w:div>
                                                  </w:divsChild>
                                                </w:div>
                                                <w:div w:id="1985088621">
                                                  <w:marLeft w:val="0"/>
                                                  <w:marRight w:val="0"/>
                                                  <w:marTop w:val="0"/>
                                                  <w:marBottom w:val="0"/>
                                                  <w:divBdr>
                                                    <w:top w:val="none" w:sz="0" w:space="0" w:color="auto"/>
                                                    <w:left w:val="none" w:sz="0" w:space="0" w:color="auto"/>
                                                    <w:bottom w:val="none" w:sz="0" w:space="0" w:color="auto"/>
                                                    <w:right w:val="none" w:sz="0" w:space="0" w:color="auto"/>
                                                  </w:divBdr>
                                                  <w:divsChild>
                                                    <w:div w:id="1243639772">
                                                      <w:marLeft w:val="0"/>
                                                      <w:marRight w:val="0"/>
                                                      <w:marTop w:val="0"/>
                                                      <w:marBottom w:val="0"/>
                                                      <w:divBdr>
                                                        <w:top w:val="none" w:sz="0" w:space="0" w:color="auto"/>
                                                        <w:left w:val="none" w:sz="0" w:space="0" w:color="auto"/>
                                                        <w:bottom w:val="none" w:sz="0" w:space="0" w:color="auto"/>
                                                        <w:right w:val="none" w:sz="0" w:space="0" w:color="auto"/>
                                                      </w:divBdr>
                                                    </w:div>
                                                  </w:divsChild>
                                                </w:div>
                                                <w:div w:id="153224853">
                                                  <w:marLeft w:val="0"/>
                                                  <w:marRight w:val="0"/>
                                                  <w:marTop w:val="0"/>
                                                  <w:marBottom w:val="0"/>
                                                  <w:divBdr>
                                                    <w:top w:val="none" w:sz="0" w:space="0" w:color="auto"/>
                                                    <w:left w:val="none" w:sz="0" w:space="0" w:color="auto"/>
                                                    <w:bottom w:val="none" w:sz="0" w:space="0" w:color="auto"/>
                                                    <w:right w:val="none" w:sz="0" w:space="0" w:color="auto"/>
                                                  </w:divBdr>
                                                  <w:divsChild>
                                                    <w:div w:id="1947998864">
                                                      <w:marLeft w:val="0"/>
                                                      <w:marRight w:val="0"/>
                                                      <w:marTop w:val="0"/>
                                                      <w:marBottom w:val="0"/>
                                                      <w:divBdr>
                                                        <w:top w:val="none" w:sz="0" w:space="0" w:color="auto"/>
                                                        <w:left w:val="none" w:sz="0" w:space="0" w:color="auto"/>
                                                        <w:bottom w:val="none" w:sz="0" w:space="0" w:color="auto"/>
                                                        <w:right w:val="none" w:sz="0" w:space="0" w:color="auto"/>
                                                      </w:divBdr>
                                                    </w:div>
                                                  </w:divsChild>
                                                </w:div>
                                                <w:div w:id="1720133883">
                                                  <w:marLeft w:val="0"/>
                                                  <w:marRight w:val="0"/>
                                                  <w:marTop w:val="0"/>
                                                  <w:marBottom w:val="0"/>
                                                  <w:divBdr>
                                                    <w:top w:val="none" w:sz="0" w:space="0" w:color="auto"/>
                                                    <w:left w:val="none" w:sz="0" w:space="0" w:color="auto"/>
                                                    <w:bottom w:val="none" w:sz="0" w:space="0" w:color="auto"/>
                                                    <w:right w:val="none" w:sz="0" w:space="0" w:color="auto"/>
                                                  </w:divBdr>
                                                  <w:divsChild>
                                                    <w:div w:id="529419475">
                                                      <w:marLeft w:val="0"/>
                                                      <w:marRight w:val="0"/>
                                                      <w:marTop w:val="0"/>
                                                      <w:marBottom w:val="0"/>
                                                      <w:divBdr>
                                                        <w:top w:val="none" w:sz="0" w:space="0" w:color="auto"/>
                                                        <w:left w:val="none" w:sz="0" w:space="0" w:color="auto"/>
                                                        <w:bottom w:val="none" w:sz="0" w:space="0" w:color="auto"/>
                                                        <w:right w:val="none" w:sz="0" w:space="0" w:color="auto"/>
                                                      </w:divBdr>
                                                    </w:div>
                                                  </w:divsChild>
                                                </w:div>
                                                <w:div w:id="59253552">
                                                  <w:marLeft w:val="0"/>
                                                  <w:marRight w:val="0"/>
                                                  <w:marTop w:val="0"/>
                                                  <w:marBottom w:val="0"/>
                                                  <w:divBdr>
                                                    <w:top w:val="none" w:sz="0" w:space="0" w:color="auto"/>
                                                    <w:left w:val="none" w:sz="0" w:space="0" w:color="auto"/>
                                                    <w:bottom w:val="none" w:sz="0" w:space="0" w:color="auto"/>
                                                    <w:right w:val="none" w:sz="0" w:space="0" w:color="auto"/>
                                                  </w:divBdr>
                                                  <w:divsChild>
                                                    <w:div w:id="1481113910">
                                                      <w:marLeft w:val="0"/>
                                                      <w:marRight w:val="0"/>
                                                      <w:marTop w:val="0"/>
                                                      <w:marBottom w:val="0"/>
                                                      <w:divBdr>
                                                        <w:top w:val="none" w:sz="0" w:space="0" w:color="auto"/>
                                                        <w:left w:val="none" w:sz="0" w:space="0" w:color="auto"/>
                                                        <w:bottom w:val="none" w:sz="0" w:space="0" w:color="auto"/>
                                                        <w:right w:val="none" w:sz="0" w:space="0" w:color="auto"/>
                                                      </w:divBdr>
                                                    </w:div>
                                                  </w:divsChild>
                                                </w:div>
                                                <w:div w:id="1066801129">
                                                  <w:marLeft w:val="0"/>
                                                  <w:marRight w:val="0"/>
                                                  <w:marTop w:val="0"/>
                                                  <w:marBottom w:val="0"/>
                                                  <w:divBdr>
                                                    <w:top w:val="none" w:sz="0" w:space="0" w:color="auto"/>
                                                    <w:left w:val="none" w:sz="0" w:space="0" w:color="auto"/>
                                                    <w:bottom w:val="none" w:sz="0" w:space="0" w:color="auto"/>
                                                    <w:right w:val="none" w:sz="0" w:space="0" w:color="auto"/>
                                                  </w:divBdr>
                                                  <w:divsChild>
                                                    <w:div w:id="1433436000">
                                                      <w:marLeft w:val="0"/>
                                                      <w:marRight w:val="0"/>
                                                      <w:marTop w:val="0"/>
                                                      <w:marBottom w:val="0"/>
                                                      <w:divBdr>
                                                        <w:top w:val="none" w:sz="0" w:space="0" w:color="auto"/>
                                                        <w:left w:val="none" w:sz="0" w:space="0" w:color="auto"/>
                                                        <w:bottom w:val="none" w:sz="0" w:space="0" w:color="auto"/>
                                                        <w:right w:val="none" w:sz="0" w:space="0" w:color="auto"/>
                                                      </w:divBdr>
                                                    </w:div>
                                                  </w:divsChild>
                                                </w:div>
                                                <w:div w:id="129783792">
                                                  <w:marLeft w:val="0"/>
                                                  <w:marRight w:val="0"/>
                                                  <w:marTop w:val="0"/>
                                                  <w:marBottom w:val="0"/>
                                                  <w:divBdr>
                                                    <w:top w:val="none" w:sz="0" w:space="0" w:color="auto"/>
                                                    <w:left w:val="none" w:sz="0" w:space="0" w:color="auto"/>
                                                    <w:bottom w:val="none" w:sz="0" w:space="0" w:color="auto"/>
                                                    <w:right w:val="none" w:sz="0" w:space="0" w:color="auto"/>
                                                  </w:divBdr>
                                                  <w:divsChild>
                                                    <w:div w:id="972834307">
                                                      <w:marLeft w:val="0"/>
                                                      <w:marRight w:val="0"/>
                                                      <w:marTop w:val="0"/>
                                                      <w:marBottom w:val="0"/>
                                                      <w:divBdr>
                                                        <w:top w:val="none" w:sz="0" w:space="0" w:color="auto"/>
                                                        <w:left w:val="none" w:sz="0" w:space="0" w:color="auto"/>
                                                        <w:bottom w:val="none" w:sz="0" w:space="0" w:color="auto"/>
                                                        <w:right w:val="none" w:sz="0" w:space="0" w:color="auto"/>
                                                      </w:divBdr>
                                                    </w:div>
                                                  </w:divsChild>
                                                </w:div>
                                                <w:div w:id="254021042">
                                                  <w:marLeft w:val="0"/>
                                                  <w:marRight w:val="0"/>
                                                  <w:marTop w:val="0"/>
                                                  <w:marBottom w:val="0"/>
                                                  <w:divBdr>
                                                    <w:top w:val="none" w:sz="0" w:space="0" w:color="auto"/>
                                                    <w:left w:val="none" w:sz="0" w:space="0" w:color="auto"/>
                                                    <w:bottom w:val="none" w:sz="0" w:space="0" w:color="auto"/>
                                                    <w:right w:val="none" w:sz="0" w:space="0" w:color="auto"/>
                                                  </w:divBdr>
                                                  <w:divsChild>
                                                    <w:div w:id="604113884">
                                                      <w:marLeft w:val="0"/>
                                                      <w:marRight w:val="0"/>
                                                      <w:marTop w:val="0"/>
                                                      <w:marBottom w:val="0"/>
                                                      <w:divBdr>
                                                        <w:top w:val="none" w:sz="0" w:space="0" w:color="auto"/>
                                                        <w:left w:val="none" w:sz="0" w:space="0" w:color="auto"/>
                                                        <w:bottom w:val="none" w:sz="0" w:space="0" w:color="auto"/>
                                                        <w:right w:val="none" w:sz="0" w:space="0" w:color="auto"/>
                                                      </w:divBdr>
                                                    </w:div>
                                                  </w:divsChild>
                                                </w:div>
                                                <w:div w:id="335039472">
                                                  <w:marLeft w:val="0"/>
                                                  <w:marRight w:val="0"/>
                                                  <w:marTop w:val="0"/>
                                                  <w:marBottom w:val="0"/>
                                                  <w:divBdr>
                                                    <w:top w:val="none" w:sz="0" w:space="0" w:color="auto"/>
                                                    <w:left w:val="none" w:sz="0" w:space="0" w:color="auto"/>
                                                    <w:bottom w:val="none" w:sz="0" w:space="0" w:color="auto"/>
                                                    <w:right w:val="none" w:sz="0" w:space="0" w:color="auto"/>
                                                  </w:divBdr>
                                                  <w:divsChild>
                                                    <w:div w:id="1135758722">
                                                      <w:marLeft w:val="0"/>
                                                      <w:marRight w:val="0"/>
                                                      <w:marTop w:val="0"/>
                                                      <w:marBottom w:val="0"/>
                                                      <w:divBdr>
                                                        <w:top w:val="none" w:sz="0" w:space="0" w:color="auto"/>
                                                        <w:left w:val="none" w:sz="0" w:space="0" w:color="auto"/>
                                                        <w:bottom w:val="none" w:sz="0" w:space="0" w:color="auto"/>
                                                        <w:right w:val="none" w:sz="0" w:space="0" w:color="auto"/>
                                                      </w:divBdr>
                                                    </w:div>
                                                  </w:divsChild>
                                                </w:div>
                                                <w:div w:id="195702458">
                                                  <w:marLeft w:val="0"/>
                                                  <w:marRight w:val="0"/>
                                                  <w:marTop w:val="0"/>
                                                  <w:marBottom w:val="0"/>
                                                  <w:divBdr>
                                                    <w:top w:val="none" w:sz="0" w:space="0" w:color="auto"/>
                                                    <w:left w:val="none" w:sz="0" w:space="0" w:color="auto"/>
                                                    <w:bottom w:val="none" w:sz="0" w:space="0" w:color="auto"/>
                                                    <w:right w:val="none" w:sz="0" w:space="0" w:color="auto"/>
                                                  </w:divBdr>
                                                  <w:divsChild>
                                                    <w:div w:id="1655136443">
                                                      <w:marLeft w:val="0"/>
                                                      <w:marRight w:val="0"/>
                                                      <w:marTop w:val="0"/>
                                                      <w:marBottom w:val="0"/>
                                                      <w:divBdr>
                                                        <w:top w:val="none" w:sz="0" w:space="0" w:color="auto"/>
                                                        <w:left w:val="none" w:sz="0" w:space="0" w:color="auto"/>
                                                        <w:bottom w:val="none" w:sz="0" w:space="0" w:color="auto"/>
                                                        <w:right w:val="none" w:sz="0" w:space="0" w:color="auto"/>
                                                      </w:divBdr>
                                                    </w:div>
                                                  </w:divsChild>
                                                </w:div>
                                                <w:div w:id="299961957">
                                                  <w:marLeft w:val="0"/>
                                                  <w:marRight w:val="0"/>
                                                  <w:marTop w:val="0"/>
                                                  <w:marBottom w:val="0"/>
                                                  <w:divBdr>
                                                    <w:top w:val="none" w:sz="0" w:space="0" w:color="auto"/>
                                                    <w:left w:val="none" w:sz="0" w:space="0" w:color="auto"/>
                                                    <w:bottom w:val="none" w:sz="0" w:space="0" w:color="auto"/>
                                                    <w:right w:val="none" w:sz="0" w:space="0" w:color="auto"/>
                                                  </w:divBdr>
                                                  <w:divsChild>
                                                    <w:div w:id="19537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29259">
                                          <w:marLeft w:val="0"/>
                                          <w:marRight w:val="0"/>
                                          <w:marTop w:val="0"/>
                                          <w:marBottom w:val="0"/>
                                          <w:divBdr>
                                            <w:top w:val="none" w:sz="0" w:space="0" w:color="auto"/>
                                            <w:left w:val="none" w:sz="0" w:space="0" w:color="auto"/>
                                            <w:bottom w:val="none" w:sz="0" w:space="0" w:color="auto"/>
                                            <w:right w:val="none" w:sz="0" w:space="0" w:color="auto"/>
                                          </w:divBdr>
                                          <w:divsChild>
                                            <w:div w:id="566376344">
                                              <w:marLeft w:val="0"/>
                                              <w:marRight w:val="0"/>
                                              <w:marTop w:val="0"/>
                                              <w:marBottom w:val="0"/>
                                              <w:divBdr>
                                                <w:top w:val="none" w:sz="0" w:space="0" w:color="auto"/>
                                                <w:left w:val="none" w:sz="0" w:space="0" w:color="auto"/>
                                                <w:bottom w:val="none" w:sz="0" w:space="0" w:color="auto"/>
                                                <w:right w:val="none" w:sz="0" w:space="0" w:color="auto"/>
                                              </w:divBdr>
                                            </w:div>
                                          </w:divsChild>
                                        </w:div>
                                        <w:div w:id="1693846396">
                                          <w:marLeft w:val="0"/>
                                          <w:marRight w:val="0"/>
                                          <w:marTop w:val="0"/>
                                          <w:marBottom w:val="0"/>
                                          <w:divBdr>
                                            <w:top w:val="none" w:sz="0" w:space="0" w:color="auto"/>
                                            <w:left w:val="none" w:sz="0" w:space="0" w:color="auto"/>
                                            <w:bottom w:val="none" w:sz="0" w:space="0" w:color="auto"/>
                                            <w:right w:val="none" w:sz="0" w:space="0" w:color="auto"/>
                                          </w:divBdr>
                                          <w:divsChild>
                                            <w:div w:id="419912986">
                                              <w:marLeft w:val="0"/>
                                              <w:marRight w:val="0"/>
                                              <w:marTop w:val="0"/>
                                              <w:marBottom w:val="0"/>
                                              <w:divBdr>
                                                <w:top w:val="none" w:sz="0" w:space="0" w:color="auto"/>
                                                <w:left w:val="none" w:sz="0" w:space="0" w:color="auto"/>
                                                <w:bottom w:val="none" w:sz="0" w:space="0" w:color="auto"/>
                                                <w:right w:val="none" w:sz="0" w:space="0" w:color="auto"/>
                                              </w:divBdr>
                                            </w:div>
                                          </w:divsChild>
                                        </w:div>
                                        <w:div w:id="251014804">
                                          <w:marLeft w:val="0"/>
                                          <w:marRight w:val="0"/>
                                          <w:marTop w:val="0"/>
                                          <w:marBottom w:val="0"/>
                                          <w:divBdr>
                                            <w:top w:val="none" w:sz="0" w:space="0" w:color="auto"/>
                                            <w:left w:val="none" w:sz="0" w:space="0" w:color="auto"/>
                                            <w:bottom w:val="none" w:sz="0" w:space="0" w:color="auto"/>
                                            <w:right w:val="none" w:sz="0" w:space="0" w:color="auto"/>
                                          </w:divBdr>
                                          <w:divsChild>
                                            <w:div w:id="62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nsult.moretonbay.qld.gov.au/portal/mbrcpsv3?pointId=s1414726072426" TargetMode="External"/><Relationship Id="rId7" Type="http://schemas.openxmlformats.org/officeDocument/2006/relationships/endnotes" Target="endnote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414726072426"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numbering" Target="numbering.xml"/><Relationship Id="rId16" Type="http://schemas.openxmlformats.org/officeDocument/2006/relationships/hyperlink" Target="https://www.moretonbay.qld.gov.au/floodcheck/" TargetMode="External"/><Relationship Id="rId20" Type="http://schemas.openxmlformats.org/officeDocument/2006/relationships/hyperlink" Target="http://consult.moretonbay.qld.gov.au/portal/mbrcpsv3?pointId=s1414726072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w.qld.gov.au/SiteCollectionDocuments/WaterResilientProductsAndBuildingTechniquesForRebuildingAfterAFlood.pdf"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webSettings" Target="webSetting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414726072426" TargetMode="External"/><Relationship Id="rId4" Type="http://schemas.openxmlformats.org/officeDocument/2006/relationships/settings" Target="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7C2B-C303-43A2-8A96-5864C597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Kasaia Bray</cp:lastModifiedBy>
  <cp:revision>8</cp:revision>
  <dcterms:created xsi:type="dcterms:W3CDTF">2019-12-02T23:50:00Z</dcterms:created>
  <dcterms:modified xsi:type="dcterms:W3CDTF">2020-01-06T06:11:00Z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A19422617</vt:lpwstr>
  </property>
  <property fmtid="{D5CDD505-2E9C-101B-9397-08002B2CF9AE}" pid="4" name="Objective-Title">
    <vt:lpwstr>8.2.1 Coastal Hazard Overlay Code - Assessable UPDATED</vt:lpwstr>
  </property>
  <property fmtid="{D5CDD505-2E9C-101B-9397-08002B2CF9AE}" pid="5" name="Objective-Comment">
    <vt:lpwstr/>
  </property>
  <property fmtid="{D5CDD505-2E9C-101B-9397-08002B2CF9AE}" pid="6" name="Objective-CreationStamp">
    <vt:filetime>2019-12-03T00:46:36Z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2020-01-06T06:03:28Z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