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4" w:type="pct"/>
        <w:tblCellSpacing w:w="15" w:type="dxa"/>
        <w:tblInd w:w="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52"/>
        <w:gridCol w:w="1053"/>
        <w:gridCol w:w="7685"/>
        <w:gridCol w:w="1970"/>
        <w:gridCol w:w="3950"/>
      </w:tblGrid>
      <w:tr w:rsidR="00F62BD0" w:rsidRPr="00F62BD0" w:rsidTr="006712F7">
        <w:trPr>
          <w:trHeight w:val="447"/>
          <w:tblCellSpacing w:w="15" w:type="dxa"/>
        </w:trPr>
        <w:tc>
          <w:tcPr>
            <w:tcW w:w="3069" w:type="pct"/>
            <w:gridSpan w:val="3"/>
            <w:tcBorders>
              <w:top w:val="nil"/>
              <w:left w:val="nil"/>
              <w:bottom w:val="nil"/>
              <w:right w:val="nil"/>
            </w:tcBorders>
            <w:shd w:val="clear" w:color="auto" w:fill="CCCCCC"/>
            <w:vAlign w:val="center"/>
            <w:hideMark/>
          </w:tcPr>
          <w:p w:rsidR="00F62BD0" w:rsidRPr="00F62BD0" w:rsidRDefault="00F62BD0" w:rsidP="00F62BD0">
            <w:pPr>
              <w:jc w:val="center"/>
              <w:rPr>
                <w:rFonts w:ascii="Arial" w:hAnsi="Arial" w:cs="Arial"/>
                <w:sz w:val="20"/>
                <w:szCs w:val="20"/>
              </w:rPr>
            </w:pPr>
            <w:r w:rsidRPr="00F62BD0">
              <w:rPr>
                <w:rFonts w:ascii="Arial" w:hAnsi="Arial" w:cs="Arial"/>
                <w:b/>
                <w:bCs/>
                <w:sz w:val="20"/>
                <w:szCs w:val="20"/>
              </w:rPr>
              <w:t>Table 7.2.1.5.1 Requirements for accepted development - Health precinct</w:t>
            </w:r>
          </w:p>
        </w:tc>
        <w:tc>
          <w:tcPr>
            <w:tcW w:w="635" w:type="pct"/>
            <w:tcBorders>
              <w:top w:val="nil"/>
              <w:left w:val="nil"/>
              <w:bottom w:val="nil"/>
              <w:right w:val="nil"/>
            </w:tcBorders>
            <w:shd w:val="clear" w:color="auto" w:fill="CCCCCC"/>
          </w:tcPr>
          <w:p w:rsidR="00F62BD0" w:rsidRPr="00F62BD0" w:rsidRDefault="00F62BD0" w:rsidP="00F62BD0">
            <w:pPr>
              <w:rPr>
                <w:rFonts w:ascii="Arial" w:hAnsi="Arial" w:cs="Arial"/>
                <w:b/>
                <w:bCs/>
                <w:sz w:val="20"/>
                <w:szCs w:val="20"/>
              </w:rPr>
            </w:pPr>
          </w:p>
        </w:tc>
        <w:tc>
          <w:tcPr>
            <w:tcW w:w="1257" w:type="pct"/>
            <w:tcBorders>
              <w:top w:val="nil"/>
              <w:left w:val="nil"/>
              <w:bottom w:val="nil"/>
              <w:right w:val="nil"/>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806"/>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jc w:val="center"/>
              <w:rPr>
                <w:rFonts w:ascii="Arial" w:hAnsi="Arial" w:cs="Arial"/>
                <w:sz w:val="20"/>
                <w:szCs w:val="20"/>
              </w:rPr>
            </w:pPr>
            <w:r w:rsidRPr="00F62BD0">
              <w:rPr>
                <w:rFonts w:ascii="Arial" w:hAnsi="Arial" w:cs="Arial"/>
                <w:b/>
                <w:bCs/>
                <w:sz w:val="20"/>
                <w:szCs w:val="20"/>
              </w:rPr>
              <w:t>Requirements for accepted development</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pStyle w:val="NoSpacing"/>
              <w:jc w:val="center"/>
              <w:rPr>
                <w:rFonts w:ascii="Arial" w:hAnsi="Arial" w:cs="Arial"/>
                <w:b/>
                <w:sz w:val="20"/>
                <w:szCs w:val="20"/>
              </w:rPr>
            </w:pPr>
            <w:r w:rsidRPr="00F62BD0">
              <w:rPr>
                <w:rFonts w:ascii="Arial" w:hAnsi="Arial" w:cs="Arial"/>
                <w:b/>
                <w:sz w:val="20"/>
                <w:szCs w:val="20"/>
              </w:rPr>
              <w:t>E Compliance</w:t>
            </w:r>
          </w:p>
          <w:p w:rsidR="00F62BD0" w:rsidRPr="00F62BD0" w:rsidRDefault="00F62BD0" w:rsidP="00F62BD0">
            <w:pPr>
              <w:pStyle w:val="NoSpacing"/>
              <w:numPr>
                <w:ilvl w:val="0"/>
                <w:numId w:val="22"/>
              </w:numPr>
              <w:jc w:val="center"/>
              <w:rPr>
                <w:rFonts w:ascii="Arial" w:hAnsi="Arial" w:cs="Arial"/>
                <w:b/>
                <w:sz w:val="20"/>
                <w:szCs w:val="20"/>
              </w:rPr>
            </w:pPr>
            <w:r w:rsidRPr="00F62BD0">
              <w:rPr>
                <w:rFonts w:ascii="Arial" w:hAnsi="Arial" w:cs="Arial"/>
                <w:b/>
                <w:sz w:val="20"/>
                <w:szCs w:val="20"/>
              </w:rPr>
              <w:t>Yes</w:t>
            </w:r>
          </w:p>
          <w:p w:rsidR="00F62BD0" w:rsidRPr="00F62BD0" w:rsidRDefault="00F62BD0" w:rsidP="00F62BD0">
            <w:pPr>
              <w:pStyle w:val="NoSpacing"/>
              <w:numPr>
                <w:ilvl w:val="0"/>
                <w:numId w:val="22"/>
              </w:numPr>
              <w:jc w:val="center"/>
              <w:rPr>
                <w:rFonts w:ascii="Arial" w:hAnsi="Arial" w:cs="Arial"/>
                <w:b/>
                <w:sz w:val="20"/>
                <w:szCs w:val="20"/>
              </w:rPr>
            </w:pPr>
            <w:r w:rsidRPr="00F62BD0">
              <w:rPr>
                <w:rFonts w:ascii="Arial" w:hAnsi="Arial" w:cs="Arial"/>
                <w:b/>
                <w:sz w:val="20"/>
                <w:szCs w:val="20"/>
              </w:rPr>
              <w:t>No</w:t>
            </w: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pStyle w:val="NoSpacing"/>
              <w:jc w:val="center"/>
              <w:rPr>
                <w:rFonts w:ascii="Arial" w:hAnsi="Arial" w:cs="Arial"/>
                <w:b/>
                <w:sz w:val="20"/>
                <w:szCs w:val="20"/>
              </w:rPr>
            </w:pPr>
            <w:r w:rsidRPr="00F62BD0">
              <w:rPr>
                <w:rFonts w:ascii="Arial" w:hAnsi="Arial" w:cs="Arial"/>
                <w:b/>
                <w:sz w:val="20"/>
                <w:szCs w:val="20"/>
              </w:rPr>
              <w:t>Council confirmation</w:t>
            </w:r>
          </w:p>
        </w:tc>
      </w:tr>
      <w:tr w:rsidR="006712F7" w:rsidRPr="00F62BD0" w:rsidTr="006712F7">
        <w:trPr>
          <w:trHeight w:val="447"/>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6712F7">
            <w:pPr>
              <w:jc w:val="center"/>
              <w:rPr>
                <w:rFonts w:ascii="Arial" w:hAnsi="Arial" w:cs="Arial"/>
                <w:b/>
                <w:bCs/>
                <w:sz w:val="20"/>
                <w:szCs w:val="20"/>
              </w:rPr>
            </w:pPr>
            <w:r w:rsidRPr="00F62BD0">
              <w:rPr>
                <w:rFonts w:ascii="Arial" w:hAnsi="Arial" w:cs="Arial"/>
                <w:b/>
                <w:bCs/>
                <w:sz w:val="20"/>
                <w:szCs w:val="20"/>
              </w:rPr>
              <w:t>General requirements</w:t>
            </w: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jc w:val="center"/>
              <w:rPr>
                <w:rFonts w:ascii="Arial" w:hAnsi="Arial" w:cs="Arial"/>
                <w:sz w:val="20"/>
                <w:szCs w:val="20"/>
              </w:rPr>
            </w:pPr>
            <w:r w:rsidRPr="00F62BD0">
              <w:rPr>
                <w:rFonts w:ascii="Arial" w:hAnsi="Arial" w:cs="Arial"/>
                <w:b/>
                <w:bCs/>
                <w:sz w:val="20"/>
                <w:szCs w:val="20"/>
              </w:rPr>
              <w:t>Active frontage (Non-residential uses)</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3186"/>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Where involving an extension (building work) in front of the main building line for non-residential uses:</w:t>
            </w:r>
          </w:p>
          <w:p w:rsidR="00F62BD0" w:rsidRPr="00F62BD0" w:rsidRDefault="00F62BD0" w:rsidP="00F62BD0">
            <w:pPr>
              <w:numPr>
                <w:ilvl w:val="0"/>
                <w:numId w:val="1"/>
              </w:numPr>
              <w:rPr>
                <w:rFonts w:ascii="Arial" w:hAnsi="Arial" w:cs="Arial"/>
                <w:sz w:val="20"/>
                <w:szCs w:val="20"/>
              </w:rPr>
            </w:pPr>
            <w:r w:rsidRPr="00F62BD0">
              <w:rPr>
                <w:rFonts w:ascii="Arial" w:hAnsi="Arial" w:cs="Arial"/>
                <w:sz w:val="20"/>
                <w:szCs w:val="20"/>
              </w:rPr>
              <w:t>a minimum of 50% of the front facade of the building is made up of windows or glazing between a height of 1m and 2m. </w:t>
            </w:r>
          </w:p>
          <w:p w:rsidR="00F62BD0" w:rsidRPr="00F62BD0" w:rsidRDefault="00F62BD0" w:rsidP="00F62BD0">
            <w:pPr>
              <w:numPr>
                <w:ilvl w:val="0"/>
                <w:numId w:val="1"/>
              </w:numPr>
              <w:rPr>
                <w:rFonts w:ascii="Arial" w:hAnsi="Arial" w:cs="Arial"/>
                <w:sz w:val="20"/>
                <w:szCs w:val="20"/>
              </w:rPr>
            </w:pPr>
            <w:r w:rsidRPr="00F62BD0">
              <w:rPr>
                <w:rFonts w:ascii="Arial" w:hAnsi="Arial" w:cs="Arial"/>
                <w:sz w:val="20"/>
                <w:szCs w:val="20"/>
              </w:rPr>
              <w:t>the minimum area of window or glazing is to remain uncovered and free of signage.</w:t>
            </w:r>
          </w:p>
          <w:p w:rsidR="00F62BD0" w:rsidRPr="00F62BD0" w:rsidRDefault="00F62BD0" w:rsidP="006712F7">
            <w:pPr>
              <w:jc w:val="center"/>
              <w:rPr>
                <w:rFonts w:ascii="Arial" w:hAnsi="Arial" w:cs="Arial"/>
                <w:sz w:val="20"/>
                <w:szCs w:val="20"/>
              </w:rPr>
            </w:pPr>
            <w:r w:rsidRPr="00F62BD0">
              <w:rPr>
                <w:rFonts w:ascii="Arial" w:hAnsi="Arial" w:cs="Arial"/>
                <w:b/>
                <w:bCs/>
                <w:sz w:val="20"/>
                <w:szCs w:val="20"/>
              </w:rPr>
              <w:t>Figure - Glazing</w:t>
            </w:r>
          </w:p>
          <w:p w:rsidR="00F62BD0" w:rsidRPr="00F62BD0" w:rsidRDefault="00F62BD0" w:rsidP="006712F7">
            <w:pPr>
              <w:jc w:val="center"/>
              <w:rPr>
                <w:rFonts w:ascii="Arial" w:hAnsi="Arial" w:cs="Arial"/>
                <w:sz w:val="20"/>
                <w:szCs w:val="20"/>
              </w:rPr>
            </w:pPr>
            <w:r w:rsidRPr="00F62BD0">
              <w:rPr>
                <w:rFonts w:ascii="Arial" w:hAnsi="Arial" w:cs="Arial"/>
                <w:noProof/>
                <w:sz w:val="20"/>
                <w:szCs w:val="20"/>
              </w:rPr>
              <w:drawing>
                <wp:inline distT="0" distB="0" distL="0" distR="0" wp14:anchorId="3D9C6345" wp14:editId="339923C9">
                  <wp:extent cx="3902954" cy="2756848"/>
                  <wp:effectExtent l="0" t="0" r="2540" b="5715"/>
                  <wp:docPr id="41" name="ID-2693387-5193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7-519316"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5974" cy="2773108"/>
                          </a:xfrm>
                          <a:prstGeom prst="rect">
                            <a:avLst/>
                          </a:prstGeom>
                          <a:noFill/>
                          <a:ln>
                            <a:noFill/>
                          </a:ln>
                        </pic:spPr>
                      </pic:pic>
                    </a:graphicData>
                  </a:graphic>
                </wp:inline>
              </w:drawing>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Building height</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731"/>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RAD2</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Building height does not exceed the maximum height identified on Overlay map – Building heights.</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Setbacks</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447"/>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Setbacks comply with Table 7.2.1.5.3 - Setbacks (maximum and minimum)</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Car parking</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622"/>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a reduction in the number or standard of car parking spaces provided on the site except where a reduction is required for the provision of cycle parking.</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731"/>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Where additional car parking spaces are </w:t>
            </w:r>
            <w:proofErr w:type="gramStart"/>
            <w:r w:rsidRPr="00F62BD0">
              <w:rPr>
                <w:rFonts w:ascii="Arial" w:hAnsi="Arial" w:cs="Arial"/>
                <w:sz w:val="20"/>
                <w:szCs w:val="20"/>
              </w:rPr>
              <w:t>provided</w:t>
            </w:r>
            <w:proofErr w:type="gramEnd"/>
            <w:r w:rsidRPr="00F62BD0">
              <w:rPr>
                <w:rFonts w:ascii="Arial" w:hAnsi="Arial" w:cs="Arial"/>
                <w:sz w:val="20"/>
                <w:szCs w:val="20"/>
              </w:rPr>
              <w:t xml:space="preserve"> they are not located between the frontage and the main building line.</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Waste</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746"/>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Where involving an extension (building work) bins and bin storage areas are provided, designed and managed in accordance with Planning scheme policy – Waste.</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104"/>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Landscaping</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179"/>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RAD7</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a reduction in the area (m</w:t>
            </w:r>
            <w:r w:rsidRPr="00F62BD0">
              <w:rPr>
                <w:rFonts w:ascii="Arial" w:hAnsi="Arial" w:cs="Arial"/>
                <w:sz w:val="20"/>
                <w:szCs w:val="20"/>
                <w:vertAlign w:val="superscript"/>
              </w:rPr>
              <w:t>2</w:t>
            </w:r>
            <w:r w:rsidRPr="00F62BD0">
              <w:rPr>
                <w:rFonts w:ascii="Arial" w:hAnsi="Arial" w:cs="Arial"/>
                <w:sz w:val="20"/>
                <w:szCs w:val="20"/>
              </w:rPr>
              <w:t>) or standard of established landscaping on-site.</w:t>
            </w: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Lighting</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2164"/>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RAD8</w:t>
            </w:r>
          </w:p>
        </w:tc>
        <w:tc>
          <w:tcPr>
            <w:tcW w:w="2828"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w:t>
            </w:r>
          </w:p>
          <w:tbl>
            <w:tblPr>
              <w:tblW w:w="774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744"/>
            </w:tblGrid>
            <w:tr w:rsidR="00F62BD0" w:rsidRPr="00F62BD0" w:rsidTr="00F62BD0">
              <w:trPr>
                <w:trHeight w:val="731"/>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“Curfewed hours” are taken to be those hours between 10pm and 7am on the following day.</w:t>
                  </w:r>
                </w:p>
              </w:tc>
            </w:tr>
          </w:tbl>
          <w:p w:rsidR="00F62BD0" w:rsidRPr="00F62BD0" w:rsidRDefault="00F62BD0" w:rsidP="00F62BD0">
            <w:pPr>
              <w:rPr>
                <w:rFonts w:ascii="Arial" w:hAnsi="Arial" w:cs="Arial"/>
                <w:sz w:val="20"/>
                <w:szCs w:val="20"/>
              </w:rPr>
            </w:pP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Clearing of habitat trees where not located in the Environmental areas overlay map</w:t>
            </w:r>
          </w:p>
        </w:tc>
        <w:tc>
          <w:tcPr>
            <w:tcW w:w="63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rHeight w:val="1179"/>
          <w:tblCellSpacing w:w="15" w:type="dxa"/>
        </w:trPr>
        <w:tc>
          <w:tcPr>
            <w:tcW w:w="231"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RAD9</w:t>
            </w:r>
          </w:p>
        </w:tc>
        <w:tc>
          <w:tcPr>
            <w:tcW w:w="2828" w:type="pct"/>
            <w:gridSpan w:val="2"/>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the damaging, destroyed or clearing of a habitat tree. This does not apply to:</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located within an approved development footprint;</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within 10m from a lawfully established building reasonably necessary for emergency access or immediately required in response to an accident or emergency;</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reasonably necessary to remove or reduce the risk vegetation poses to serious personal injury or damage to infrastructure;</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F62BD0">
              <w:rPr>
                <w:rFonts w:ascii="Arial" w:hAnsi="Arial" w:cs="Arial"/>
                <w:sz w:val="20"/>
                <w:szCs w:val="20"/>
              </w:rPr>
              <w:t>Rural ,</w:t>
            </w:r>
            <w:proofErr w:type="gramEnd"/>
            <w:r w:rsidRPr="00F62BD0">
              <w:rPr>
                <w:rFonts w:ascii="Arial" w:hAnsi="Arial" w:cs="Arial"/>
                <w:sz w:val="20"/>
                <w:szCs w:val="20"/>
              </w:rPr>
              <w:t xml:space="preserve"> Rural residential and Environmental management and conservation zones.  In any other zone, clearing is not to exceed 2m in width either side of the fence;</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reasonably necessary for the purpose of maintenance or works within a registered easement for public infrastructure or drainage purposes;</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in accordance with a bushfire management plan prepared by a suitably qualified person, submitted to and accepted by Council;</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Clearing of a habitat tree associated with removal of recognised weed species, maintaining existing open pastures and cropping land, windbreaks, lawns or created gardens;</w:t>
            </w:r>
          </w:p>
          <w:p w:rsidR="00F62BD0" w:rsidRPr="00F62BD0" w:rsidRDefault="00F62BD0" w:rsidP="00F62BD0">
            <w:pPr>
              <w:numPr>
                <w:ilvl w:val="0"/>
                <w:numId w:val="2"/>
              </w:numPr>
              <w:rPr>
                <w:rFonts w:ascii="Arial" w:hAnsi="Arial" w:cs="Arial"/>
                <w:sz w:val="20"/>
                <w:szCs w:val="20"/>
              </w:rPr>
            </w:pPr>
            <w:r w:rsidRPr="00F62BD0">
              <w:rPr>
                <w:rFonts w:ascii="Arial" w:hAnsi="Arial" w:cs="Arial"/>
                <w:sz w:val="20"/>
                <w:szCs w:val="20"/>
              </w:rPr>
              <w:t>Native forest practice where accepted development under Part 1, 1.7.7 Accepted development.</w:t>
            </w:r>
          </w:p>
          <w:tbl>
            <w:tblPr>
              <w:tblW w:w="774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7744"/>
            </w:tblGrid>
            <w:tr w:rsidR="00F62BD0" w:rsidRPr="00F62BD0" w:rsidTr="00F62BD0">
              <w:trPr>
                <w:trHeight w:val="1149"/>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F62BD0" w:rsidRPr="00F62BD0" w:rsidRDefault="00F62BD0" w:rsidP="00F62BD0">
            <w:pPr>
              <w:rPr>
                <w:rFonts w:ascii="Arial" w:hAnsi="Arial" w:cs="Arial"/>
                <w:sz w:val="20"/>
                <w:szCs w:val="20"/>
              </w:rPr>
            </w:pP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rHeight w:val="447"/>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6712F7" w:rsidRPr="00F62BD0" w:rsidRDefault="006712F7" w:rsidP="006712F7">
            <w:pPr>
              <w:jc w:val="center"/>
              <w:rPr>
                <w:rFonts w:ascii="Arial" w:hAnsi="Arial" w:cs="Arial"/>
                <w:b/>
                <w:bCs/>
                <w:sz w:val="20"/>
                <w:szCs w:val="20"/>
              </w:rPr>
            </w:pPr>
            <w:r w:rsidRPr="00F62BD0">
              <w:rPr>
                <w:rFonts w:ascii="Arial" w:hAnsi="Arial" w:cs="Arial"/>
                <w:b/>
                <w:bCs/>
                <w:sz w:val="20"/>
                <w:szCs w:val="20"/>
              </w:rPr>
              <w:t>Works requirements</w:t>
            </w:r>
          </w:p>
        </w:tc>
      </w:tr>
      <w:tr w:rsidR="00F62BD0" w:rsidRPr="00F62BD0" w:rsidTr="006712F7">
        <w:trPr>
          <w:trHeight w:val="447"/>
          <w:tblCellSpacing w:w="15" w:type="dxa"/>
        </w:trPr>
        <w:tc>
          <w:tcPr>
            <w:tcW w:w="3069" w:type="pct"/>
            <w:gridSpan w:val="3"/>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Utilities</w:t>
            </w:r>
          </w:p>
        </w:tc>
        <w:tc>
          <w:tcPr>
            <w:tcW w:w="635"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6712F7">
        <w:trPr>
          <w:trHeight w:val="1030"/>
          <w:tblCellSpacing w:w="15" w:type="dxa"/>
        </w:trPr>
        <w:tc>
          <w:tcPr>
            <w:tcW w:w="566" w:type="pct"/>
            <w:gridSpan w:val="2"/>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RAD10</w:t>
            </w:r>
          </w:p>
        </w:tc>
        <w:tc>
          <w:tcPr>
            <w:tcW w:w="249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is provided with an appropriate level of service and infrastructure in accordance with Planning scheme policy - Integrated design (Appendix A).</w:t>
            </w:r>
          </w:p>
          <w:p w:rsidR="00F62BD0" w:rsidRPr="00F62BD0" w:rsidRDefault="00F62BD0" w:rsidP="00F62BD0">
            <w:pPr>
              <w:rPr>
                <w:rFonts w:ascii="Arial" w:hAnsi="Arial" w:cs="Arial"/>
                <w:sz w:val="20"/>
                <w:szCs w:val="20"/>
              </w:rPr>
            </w:pPr>
          </w:p>
        </w:tc>
        <w:tc>
          <w:tcPr>
            <w:tcW w:w="63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bl>
    <w:p w:rsidR="00F62BD0" w:rsidRPr="00F62BD0" w:rsidRDefault="00F62BD0" w:rsidP="00F62BD0">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18"/>
        <w:gridCol w:w="7655"/>
        <w:gridCol w:w="1843"/>
        <w:gridCol w:w="4066"/>
      </w:tblGrid>
      <w:tr w:rsidR="00F62BD0" w:rsidRPr="00F62BD0" w:rsidTr="006712F7">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Access</w:t>
            </w:r>
          </w:p>
        </w:tc>
        <w:tc>
          <w:tcPr>
            <w:tcW w:w="59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31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RAD11</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additional vehicular access to, or car parking fronting Anzac Avenue.</w:t>
            </w: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RAD12</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Note - Roads </w:t>
                  </w:r>
                  <w:proofErr w:type="gramStart"/>
                  <w:r w:rsidRPr="00F62BD0">
                    <w:rPr>
                      <w:rFonts w:ascii="Arial" w:hAnsi="Arial" w:cs="Arial"/>
                      <w:sz w:val="20"/>
                      <w:szCs w:val="20"/>
                    </w:rPr>
                    <w:t>are considered to be</w:t>
                  </w:r>
                  <w:proofErr w:type="gramEnd"/>
                  <w:r w:rsidRPr="00F62BD0">
                    <w:rPr>
                      <w:rFonts w:ascii="Arial" w:hAnsi="Arial" w:cs="Arial"/>
                      <w:sz w:val="20"/>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Frontage roads include streets where no direct lot access is provided.</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RAD13</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new or changes to existing direct vehicle access for residential development does not occur from arterial or sub-arterial roads.</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RAD14</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new or changes to existing crossovers and driveways are designed, located and constructed in accordance with:</w:t>
            </w:r>
          </w:p>
          <w:p w:rsidR="00F62BD0" w:rsidRPr="00F62BD0" w:rsidRDefault="00F62BD0" w:rsidP="00F62BD0">
            <w:pPr>
              <w:numPr>
                <w:ilvl w:val="0"/>
                <w:numId w:val="3"/>
              </w:numPr>
              <w:rPr>
                <w:rFonts w:ascii="Arial" w:hAnsi="Arial" w:cs="Arial"/>
                <w:sz w:val="20"/>
                <w:szCs w:val="20"/>
              </w:rPr>
            </w:pPr>
            <w:r w:rsidRPr="00F62BD0">
              <w:rPr>
                <w:rFonts w:ascii="Arial" w:hAnsi="Arial" w:cs="Arial"/>
                <w:sz w:val="20"/>
                <w:szCs w:val="20"/>
              </w:rPr>
              <w:t>where for a Council-controlled road and associated with a Dwelling house:</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Planning scheme policy - Integrated design;</w:t>
            </w:r>
          </w:p>
          <w:p w:rsidR="00F62BD0" w:rsidRPr="00F62BD0" w:rsidRDefault="00F62BD0" w:rsidP="00F62BD0">
            <w:pPr>
              <w:numPr>
                <w:ilvl w:val="0"/>
                <w:numId w:val="3"/>
              </w:numPr>
              <w:rPr>
                <w:rFonts w:ascii="Arial" w:hAnsi="Arial" w:cs="Arial"/>
                <w:sz w:val="20"/>
                <w:szCs w:val="20"/>
              </w:rPr>
            </w:pPr>
            <w:r w:rsidRPr="00F62BD0">
              <w:rPr>
                <w:rFonts w:ascii="Arial" w:hAnsi="Arial" w:cs="Arial"/>
                <w:sz w:val="20"/>
                <w:szCs w:val="20"/>
              </w:rPr>
              <w:t>where for a Council-controlled road and not associated with a Dwelling house:</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AS/NZS2890.1 Parking facilities Part 1: Off street car parking;</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AS/NZS 2890.2 - Parking facilities Part 2: Off-street commercial vehicle facilities;</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lastRenderedPageBreak/>
              <w:t>Planning scheme policy - Integrated design;</w:t>
            </w:r>
          </w:p>
          <w:p w:rsidR="00F62BD0" w:rsidRPr="00F62BD0" w:rsidRDefault="00F62BD0" w:rsidP="00F62BD0">
            <w:pPr>
              <w:numPr>
                <w:ilvl w:val="1"/>
                <w:numId w:val="3"/>
              </w:numPr>
              <w:rPr>
                <w:rFonts w:ascii="Arial" w:hAnsi="Arial" w:cs="Arial"/>
                <w:sz w:val="20"/>
                <w:szCs w:val="20"/>
              </w:rPr>
            </w:pPr>
            <w:r w:rsidRPr="00F62BD0">
              <w:rPr>
                <w:rFonts w:ascii="Arial" w:hAnsi="Arial" w:cs="Arial"/>
                <w:sz w:val="20"/>
                <w:szCs w:val="20"/>
              </w:rPr>
              <w:t>Schedule 8 - Service vehicle requirements; </w:t>
            </w:r>
          </w:p>
          <w:p w:rsidR="00F62BD0" w:rsidRPr="00F62BD0" w:rsidRDefault="00F62BD0" w:rsidP="00F62BD0">
            <w:pPr>
              <w:numPr>
                <w:ilvl w:val="0"/>
                <w:numId w:val="3"/>
              </w:numPr>
              <w:rPr>
                <w:rFonts w:ascii="Arial" w:hAnsi="Arial" w:cs="Arial"/>
                <w:sz w:val="20"/>
                <w:szCs w:val="20"/>
              </w:rPr>
            </w:pPr>
            <w:r w:rsidRPr="00F62BD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RAD15</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RAD16</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Stormwater</w:t>
            </w:r>
          </w:p>
        </w:tc>
        <w:tc>
          <w:tcPr>
            <w:tcW w:w="59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310"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RAD17</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Any new or changes to existing stormwater run-off from the site </w:t>
            </w:r>
            <w:proofErr w:type="gramStart"/>
            <w:r w:rsidRPr="00F62BD0">
              <w:rPr>
                <w:rFonts w:ascii="Arial" w:hAnsi="Arial" w:cs="Arial"/>
                <w:sz w:val="20"/>
                <w:szCs w:val="20"/>
              </w:rPr>
              <w:t>is</w:t>
            </w:r>
            <w:proofErr w:type="gramEnd"/>
            <w:r w:rsidRPr="00F62BD0">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RAD18</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incorporates a 'deemed to comply solution' to manage stormwater quality where the development:</w:t>
            </w:r>
          </w:p>
          <w:p w:rsidR="00F62BD0" w:rsidRPr="00F62BD0" w:rsidRDefault="00F62BD0" w:rsidP="00F62BD0">
            <w:pPr>
              <w:numPr>
                <w:ilvl w:val="0"/>
                <w:numId w:val="4"/>
              </w:numPr>
              <w:rPr>
                <w:rFonts w:ascii="Arial" w:hAnsi="Arial" w:cs="Arial"/>
                <w:sz w:val="20"/>
                <w:szCs w:val="20"/>
              </w:rPr>
            </w:pPr>
            <w:r w:rsidRPr="00F62BD0">
              <w:rPr>
                <w:rFonts w:ascii="Arial" w:hAnsi="Arial" w:cs="Arial"/>
                <w:sz w:val="20"/>
                <w:szCs w:val="20"/>
              </w:rPr>
              <w:t>is for an urban purpose that involves a land area of 2500m</w:t>
            </w:r>
            <w:r w:rsidRPr="00F62BD0">
              <w:rPr>
                <w:rFonts w:ascii="Arial" w:hAnsi="Arial" w:cs="Arial"/>
                <w:sz w:val="20"/>
                <w:szCs w:val="20"/>
                <w:vertAlign w:val="superscript"/>
              </w:rPr>
              <w:t>2</w:t>
            </w:r>
            <w:r w:rsidRPr="00F62BD0">
              <w:rPr>
                <w:rFonts w:ascii="Arial" w:hAnsi="Arial" w:cs="Arial"/>
                <w:sz w:val="20"/>
                <w:szCs w:val="20"/>
              </w:rPr>
              <w:t> or greater; and</w:t>
            </w:r>
          </w:p>
          <w:p w:rsidR="00F62BD0" w:rsidRPr="00F62BD0" w:rsidRDefault="00F62BD0" w:rsidP="00F62BD0">
            <w:pPr>
              <w:numPr>
                <w:ilvl w:val="0"/>
                <w:numId w:val="4"/>
              </w:numPr>
              <w:rPr>
                <w:rFonts w:ascii="Arial" w:hAnsi="Arial" w:cs="Arial"/>
                <w:sz w:val="20"/>
                <w:szCs w:val="20"/>
              </w:rPr>
            </w:pPr>
            <w:r w:rsidRPr="00F62BD0">
              <w:rPr>
                <w:rFonts w:ascii="Arial" w:hAnsi="Arial" w:cs="Arial"/>
                <w:sz w:val="20"/>
                <w:szCs w:val="20"/>
              </w:rPr>
              <w:t>will result in:</w:t>
            </w:r>
          </w:p>
          <w:p w:rsidR="00F62BD0" w:rsidRPr="00F62BD0" w:rsidRDefault="00F62BD0" w:rsidP="00F62BD0">
            <w:pPr>
              <w:numPr>
                <w:ilvl w:val="1"/>
                <w:numId w:val="4"/>
              </w:numPr>
              <w:rPr>
                <w:rFonts w:ascii="Arial" w:hAnsi="Arial" w:cs="Arial"/>
                <w:sz w:val="20"/>
                <w:szCs w:val="20"/>
              </w:rPr>
            </w:pPr>
            <w:r w:rsidRPr="00F62BD0">
              <w:rPr>
                <w:rFonts w:ascii="Arial" w:hAnsi="Arial" w:cs="Arial"/>
                <w:sz w:val="20"/>
                <w:szCs w:val="20"/>
              </w:rPr>
              <w:t>6 or more dwellings; or</w:t>
            </w:r>
          </w:p>
          <w:p w:rsidR="00F62BD0" w:rsidRPr="00F62BD0" w:rsidRDefault="00F62BD0" w:rsidP="00F62BD0">
            <w:pPr>
              <w:numPr>
                <w:ilvl w:val="1"/>
                <w:numId w:val="4"/>
              </w:numPr>
              <w:rPr>
                <w:rFonts w:ascii="Arial" w:hAnsi="Arial" w:cs="Arial"/>
                <w:sz w:val="20"/>
                <w:szCs w:val="20"/>
              </w:rPr>
            </w:pPr>
            <w:r w:rsidRPr="00F62BD0">
              <w:rPr>
                <w:rFonts w:ascii="Arial"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lastRenderedPageBreak/>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RAD19</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6712F7">
                    <w:rPr>
                      <w:rFonts w:ascii="Arial" w:hAnsi="Arial" w:cs="Arial"/>
                      <w:sz w:val="18"/>
                      <w:szCs w:val="20"/>
                    </w:rPr>
                    <w:t>upstream, downstream or surrounding premises</w:t>
                  </w:r>
                  <w:proofErr w:type="gramEnd"/>
                  <w:r w:rsidRPr="006712F7">
                    <w:rPr>
                      <w:rFonts w:ascii="Arial" w:hAnsi="Arial" w:cs="Arial"/>
                      <w:sz w:val="18"/>
                      <w:szCs w:val="20"/>
                    </w:rPr>
                    <w:t>.</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RAD20</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6712F7">
                    <w:rPr>
                      <w:rFonts w:ascii="Arial" w:hAnsi="Arial" w:cs="Arial"/>
                      <w:sz w:val="18"/>
                      <w:szCs w:val="20"/>
                    </w:rPr>
                    <w:t>upstream, downstream or surrounding premises</w:t>
                  </w:r>
                  <w:proofErr w:type="gramEnd"/>
                  <w:r w:rsidRPr="006712F7">
                    <w:rPr>
                      <w:rFonts w:ascii="Arial" w:hAnsi="Arial" w:cs="Arial"/>
                      <w:sz w:val="18"/>
                      <w:szCs w:val="20"/>
                    </w:rPr>
                    <w:t>.</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578"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RAD21</w:t>
            </w:r>
          </w:p>
        </w:tc>
        <w:tc>
          <w:tcPr>
            <w:tcW w:w="2475"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9"/>
              <w:gridCol w:w="3760"/>
            </w:tblGrid>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F62BD0" w:rsidRPr="00F62BD0" w:rsidRDefault="00F62BD0" w:rsidP="00F62BD0">
                  <w:pPr>
                    <w:rPr>
                      <w:rFonts w:ascii="Arial" w:hAnsi="Arial" w:cs="Arial"/>
                      <w:sz w:val="20"/>
                      <w:szCs w:val="20"/>
                    </w:rPr>
                  </w:pPr>
                  <w:r w:rsidRPr="00F62BD0">
                    <w:rPr>
                      <w:rFonts w:ascii="Arial" w:hAnsi="Arial" w:cs="Arial"/>
                      <w:sz w:val="20"/>
                      <w:szCs w:val="20"/>
                    </w:rPr>
                    <w:t>Pipe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F62BD0" w:rsidRPr="00F62BD0" w:rsidRDefault="00F62BD0" w:rsidP="00F62BD0">
                  <w:pPr>
                    <w:rPr>
                      <w:rFonts w:ascii="Arial" w:hAnsi="Arial" w:cs="Arial"/>
                      <w:sz w:val="20"/>
                      <w:szCs w:val="20"/>
                    </w:rPr>
                  </w:pPr>
                  <w:r w:rsidRPr="00F62BD0">
                    <w:rPr>
                      <w:rFonts w:ascii="Arial" w:hAnsi="Arial" w:cs="Arial"/>
                      <w:sz w:val="20"/>
                      <w:szCs w:val="20"/>
                    </w:rPr>
                    <w:t>Minimum Easement Width (excluding access requirements)</w:t>
                  </w:r>
                </w:p>
                <w:p w:rsidR="00F62BD0" w:rsidRPr="00F62BD0" w:rsidRDefault="00F62BD0" w:rsidP="00F62BD0">
                  <w:pPr>
                    <w:rPr>
                      <w:rFonts w:ascii="Arial" w:hAnsi="Arial" w:cs="Arial"/>
                      <w:sz w:val="20"/>
                      <w:szCs w:val="20"/>
                    </w:rPr>
                  </w:pPr>
                </w:p>
              </w:tc>
            </w:tr>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Pipe up to 825mm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3.0m</w:t>
                  </w:r>
                </w:p>
                <w:p w:rsidR="00F62BD0" w:rsidRPr="00F62BD0" w:rsidRDefault="00F62BD0" w:rsidP="00F62BD0">
                  <w:pPr>
                    <w:rPr>
                      <w:rFonts w:ascii="Arial" w:hAnsi="Arial" w:cs="Arial"/>
                      <w:sz w:val="20"/>
                      <w:szCs w:val="20"/>
                    </w:rPr>
                  </w:pPr>
                </w:p>
              </w:tc>
            </w:tr>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Pipe up to 825mm diameter with Sewer pipe up to 225m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4.0m</w:t>
                  </w:r>
                </w:p>
                <w:p w:rsidR="00F62BD0" w:rsidRPr="00F62BD0" w:rsidRDefault="00F62BD0" w:rsidP="00F62BD0">
                  <w:pPr>
                    <w:rPr>
                      <w:rFonts w:ascii="Arial" w:hAnsi="Arial" w:cs="Arial"/>
                      <w:sz w:val="20"/>
                      <w:szCs w:val="20"/>
                    </w:rPr>
                  </w:pPr>
                </w:p>
              </w:tc>
            </w:tr>
            <w:tr w:rsidR="00F62BD0" w:rsidRPr="00F62BD0" w:rsidTr="00F62B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Stormwater pipe greater than 825mm diameter</w:t>
                  </w:r>
                </w:p>
                <w:p w:rsidR="00F62BD0" w:rsidRPr="00F62BD0" w:rsidRDefault="00F62BD0" w:rsidP="00F62BD0">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Easement boundary to be 1m clear of the outside wall of the pipe and clear of all pits.</w:t>
                  </w:r>
                </w:p>
                <w:p w:rsidR="00F62BD0" w:rsidRPr="00F62BD0" w:rsidRDefault="00F62BD0" w:rsidP="00F62BD0">
                  <w:pPr>
                    <w:rPr>
                      <w:rFonts w:ascii="Arial" w:hAnsi="Arial" w:cs="Arial"/>
                      <w:sz w:val="20"/>
                      <w:szCs w:val="20"/>
                    </w:rPr>
                  </w:pPr>
                </w:p>
              </w:tc>
            </w:tr>
            <w:tr w:rsidR="00F62BD0" w:rsidRPr="00F62BD0" w:rsidTr="00F62BD0">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Additional easement width may be required in certain circumstances in order to facilitate maintenance access to the stormwater system.</w:t>
                  </w:r>
                </w:p>
              </w:tc>
            </w:tr>
          </w:tbl>
          <w:p w:rsidR="00F62BD0" w:rsidRPr="00F62BD0" w:rsidRDefault="00F62BD0" w:rsidP="00F62BD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35"/>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lastRenderedPageBreak/>
                    <w:t>Note - Refer to Planning scheme policy - Integrated design (Appendix C) for easement requirements over open channels.</w:t>
                  </w:r>
                </w:p>
              </w:tc>
            </w:tr>
          </w:tbl>
          <w:p w:rsidR="00F62BD0" w:rsidRPr="00F62BD0" w:rsidRDefault="00F62BD0" w:rsidP="00F62BD0">
            <w:pPr>
              <w:rPr>
                <w:rFonts w:ascii="Arial" w:hAnsi="Arial" w:cs="Arial"/>
                <w:sz w:val="20"/>
                <w:szCs w:val="20"/>
              </w:rPr>
            </w:pPr>
          </w:p>
        </w:tc>
        <w:tc>
          <w:tcPr>
            <w:tcW w:w="59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10"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bl>
    <w:p w:rsidR="00F62BD0" w:rsidRPr="00F62BD0" w:rsidRDefault="00F62BD0" w:rsidP="00F62BD0">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4"/>
        <w:gridCol w:w="8734"/>
        <w:gridCol w:w="1858"/>
        <w:gridCol w:w="3966"/>
      </w:tblGrid>
      <w:tr w:rsidR="00F62BD0" w:rsidRPr="00F62BD0" w:rsidTr="00F62BD0">
        <w:trPr>
          <w:tblCellSpacing w:w="15" w:type="dxa"/>
        </w:trPr>
        <w:tc>
          <w:tcPr>
            <w:tcW w:w="308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Site works and construction management</w:t>
            </w:r>
          </w:p>
        </w:tc>
        <w:tc>
          <w:tcPr>
            <w:tcW w:w="595"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RAD22</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site and any existing structures are to be maintained in a tidy and safe condition.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RAD23</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The International Erosion Control Association (Australasia) Best Practice Erosion and Sediment Control provides guidance on strategies and techniques for managing erosion and sedimentation</w:t>
                  </w:r>
                  <w:r w:rsidRPr="00F62BD0">
                    <w:rPr>
                      <w:rFonts w:ascii="Arial" w:hAnsi="Arial" w:cs="Arial"/>
                      <w:sz w:val="20"/>
                      <w:szCs w:val="20"/>
                    </w:rPr>
                    <w:t>.</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RAD24</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No dust emissions extend beyond the boundaries of the site during soil disturbances and construction works.</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RAD25</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RAD26</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Any damage to Council land or infrastructure is repaired or replaced with the same materials, prior to plan sealing, or final building classification.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RAD27</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RAD28</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Any material dropped, deposited or spilled on the road(s) as a result of construction processes associated with the site </w:t>
            </w:r>
            <w:proofErr w:type="gramStart"/>
            <w:r w:rsidRPr="00F62BD0">
              <w:rPr>
                <w:rFonts w:ascii="Arial" w:hAnsi="Arial" w:cs="Arial"/>
                <w:sz w:val="20"/>
                <w:szCs w:val="20"/>
              </w:rPr>
              <w:t>are to be cleaned at all times</w:t>
            </w:r>
            <w:proofErr w:type="gramEnd"/>
            <w:r w:rsidRPr="00F62BD0">
              <w:rPr>
                <w:rFonts w:ascii="Arial" w:hAnsi="Arial" w:cs="Arial"/>
                <w:sz w:val="20"/>
                <w:szCs w:val="20"/>
              </w:rPr>
              <w:t>.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RAD29</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No parking of vehicles or storage of machinery or goods is to occur in these areas during development works</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RAD30</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Disposal of materials is managed in one or more of the following ways:</w:t>
            </w:r>
          </w:p>
          <w:p w:rsidR="00F62BD0" w:rsidRPr="00F62BD0" w:rsidRDefault="00F62BD0" w:rsidP="00F62BD0">
            <w:pPr>
              <w:numPr>
                <w:ilvl w:val="0"/>
                <w:numId w:val="5"/>
              </w:numPr>
              <w:rPr>
                <w:rFonts w:ascii="Arial" w:hAnsi="Arial" w:cs="Arial"/>
                <w:sz w:val="20"/>
                <w:szCs w:val="20"/>
              </w:rPr>
            </w:pPr>
            <w:r w:rsidRPr="00F62BD0">
              <w:rPr>
                <w:rFonts w:ascii="Arial" w:hAnsi="Arial" w:cs="Arial"/>
                <w:sz w:val="20"/>
                <w:szCs w:val="20"/>
              </w:rPr>
              <w:lastRenderedPageBreak/>
              <w:t>all cleared vegetation, declared weeds, stumps, rubbish, car bodies, scrap metal and the like are removed and disposed of in a Council land fill facility; or</w:t>
            </w:r>
          </w:p>
          <w:p w:rsidR="00F62BD0" w:rsidRPr="00F62BD0" w:rsidRDefault="00F62BD0" w:rsidP="00F62BD0">
            <w:pPr>
              <w:numPr>
                <w:ilvl w:val="0"/>
                <w:numId w:val="5"/>
              </w:numPr>
              <w:rPr>
                <w:rFonts w:ascii="Arial" w:hAnsi="Arial" w:cs="Arial"/>
                <w:sz w:val="20"/>
                <w:szCs w:val="20"/>
              </w:rPr>
            </w:pPr>
            <w:r w:rsidRPr="00F62BD0">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No burning of cleared vegetation is permitted.</w:t>
                  </w:r>
                </w:p>
              </w:tc>
            </w:tr>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The chipped vegetation must be stored in an approved location.</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RAD31</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development works are carried out within the following times:</w:t>
            </w:r>
          </w:p>
          <w:p w:rsidR="00F62BD0" w:rsidRPr="00F62BD0" w:rsidRDefault="00F62BD0" w:rsidP="00F62BD0">
            <w:pPr>
              <w:numPr>
                <w:ilvl w:val="0"/>
                <w:numId w:val="6"/>
              </w:numPr>
              <w:rPr>
                <w:rFonts w:ascii="Arial" w:hAnsi="Arial" w:cs="Arial"/>
                <w:sz w:val="20"/>
                <w:szCs w:val="20"/>
              </w:rPr>
            </w:pPr>
            <w:r w:rsidRPr="00F62BD0">
              <w:rPr>
                <w:rFonts w:ascii="Arial" w:hAnsi="Arial" w:cs="Arial"/>
                <w:sz w:val="20"/>
                <w:szCs w:val="20"/>
              </w:rPr>
              <w:t>Monday to Saturday (other than public holidays) between 6:30am and 6:30pm on the same day;</w:t>
            </w:r>
          </w:p>
          <w:p w:rsidR="00F62BD0" w:rsidRPr="00F62BD0" w:rsidRDefault="00F62BD0" w:rsidP="00F62BD0">
            <w:pPr>
              <w:numPr>
                <w:ilvl w:val="0"/>
                <w:numId w:val="6"/>
              </w:numPr>
              <w:rPr>
                <w:rFonts w:ascii="Arial" w:hAnsi="Arial" w:cs="Arial"/>
                <w:sz w:val="20"/>
                <w:szCs w:val="20"/>
              </w:rPr>
            </w:pPr>
            <w:r w:rsidRPr="00F62BD0">
              <w:rPr>
                <w:rFonts w:ascii="Arial" w:hAnsi="Arial" w:cs="Arial"/>
                <w:sz w:val="20"/>
                <w:szCs w:val="20"/>
              </w:rPr>
              <w:t>no work is to be carried out on Sundays or public holidays.</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308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F62BD0" w:rsidRPr="00F62BD0" w:rsidRDefault="00F62BD0" w:rsidP="00F62BD0">
            <w:pPr>
              <w:rPr>
                <w:rFonts w:ascii="Arial" w:hAnsi="Arial" w:cs="Arial"/>
                <w:sz w:val="20"/>
                <w:szCs w:val="20"/>
              </w:rPr>
            </w:pPr>
            <w:r w:rsidRPr="00F62BD0">
              <w:rPr>
                <w:rFonts w:ascii="Arial" w:hAnsi="Arial" w:cs="Arial"/>
                <w:b/>
                <w:bCs/>
                <w:sz w:val="20"/>
                <w:szCs w:val="20"/>
              </w:rPr>
              <w:t>Earthworks</w:t>
            </w:r>
          </w:p>
        </w:tc>
        <w:tc>
          <w:tcPr>
            <w:tcW w:w="595"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F62BD0" w:rsidRPr="00F62BD0" w:rsidRDefault="00F62BD0" w:rsidP="00F62BD0">
            <w:pPr>
              <w:rPr>
                <w:rFonts w:ascii="Arial" w:hAnsi="Arial" w:cs="Arial"/>
                <w:b/>
                <w:bCs/>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RAD32</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total of all cut and fill on-site does not exceed 900mm in height.</w:t>
            </w:r>
          </w:p>
          <w:p w:rsidR="00F62BD0" w:rsidRPr="00F62BD0" w:rsidRDefault="00F62BD0" w:rsidP="006712F7">
            <w:pPr>
              <w:jc w:val="center"/>
              <w:rPr>
                <w:rFonts w:ascii="Arial" w:hAnsi="Arial" w:cs="Arial"/>
                <w:sz w:val="20"/>
                <w:szCs w:val="20"/>
              </w:rPr>
            </w:pPr>
            <w:r w:rsidRPr="00F62BD0">
              <w:rPr>
                <w:rFonts w:ascii="Arial" w:hAnsi="Arial" w:cs="Arial"/>
                <w:b/>
                <w:bCs/>
                <w:sz w:val="20"/>
                <w:szCs w:val="20"/>
              </w:rPr>
              <w:t>Figure - Cut and Fill</w:t>
            </w:r>
            <w:r w:rsidRPr="00F62BD0">
              <w:rPr>
                <w:rFonts w:ascii="Arial" w:hAnsi="Arial" w:cs="Arial"/>
                <w:sz w:val="20"/>
                <w:szCs w:val="20"/>
              </w:rPr>
              <w:t xml:space="preserve"> </w:t>
            </w:r>
          </w:p>
          <w:p w:rsidR="00F62BD0" w:rsidRPr="00F62BD0" w:rsidRDefault="00F62BD0" w:rsidP="006712F7">
            <w:pPr>
              <w:jc w:val="center"/>
              <w:rPr>
                <w:rFonts w:ascii="Arial" w:hAnsi="Arial" w:cs="Arial"/>
                <w:sz w:val="20"/>
                <w:szCs w:val="20"/>
              </w:rPr>
            </w:pPr>
            <w:r w:rsidRPr="00F62BD0">
              <w:rPr>
                <w:rFonts w:ascii="Arial" w:hAnsi="Arial" w:cs="Arial"/>
                <w:noProof/>
                <w:sz w:val="20"/>
                <w:szCs w:val="20"/>
              </w:rPr>
              <w:drawing>
                <wp:inline distT="0" distB="0" distL="0" distR="0" wp14:anchorId="5CE56932" wp14:editId="68017B81">
                  <wp:extent cx="3590925" cy="1352550"/>
                  <wp:effectExtent l="0" t="0" r="9525" b="0"/>
                  <wp:docPr id="42"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F62BD0" w:rsidRPr="00F62BD0" w:rsidRDefault="00F62BD0" w:rsidP="00F62BD0">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 xml:space="preserve">Note </w:t>
                  </w:r>
                  <w:proofErr w:type="gramStart"/>
                  <w:r w:rsidRPr="006712F7">
                    <w:rPr>
                      <w:rFonts w:ascii="Arial" w:hAnsi="Arial" w:cs="Arial"/>
                      <w:sz w:val="18"/>
                      <w:szCs w:val="20"/>
                    </w:rPr>
                    <w:t>-  This</w:t>
                  </w:r>
                  <w:proofErr w:type="gramEnd"/>
                  <w:r w:rsidRPr="006712F7">
                    <w:rPr>
                      <w:rFonts w:ascii="Arial" w:hAnsi="Arial" w:cs="Arial"/>
                      <w:sz w:val="18"/>
                      <w:szCs w:val="20"/>
                    </w:rPr>
                    <w:t xml:space="preserve"> is site earthworks not building work</w:t>
                  </w:r>
                  <w:r w:rsidRPr="00F62BD0">
                    <w:rPr>
                      <w:rFonts w:ascii="Arial" w:hAnsi="Arial" w:cs="Arial"/>
                      <w:sz w:val="20"/>
                      <w:szCs w:val="20"/>
                    </w:rPr>
                    <w:t>.</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RAD33</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Cut and fill batters, (other than batters to dams and water impoundments), have a finished slope no steeper than the following:</w:t>
            </w:r>
          </w:p>
          <w:p w:rsidR="00F62BD0" w:rsidRPr="00F62BD0" w:rsidRDefault="00F62BD0" w:rsidP="00F62BD0">
            <w:pPr>
              <w:numPr>
                <w:ilvl w:val="0"/>
                <w:numId w:val="7"/>
              </w:numPr>
              <w:rPr>
                <w:rFonts w:ascii="Arial" w:hAnsi="Arial" w:cs="Arial"/>
                <w:sz w:val="20"/>
                <w:szCs w:val="20"/>
              </w:rPr>
            </w:pPr>
            <w:r w:rsidRPr="00F62BD0">
              <w:rPr>
                <w:rFonts w:ascii="Arial" w:hAnsi="Arial" w:cs="Arial"/>
                <w:sz w:val="20"/>
                <w:szCs w:val="20"/>
              </w:rPr>
              <w:t>any cut batter is no steeper than 1V in 4H;</w:t>
            </w:r>
          </w:p>
          <w:p w:rsidR="00F62BD0" w:rsidRPr="00F62BD0" w:rsidRDefault="00F62BD0" w:rsidP="00F62BD0">
            <w:pPr>
              <w:numPr>
                <w:ilvl w:val="0"/>
                <w:numId w:val="7"/>
              </w:numPr>
              <w:rPr>
                <w:rFonts w:ascii="Arial" w:hAnsi="Arial" w:cs="Arial"/>
                <w:sz w:val="20"/>
                <w:szCs w:val="20"/>
              </w:rPr>
            </w:pPr>
            <w:r w:rsidRPr="00F62BD0">
              <w:rPr>
                <w:rFonts w:ascii="Arial" w:hAnsi="Arial" w:cs="Arial"/>
                <w:sz w:val="20"/>
                <w:szCs w:val="20"/>
              </w:rPr>
              <w:t>any fill batter, (other than a compacted fill batter), is no steeper than 1V in 4H;</w:t>
            </w:r>
          </w:p>
          <w:p w:rsidR="00F62BD0" w:rsidRPr="00F62BD0" w:rsidRDefault="00F62BD0" w:rsidP="00F62BD0">
            <w:pPr>
              <w:numPr>
                <w:ilvl w:val="0"/>
                <w:numId w:val="7"/>
              </w:numPr>
              <w:rPr>
                <w:rFonts w:ascii="Arial" w:hAnsi="Arial" w:cs="Arial"/>
                <w:sz w:val="20"/>
                <w:szCs w:val="20"/>
              </w:rPr>
            </w:pPr>
            <w:r w:rsidRPr="00F62BD0">
              <w:rPr>
                <w:rFonts w:ascii="Arial" w:hAnsi="Arial" w:cs="Arial"/>
                <w:sz w:val="20"/>
                <w:szCs w:val="20"/>
              </w:rPr>
              <w:lastRenderedPageBreak/>
              <w:t>any compacted fill batter is no steeper than 1V in 4H.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RAD34</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RAD35</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Inspection and certification of steep slopes and batters may be required by a suitably qualified and experienced RPEQ.</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RAD36</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All fill and excavation </w:t>
            </w:r>
            <w:proofErr w:type="gramStart"/>
            <w:r w:rsidRPr="00F62BD0">
              <w:rPr>
                <w:rFonts w:ascii="Arial" w:hAnsi="Arial" w:cs="Arial"/>
                <w:sz w:val="20"/>
                <w:szCs w:val="20"/>
              </w:rPr>
              <w:t>is</w:t>
            </w:r>
            <w:proofErr w:type="gramEnd"/>
            <w:r w:rsidRPr="00F62BD0">
              <w:rPr>
                <w:rFonts w:ascii="Arial" w:hAnsi="Arial" w:cs="Arial"/>
                <w:sz w:val="20"/>
                <w:szCs w:val="20"/>
              </w:rPr>
              <w:t xml:space="preserve"> contained on-site and is free draining.</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RAD37</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Earthworks undertaken on the development site are shaped in a manner which does not:</w:t>
            </w:r>
          </w:p>
          <w:p w:rsidR="00F62BD0" w:rsidRPr="00F62BD0" w:rsidRDefault="00F62BD0" w:rsidP="00F62BD0">
            <w:pPr>
              <w:numPr>
                <w:ilvl w:val="0"/>
                <w:numId w:val="8"/>
              </w:numPr>
              <w:rPr>
                <w:rFonts w:ascii="Arial" w:hAnsi="Arial" w:cs="Arial"/>
                <w:sz w:val="20"/>
                <w:szCs w:val="20"/>
              </w:rPr>
            </w:pPr>
            <w:r w:rsidRPr="00F62BD0">
              <w:rPr>
                <w:rFonts w:ascii="Arial" w:hAnsi="Arial" w:cs="Arial"/>
                <w:sz w:val="20"/>
                <w:szCs w:val="20"/>
              </w:rPr>
              <w:t>prevent stormwater surface flow which, prior to commencement of the earthworks, passed onto the development site, from entering the land; or </w:t>
            </w:r>
          </w:p>
          <w:p w:rsidR="00F62BD0" w:rsidRPr="00F62BD0" w:rsidRDefault="00F62BD0" w:rsidP="00F62BD0">
            <w:pPr>
              <w:numPr>
                <w:ilvl w:val="0"/>
                <w:numId w:val="8"/>
              </w:numPr>
              <w:rPr>
                <w:rFonts w:ascii="Arial" w:hAnsi="Arial" w:cs="Arial"/>
                <w:sz w:val="20"/>
                <w:szCs w:val="20"/>
              </w:rPr>
            </w:pPr>
            <w:r w:rsidRPr="00F62BD0">
              <w:rPr>
                <w:rFonts w:ascii="Arial" w:hAnsi="Arial" w:cs="Arial"/>
                <w:sz w:val="20"/>
                <w:szCs w:val="20"/>
              </w:rPr>
              <w:t>redirect stormwater surface flow away from existing flow paths; or</w:t>
            </w:r>
          </w:p>
          <w:p w:rsidR="00F62BD0" w:rsidRPr="00F62BD0" w:rsidRDefault="00F62BD0" w:rsidP="00F62BD0">
            <w:pPr>
              <w:numPr>
                <w:ilvl w:val="0"/>
                <w:numId w:val="8"/>
              </w:numPr>
              <w:rPr>
                <w:rFonts w:ascii="Arial" w:hAnsi="Arial" w:cs="Arial"/>
                <w:sz w:val="20"/>
                <w:szCs w:val="20"/>
              </w:rPr>
            </w:pPr>
            <w:r w:rsidRPr="00F62BD0">
              <w:rPr>
                <w:rFonts w:ascii="Arial" w:hAnsi="Arial" w:cs="Arial"/>
                <w:sz w:val="20"/>
                <w:szCs w:val="20"/>
              </w:rPr>
              <w:t>divert stormwater surface flow onto adjacent land (other than a road) in a manner which:</w:t>
            </w:r>
          </w:p>
          <w:p w:rsidR="00F62BD0" w:rsidRPr="00F62BD0" w:rsidRDefault="00F62BD0" w:rsidP="00F62BD0">
            <w:pPr>
              <w:numPr>
                <w:ilvl w:val="1"/>
                <w:numId w:val="8"/>
              </w:numPr>
              <w:rPr>
                <w:rFonts w:ascii="Arial" w:hAnsi="Arial" w:cs="Arial"/>
                <w:sz w:val="20"/>
                <w:szCs w:val="20"/>
              </w:rPr>
            </w:pPr>
            <w:r w:rsidRPr="00F62BD0">
              <w:rPr>
                <w:rFonts w:ascii="Arial" w:hAnsi="Arial" w:cs="Arial"/>
                <w:sz w:val="20"/>
                <w:szCs w:val="20"/>
              </w:rPr>
              <w:t>concentrates the flow; or </w:t>
            </w:r>
          </w:p>
          <w:p w:rsidR="00F62BD0" w:rsidRPr="00F62BD0" w:rsidRDefault="00F62BD0" w:rsidP="00F62BD0">
            <w:pPr>
              <w:numPr>
                <w:ilvl w:val="1"/>
                <w:numId w:val="8"/>
              </w:numPr>
              <w:rPr>
                <w:rFonts w:ascii="Arial" w:hAnsi="Arial" w:cs="Arial"/>
                <w:sz w:val="20"/>
                <w:szCs w:val="20"/>
              </w:rPr>
            </w:pPr>
            <w:r w:rsidRPr="00F62BD0">
              <w:rPr>
                <w:rFonts w:ascii="Arial" w:hAnsi="Arial" w:cs="Arial"/>
                <w:sz w:val="20"/>
                <w:szCs w:val="20"/>
              </w:rPr>
              <w:t>increases the flow rates of stormwater over the affected section of the adjacent land above the situation which existed prior to the diversion; or</w:t>
            </w:r>
          </w:p>
          <w:p w:rsidR="00F62BD0" w:rsidRPr="00F62BD0" w:rsidRDefault="00F62BD0" w:rsidP="00F62BD0">
            <w:pPr>
              <w:numPr>
                <w:ilvl w:val="1"/>
                <w:numId w:val="8"/>
              </w:numPr>
              <w:rPr>
                <w:rFonts w:ascii="Arial" w:hAnsi="Arial" w:cs="Arial"/>
                <w:sz w:val="20"/>
                <w:szCs w:val="20"/>
              </w:rPr>
            </w:pPr>
            <w:r w:rsidRPr="00F62BD0">
              <w:rPr>
                <w:rFonts w:ascii="Arial" w:hAnsi="Arial" w:cs="Arial"/>
                <w:sz w:val="20"/>
                <w:szCs w:val="20"/>
              </w:rPr>
              <w:t>causes actionable nuisance to any person, property or premises. </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RAD38</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fill placed on-site is:</w:t>
            </w:r>
          </w:p>
          <w:p w:rsidR="00F62BD0" w:rsidRPr="00F62BD0" w:rsidRDefault="00F62BD0" w:rsidP="00F62BD0">
            <w:pPr>
              <w:numPr>
                <w:ilvl w:val="0"/>
                <w:numId w:val="9"/>
              </w:numPr>
              <w:rPr>
                <w:rFonts w:ascii="Arial" w:hAnsi="Arial" w:cs="Arial"/>
                <w:sz w:val="20"/>
                <w:szCs w:val="20"/>
              </w:rPr>
            </w:pPr>
            <w:r w:rsidRPr="00F62BD0">
              <w:rPr>
                <w:rFonts w:ascii="Arial" w:hAnsi="Arial" w:cs="Arial"/>
                <w:sz w:val="20"/>
                <w:szCs w:val="20"/>
              </w:rPr>
              <w:t>limited to that necessary for the approved use;</w:t>
            </w:r>
          </w:p>
          <w:p w:rsidR="00F62BD0" w:rsidRPr="00F62BD0" w:rsidRDefault="00F62BD0" w:rsidP="00F62BD0">
            <w:pPr>
              <w:numPr>
                <w:ilvl w:val="0"/>
                <w:numId w:val="9"/>
              </w:numPr>
              <w:rPr>
                <w:rFonts w:ascii="Arial" w:hAnsi="Arial" w:cs="Arial"/>
                <w:sz w:val="20"/>
                <w:szCs w:val="20"/>
              </w:rPr>
            </w:pPr>
            <w:r w:rsidRPr="00F62BD0">
              <w:rPr>
                <w:rFonts w:ascii="Arial" w:hAnsi="Arial" w:cs="Arial"/>
                <w:sz w:val="20"/>
                <w:szCs w:val="20"/>
              </w:rPr>
              <w:t xml:space="preserve">clean and uncontaminated (i.e. no building waste, concrete, green waste, actual acid </w:t>
            </w:r>
            <w:proofErr w:type="spellStart"/>
            <w:r w:rsidRPr="00F62BD0">
              <w:rPr>
                <w:rFonts w:ascii="Arial" w:hAnsi="Arial" w:cs="Arial"/>
                <w:sz w:val="20"/>
                <w:szCs w:val="20"/>
              </w:rPr>
              <w:t>sulfate</w:t>
            </w:r>
            <w:proofErr w:type="spellEnd"/>
            <w:r w:rsidRPr="00F62BD0">
              <w:rPr>
                <w:rFonts w:ascii="Arial" w:hAnsi="Arial" w:cs="Arial"/>
                <w:sz w:val="20"/>
                <w:szCs w:val="20"/>
              </w:rPr>
              <w:t xml:space="preserve"> soils, potential acid </w:t>
            </w:r>
            <w:proofErr w:type="spellStart"/>
            <w:r w:rsidRPr="00F62BD0">
              <w:rPr>
                <w:rFonts w:ascii="Arial" w:hAnsi="Arial" w:cs="Arial"/>
                <w:sz w:val="20"/>
                <w:szCs w:val="20"/>
              </w:rPr>
              <w:t>sulfate</w:t>
            </w:r>
            <w:proofErr w:type="spellEnd"/>
            <w:r w:rsidRPr="00F62BD0">
              <w:rPr>
                <w:rFonts w:ascii="Arial" w:hAnsi="Arial" w:cs="Arial"/>
                <w:sz w:val="20"/>
                <w:szCs w:val="20"/>
              </w:rPr>
              <w:t xml:space="preserve"> soils or contaminated material etc.).</w:t>
            </w:r>
          </w:p>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RAD39</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The site is </w:t>
            </w:r>
            <w:proofErr w:type="gramStart"/>
            <w:r w:rsidRPr="00F62BD0">
              <w:rPr>
                <w:rFonts w:ascii="Arial" w:hAnsi="Arial" w:cs="Arial"/>
                <w:sz w:val="20"/>
                <w:szCs w:val="20"/>
              </w:rPr>
              <w:t>prepared</w:t>
            </w:r>
            <w:proofErr w:type="gramEnd"/>
            <w:r w:rsidRPr="00F62BD0">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The fill is to be inspected and tested in accordance with Planning scheme policy - Operational works inspection, maintenance and bonding procedures</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RAD40</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14"/>
            </w:tblGrid>
            <w:tr w:rsidR="00F62BD0" w:rsidRPr="00F62BD0" w:rsidTr="00F62BD0">
              <w:trPr>
                <w:tblCellSpacing w:w="15" w:type="dxa"/>
              </w:trPr>
              <w:tc>
                <w:tcPr>
                  <w:tcW w:w="0" w:type="auto"/>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Note - Public sector entity is defined in Schedule 2 of the Act.</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F62BD0">
        <w:trPr>
          <w:tblCellSpacing w:w="15" w:type="dxa"/>
        </w:trPr>
        <w:tc>
          <w:tcPr>
            <w:tcW w:w="254"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RAD41</w:t>
            </w:r>
          </w:p>
        </w:tc>
        <w:tc>
          <w:tcPr>
            <w:tcW w:w="2822"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Filling or excavation that would result in any of the following is not carried out on site: </w:t>
            </w:r>
          </w:p>
          <w:p w:rsidR="00F62BD0" w:rsidRPr="00F62BD0" w:rsidRDefault="00F62BD0" w:rsidP="00F62BD0">
            <w:pPr>
              <w:numPr>
                <w:ilvl w:val="0"/>
                <w:numId w:val="10"/>
              </w:numPr>
              <w:rPr>
                <w:rFonts w:ascii="Arial" w:hAnsi="Arial" w:cs="Arial"/>
                <w:sz w:val="20"/>
                <w:szCs w:val="20"/>
              </w:rPr>
            </w:pPr>
            <w:r w:rsidRPr="00F62BD0">
              <w:rPr>
                <w:rFonts w:ascii="Arial" w:hAnsi="Arial" w:cs="Arial"/>
                <w:sz w:val="20"/>
                <w:szCs w:val="20"/>
              </w:rPr>
              <w:t>a reduction in cover over any Council or public sector entity infrastructure to less than 600mm;</w:t>
            </w:r>
          </w:p>
          <w:p w:rsidR="00F62BD0" w:rsidRPr="00F62BD0" w:rsidRDefault="00F62BD0" w:rsidP="00F62BD0">
            <w:pPr>
              <w:numPr>
                <w:ilvl w:val="0"/>
                <w:numId w:val="10"/>
              </w:numPr>
              <w:rPr>
                <w:rFonts w:ascii="Arial" w:hAnsi="Arial" w:cs="Arial"/>
                <w:sz w:val="20"/>
                <w:szCs w:val="20"/>
              </w:rPr>
            </w:pPr>
            <w:r w:rsidRPr="00F62BD0">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F62BD0" w:rsidRPr="00F62BD0" w:rsidRDefault="00F62BD0" w:rsidP="00F62BD0">
            <w:pPr>
              <w:numPr>
                <w:ilvl w:val="0"/>
                <w:numId w:val="10"/>
              </w:numPr>
              <w:rPr>
                <w:rFonts w:ascii="Arial" w:hAnsi="Arial" w:cs="Arial"/>
                <w:sz w:val="20"/>
                <w:szCs w:val="20"/>
              </w:rPr>
            </w:pPr>
            <w:r w:rsidRPr="00F62BD0">
              <w:rPr>
                <w:rFonts w:ascii="Arial" w:hAnsi="Arial" w:cs="Arial"/>
                <w:sz w:val="20"/>
                <w:szCs w:val="20"/>
              </w:rPr>
              <w:t xml:space="preserve">prevent reasonable access to Council or public sector </w:t>
            </w:r>
            <w:proofErr w:type="gramStart"/>
            <w:r w:rsidRPr="00F62BD0">
              <w:rPr>
                <w:rFonts w:ascii="Arial" w:hAnsi="Arial" w:cs="Arial"/>
                <w:sz w:val="20"/>
                <w:szCs w:val="20"/>
              </w:rPr>
              <w:t>entity maintained</w:t>
            </w:r>
            <w:proofErr w:type="gramEnd"/>
            <w:r w:rsidRPr="00F62BD0">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14"/>
            </w:tblGrid>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 xml:space="preserve">Note - Public sector entity is defined in Schedule 2 of the Act. </w:t>
                  </w:r>
                </w:p>
              </w:tc>
            </w:tr>
            <w:tr w:rsidR="00F62BD0" w:rsidRPr="00F62BD0" w:rsidTr="00F62BD0">
              <w:trPr>
                <w:tblCellSpacing w:w="15" w:type="dxa"/>
              </w:trPr>
              <w:tc>
                <w:tcPr>
                  <w:tcW w:w="0" w:type="auto"/>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All building work covered by QDC MP1.4 is excluded from this provision.</w:t>
                  </w:r>
                </w:p>
              </w:tc>
            </w:tr>
          </w:tbl>
          <w:p w:rsidR="00F62BD0" w:rsidRPr="00F62BD0" w:rsidRDefault="00F62BD0" w:rsidP="00F62BD0">
            <w:pPr>
              <w:rPr>
                <w:rFonts w:ascii="Arial" w:hAnsi="Arial" w:cs="Arial"/>
                <w:sz w:val="20"/>
                <w:szCs w:val="20"/>
              </w:rPr>
            </w:pPr>
          </w:p>
        </w:tc>
        <w:tc>
          <w:tcPr>
            <w:tcW w:w="59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bl>
    <w:p w:rsidR="00F62BD0" w:rsidRPr="00F62BD0" w:rsidRDefault="00F62BD0" w:rsidP="00F62BD0">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328"/>
        <w:gridCol w:w="8164"/>
        <w:gridCol w:w="1678"/>
        <w:gridCol w:w="4212"/>
      </w:tblGrid>
      <w:tr w:rsidR="00F62BD0"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sz w:val="20"/>
                <w:szCs w:val="20"/>
              </w:rPr>
            </w:pPr>
            <w:r w:rsidRPr="00F62BD0">
              <w:rPr>
                <w:rFonts w:ascii="Arial" w:hAnsi="Arial" w:cs="Arial"/>
                <w:b/>
                <w:bCs/>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F62BD0" w:rsidRPr="00F62BD0" w:rsidTr="00F62BD0">
              <w:trPr>
                <w:tblCellSpacing w:w="15" w:type="dxa"/>
              </w:trPr>
              <w:tc>
                <w:tcPr>
                  <w:tcW w:w="13732" w:type="dxa"/>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Note - The provisions under this heading only apply if:</w:t>
                  </w:r>
                </w:p>
                <w:p w:rsidR="00F62BD0" w:rsidRPr="00F62BD0" w:rsidRDefault="00F62BD0" w:rsidP="00F62BD0">
                  <w:pPr>
                    <w:numPr>
                      <w:ilvl w:val="0"/>
                      <w:numId w:val="11"/>
                    </w:numPr>
                    <w:rPr>
                      <w:rFonts w:ascii="Arial" w:hAnsi="Arial" w:cs="Arial"/>
                      <w:sz w:val="20"/>
                      <w:szCs w:val="20"/>
                    </w:rPr>
                  </w:pPr>
                  <w:r w:rsidRPr="00F62BD0">
                    <w:rPr>
                      <w:rFonts w:ascii="Arial" w:hAnsi="Arial" w:cs="Arial"/>
                      <w:sz w:val="20"/>
                      <w:szCs w:val="20"/>
                    </w:rPr>
                    <w:t>the development is for, or incorporates:</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reconfiguring a lot for a community title scheme creating 1 or more vacant lots; or</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material change of use for 2 or more sole occupancy units on the same lot, or within the same community titles scheme; or</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material change of use for a Tourist park</w:t>
                  </w:r>
                  <w:r w:rsidRPr="00F62BD0">
                    <w:rPr>
                      <w:rFonts w:ascii="Arial"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62BD0">
                      <w:rPr>
                        <w:rStyle w:val="Hyperlink"/>
                        <w:rFonts w:ascii="Arial" w:hAnsi="Arial" w:cs="Arial"/>
                        <w:sz w:val="20"/>
                        <w:szCs w:val="20"/>
                        <w:vertAlign w:val="superscript"/>
                      </w:rPr>
                      <w:t>84</w:t>
                    </w:r>
                  </w:hyperlink>
                  <w:r w:rsidRPr="00F62BD0">
                    <w:rPr>
                      <w:rFonts w:ascii="Arial" w:hAnsi="Arial" w:cs="Arial"/>
                      <w:sz w:val="20"/>
                      <w:szCs w:val="20"/>
                      <w:vertAlign w:val="superscript"/>
                    </w:rPr>
                    <w:t>)</w:t>
                  </w:r>
                  <w:r w:rsidRPr="00F62BD0">
                    <w:rPr>
                      <w:rFonts w:ascii="Arial" w:hAnsi="Arial" w:cs="Arial"/>
                      <w:sz w:val="20"/>
                      <w:szCs w:val="20"/>
                    </w:rPr>
                    <w:t xml:space="preserve"> with accommodation in the form of caravans or tents; or</w:t>
                  </w:r>
                </w:p>
                <w:p w:rsidR="00F62BD0" w:rsidRPr="00F62BD0" w:rsidRDefault="00F62BD0" w:rsidP="00F62BD0">
                  <w:pPr>
                    <w:numPr>
                      <w:ilvl w:val="1"/>
                      <w:numId w:val="11"/>
                    </w:numPr>
                    <w:rPr>
                      <w:rFonts w:ascii="Arial" w:hAnsi="Arial" w:cs="Arial"/>
                      <w:sz w:val="20"/>
                      <w:szCs w:val="20"/>
                    </w:rPr>
                  </w:pPr>
                  <w:r w:rsidRPr="00F62BD0">
                    <w:rPr>
                      <w:rFonts w:ascii="Arial" w:hAnsi="Arial" w:cs="Arial"/>
                      <w:sz w:val="20"/>
                      <w:szCs w:val="20"/>
                    </w:rPr>
                    <w:t>material change of use for outdoor sales</w:t>
                  </w:r>
                  <w:r w:rsidRPr="00F62BD0">
                    <w:rPr>
                      <w:rFonts w:ascii="Arial"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62BD0">
                      <w:rPr>
                        <w:rStyle w:val="Hyperlink"/>
                        <w:rFonts w:ascii="Arial" w:hAnsi="Arial" w:cs="Arial"/>
                        <w:sz w:val="20"/>
                        <w:szCs w:val="20"/>
                        <w:vertAlign w:val="superscript"/>
                      </w:rPr>
                      <w:t>54</w:t>
                    </w:r>
                  </w:hyperlink>
                  <w:r w:rsidRPr="00F62BD0">
                    <w:rPr>
                      <w:rFonts w:ascii="Arial" w:hAnsi="Arial" w:cs="Arial"/>
                      <w:sz w:val="20"/>
                      <w:szCs w:val="20"/>
                      <w:vertAlign w:val="superscript"/>
                    </w:rPr>
                    <w:t>)</w:t>
                  </w:r>
                  <w:r w:rsidRPr="00F62BD0">
                    <w:rPr>
                      <w:rFonts w:ascii="Arial" w:hAnsi="Arial" w:cs="Arial"/>
                      <w:sz w:val="20"/>
                      <w:szCs w:val="20"/>
                    </w:rPr>
                    <w:t>, outdoor processing or outdoor storage where involving combustible materials.</w:t>
                  </w:r>
                </w:p>
                <w:p w:rsidR="00F62BD0" w:rsidRPr="00F62BD0" w:rsidRDefault="00F62BD0" w:rsidP="00F62BD0">
                  <w:pPr>
                    <w:rPr>
                      <w:rFonts w:ascii="Arial" w:hAnsi="Arial" w:cs="Arial"/>
                      <w:sz w:val="20"/>
                      <w:szCs w:val="20"/>
                    </w:rPr>
                  </w:pPr>
                  <w:r w:rsidRPr="00F62BD0">
                    <w:rPr>
                      <w:rFonts w:ascii="Arial" w:hAnsi="Arial" w:cs="Arial"/>
                      <w:sz w:val="20"/>
                      <w:szCs w:val="20"/>
                    </w:rPr>
                    <w:t>AND</w:t>
                  </w:r>
                  <w:r w:rsidRPr="00F62BD0">
                    <w:rPr>
                      <w:rFonts w:ascii="Arial" w:hAnsi="Arial" w:cs="Arial"/>
                      <w:sz w:val="20"/>
                      <w:szCs w:val="20"/>
                    </w:rPr>
                    <w:br/>
                  </w:r>
                </w:p>
                <w:p w:rsidR="00F62BD0" w:rsidRPr="00F62BD0" w:rsidRDefault="00F62BD0" w:rsidP="00F62BD0">
                  <w:pPr>
                    <w:numPr>
                      <w:ilvl w:val="0"/>
                      <w:numId w:val="12"/>
                    </w:numPr>
                    <w:rPr>
                      <w:rFonts w:ascii="Arial" w:hAnsi="Arial" w:cs="Arial"/>
                      <w:sz w:val="20"/>
                      <w:szCs w:val="20"/>
                    </w:rPr>
                  </w:pPr>
                  <w:r w:rsidRPr="00F62BD0">
                    <w:rPr>
                      <w:rFonts w:ascii="Arial" w:hAnsi="Arial" w:cs="Arial"/>
                      <w:sz w:val="20"/>
                      <w:szCs w:val="20"/>
                    </w:rPr>
                    <w:t>none of the following exceptions apply:</w:t>
                  </w:r>
                </w:p>
                <w:p w:rsidR="000A78B5" w:rsidRDefault="00F62BD0" w:rsidP="00F62BD0">
                  <w:pPr>
                    <w:numPr>
                      <w:ilvl w:val="1"/>
                      <w:numId w:val="12"/>
                    </w:numPr>
                    <w:rPr>
                      <w:rFonts w:ascii="Arial" w:hAnsi="Arial" w:cs="Arial"/>
                      <w:sz w:val="20"/>
                      <w:szCs w:val="20"/>
                    </w:rPr>
                  </w:pPr>
                  <w:r w:rsidRPr="00F62BD0">
                    <w:rPr>
                      <w:rFonts w:ascii="Arial" w:hAnsi="Arial" w:cs="Arial"/>
                      <w:sz w:val="20"/>
                      <w:szCs w:val="20"/>
                    </w:rPr>
                    <w:t xml:space="preserve">the distributor-retailer for the area has indicated, in its </w:t>
                  </w:r>
                  <w:proofErr w:type="spellStart"/>
                  <w:r w:rsidRPr="00F62BD0">
                    <w:rPr>
                      <w:rFonts w:ascii="Arial" w:hAnsi="Arial" w:cs="Arial"/>
                      <w:sz w:val="20"/>
                      <w:szCs w:val="20"/>
                    </w:rPr>
                    <w:t>netserv</w:t>
                  </w:r>
                  <w:proofErr w:type="spellEnd"/>
                  <w:r w:rsidRPr="00F62BD0">
                    <w:rPr>
                      <w:rFonts w:ascii="Arial" w:hAnsi="Arial" w:cs="Arial"/>
                      <w:sz w:val="20"/>
                      <w:szCs w:val="20"/>
                    </w:rPr>
                    <w:t xml:space="preserve"> plan, that the premises will not be served by that entity’s reticulated water supply; or</w:t>
                  </w:r>
                </w:p>
                <w:p w:rsidR="00F62BD0" w:rsidRPr="000A78B5" w:rsidRDefault="00F62BD0" w:rsidP="00F62BD0">
                  <w:pPr>
                    <w:numPr>
                      <w:ilvl w:val="1"/>
                      <w:numId w:val="12"/>
                    </w:numPr>
                    <w:rPr>
                      <w:rFonts w:ascii="Arial" w:hAnsi="Arial" w:cs="Arial"/>
                      <w:sz w:val="20"/>
                      <w:szCs w:val="20"/>
                    </w:rPr>
                  </w:pPr>
                  <w:r w:rsidRPr="000A78B5">
                    <w:rPr>
                      <w:rFonts w:ascii="Arial" w:hAnsi="Arial" w:cs="Arial"/>
                      <w:sz w:val="20"/>
                      <w:szCs w:val="20"/>
                    </w:rPr>
                    <w:lastRenderedPageBreak/>
                    <w:t>every part of the development site is within 60m walking distance of an existing fire hydrant on the distributor-retailer’s reticulated water supply network, measured around all obstructions, either on or adjacent to the site.</w:t>
                  </w:r>
                </w:p>
              </w:tc>
            </w:tr>
            <w:tr w:rsidR="00F62BD0" w:rsidRPr="00F62BD0" w:rsidTr="00F62BD0">
              <w:trPr>
                <w:tblCellSpacing w:w="15" w:type="dxa"/>
              </w:trPr>
              <w:tc>
                <w:tcPr>
                  <w:tcW w:w="13732" w:type="dxa"/>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F62BD0">
                    <w:rPr>
                      <w:rFonts w:ascii="Arial" w:hAnsi="Arial" w:cs="Arial"/>
                      <w:sz w:val="20"/>
                      <w:szCs w:val="20"/>
                    </w:rPr>
                    <w:t>fire fighting</w:t>
                  </w:r>
                  <w:proofErr w:type="spellEnd"/>
                  <w:r w:rsidRPr="00F62BD0">
                    <w:rPr>
                      <w:rFonts w:ascii="Arial" w:hAnsi="Arial" w:cs="Arial"/>
                      <w:sz w:val="20"/>
                      <w:szCs w:val="20"/>
                    </w:rPr>
                    <w:t xml:space="preserve"> facilities which provide equivalent protection.</w:t>
                  </w:r>
                </w:p>
              </w:tc>
            </w:tr>
          </w:tbl>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RAD42</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External fire hydrant facilities are provided on site to the standard prescribed under the relevant parts of </w:t>
            </w:r>
            <w:r w:rsidRPr="00F62BD0">
              <w:rPr>
                <w:rFonts w:ascii="Arial" w:hAnsi="Arial" w:cs="Arial"/>
                <w:i/>
                <w:iCs/>
                <w:sz w:val="20"/>
                <w:szCs w:val="20"/>
              </w:rPr>
              <w:t>Australian Standard AS 2419.1 (2005) – Fire Hydrant Installations</w:t>
            </w:r>
            <w:r w:rsidRPr="00F62BD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For this requirement for accepted development, the following are the relevant parts of AS 2419.1 (2005):</w:t>
                  </w:r>
                </w:p>
                <w:p w:rsidR="00F62BD0" w:rsidRPr="006712F7" w:rsidRDefault="00F62BD0" w:rsidP="00F62BD0">
                  <w:pPr>
                    <w:numPr>
                      <w:ilvl w:val="0"/>
                      <w:numId w:val="13"/>
                    </w:numPr>
                    <w:rPr>
                      <w:rFonts w:ascii="Arial" w:hAnsi="Arial" w:cs="Arial"/>
                      <w:sz w:val="18"/>
                      <w:szCs w:val="20"/>
                    </w:rPr>
                  </w:pPr>
                  <w:r w:rsidRPr="006712F7">
                    <w:rPr>
                      <w:rFonts w:ascii="Arial" w:hAnsi="Arial" w:cs="Arial"/>
                      <w:sz w:val="18"/>
                      <w:szCs w:val="20"/>
                    </w:rPr>
                    <w:t>in regard to the form of any fire hydrant - Part 8.5 and Part 3.2.2.1, with the exception that for Tourist parks</w:t>
                  </w:r>
                  <w:r w:rsidRPr="006712F7">
                    <w:rPr>
                      <w:rFonts w:ascii="Arial" w:hAnsi="Arial" w:cs="Arial"/>
                      <w:sz w:val="18"/>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712F7">
                      <w:rPr>
                        <w:rStyle w:val="Hyperlink"/>
                        <w:rFonts w:ascii="Arial" w:hAnsi="Arial" w:cs="Arial"/>
                        <w:sz w:val="18"/>
                        <w:szCs w:val="20"/>
                        <w:vertAlign w:val="superscript"/>
                      </w:rPr>
                      <w:t>84</w:t>
                    </w:r>
                  </w:hyperlink>
                  <w:r w:rsidRPr="006712F7">
                    <w:rPr>
                      <w:rFonts w:ascii="Arial" w:hAnsi="Arial" w:cs="Arial"/>
                      <w:sz w:val="18"/>
                      <w:szCs w:val="20"/>
                      <w:vertAlign w:val="superscript"/>
                    </w:rPr>
                    <w:t>)</w:t>
                  </w:r>
                  <w:r w:rsidRPr="006712F7">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F62BD0" w:rsidRPr="006712F7" w:rsidRDefault="00F62BD0" w:rsidP="00F62BD0">
                  <w:pPr>
                    <w:numPr>
                      <w:ilvl w:val="0"/>
                      <w:numId w:val="13"/>
                    </w:numPr>
                    <w:rPr>
                      <w:rFonts w:ascii="Arial" w:hAnsi="Arial" w:cs="Arial"/>
                      <w:sz w:val="18"/>
                      <w:szCs w:val="20"/>
                    </w:rPr>
                  </w:pPr>
                  <w:proofErr w:type="gramStart"/>
                  <w:r w:rsidRPr="006712F7">
                    <w:rPr>
                      <w:rFonts w:ascii="Arial" w:hAnsi="Arial" w:cs="Arial"/>
                      <w:sz w:val="18"/>
                      <w:szCs w:val="20"/>
                    </w:rPr>
                    <w:t>in regard to</w:t>
                  </w:r>
                  <w:proofErr w:type="gramEnd"/>
                  <w:r w:rsidRPr="006712F7">
                    <w:rPr>
                      <w:rFonts w:ascii="Arial" w:hAnsi="Arial" w:cs="Arial"/>
                      <w:sz w:val="18"/>
                      <w:szCs w:val="20"/>
                    </w:rPr>
                    <w:t xml:space="preserve"> the general locational requirements for fire hydrants - Part 3.2.2.2 (a), (e), (f), (g) and (h) as well as Appendix B of AS 2419.1 (2005);</w:t>
                  </w:r>
                </w:p>
                <w:p w:rsidR="00F62BD0" w:rsidRPr="006712F7" w:rsidRDefault="00F62BD0" w:rsidP="00F62BD0">
                  <w:pPr>
                    <w:numPr>
                      <w:ilvl w:val="0"/>
                      <w:numId w:val="13"/>
                    </w:numPr>
                    <w:rPr>
                      <w:rFonts w:ascii="Arial" w:hAnsi="Arial" w:cs="Arial"/>
                      <w:sz w:val="18"/>
                      <w:szCs w:val="20"/>
                    </w:rPr>
                  </w:pPr>
                  <w:proofErr w:type="gramStart"/>
                  <w:r w:rsidRPr="006712F7">
                    <w:rPr>
                      <w:rFonts w:ascii="Arial" w:hAnsi="Arial" w:cs="Arial"/>
                      <w:sz w:val="18"/>
                      <w:szCs w:val="20"/>
                    </w:rPr>
                    <w:t>in regard to</w:t>
                  </w:r>
                  <w:proofErr w:type="gramEnd"/>
                  <w:r w:rsidRPr="006712F7">
                    <w:rPr>
                      <w:rFonts w:ascii="Arial" w:hAnsi="Arial" w:cs="Arial"/>
                      <w:sz w:val="18"/>
                      <w:szCs w:val="20"/>
                    </w:rPr>
                    <w:t xml:space="preserve"> the proximity of hydrants to buildings and other facilities - Part 3.2.2.2 (b), (c) and (d), with the exception that:</w:t>
                  </w:r>
                </w:p>
                <w:p w:rsidR="00F62BD0" w:rsidRPr="006712F7" w:rsidRDefault="00F62BD0" w:rsidP="00F62BD0">
                  <w:pPr>
                    <w:numPr>
                      <w:ilvl w:val="1"/>
                      <w:numId w:val="13"/>
                    </w:numPr>
                    <w:rPr>
                      <w:rFonts w:ascii="Arial" w:hAnsi="Arial" w:cs="Arial"/>
                      <w:sz w:val="18"/>
                      <w:szCs w:val="20"/>
                    </w:rPr>
                  </w:pPr>
                  <w:r w:rsidRPr="006712F7">
                    <w:rPr>
                      <w:rFonts w:ascii="Arial" w:hAnsi="Arial" w:cs="Arial"/>
                      <w:sz w:val="18"/>
                      <w:szCs w:val="20"/>
                    </w:rPr>
                    <w:t>- for dwellings and their associated outbuildings, hydrant coverage need only extend to the roof and external walls of those buildings;</w:t>
                  </w:r>
                </w:p>
                <w:p w:rsidR="00F62BD0" w:rsidRPr="006712F7" w:rsidRDefault="00F62BD0" w:rsidP="00F62BD0">
                  <w:pPr>
                    <w:numPr>
                      <w:ilvl w:val="1"/>
                      <w:numId w:val="13"/>
                    </w:numPr>
                    <w:rPr>
                      <w:rFonts w:ascii="Arial" w:hAnsi="Arial" w:cs="Arial"/>
                      <w:sz w:val="18"/>
                      <w:szCs w:val="20"/>
                    </w:rPr>
                  </w:pPr>
                  <w:r w:rsidRPr="006712F7">
                    <w:rPr>
                      <w:rFonts w:ascii="Arial" w:hAnsi="Arial" w:cs="Arial"/>
                      <w:sz w:val="18"/>
                      <w:szCs w:val="20"/>
                    </w:rPr>
                    <w:t>- for caravans and tents, hydrant coverage need only extend to the roof of those tents and caravans;</w:t>
                  </w:r>
                </w:p>
                <w:p w:rsidR="00F62BD0" w:rsidRPr="006712F7" w:rsidRDefault="00F62BD0" w:rsidP="00F62BD0">
                  <w:pPr>
                    <w:numPr>
                      <w:ilvl w:val="1"/>
                      <w:numId w:val="13"/>
                    </w:numPr>
                    <w:rPr>
                      <w:rFonts w:ascii="Arial" w:hAnsi="Arial" w:cs="Arial"/>
                      <w:sz w:val="18"/>
                      <w:szCs w:val="20"/>
                    </w:rPr>
                  </w:pPr>
                  <w:r w:rsidRPr="006712F7">
                    <w:rPr>
                      <w:rFonts w:ascii="Arial" w:hAnsi="Arial" w:cs="Arial"/>
                      <w:sz w:val="18"/>
                      <w:szCs w:val="20"/>
                    </w:rPr>
                    <w:t>- for outdoor sales</w:t>
                  </w:r>
                  <w:r w:rsidRPr="006712F7">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712F7">
                      <w:rPr>
                        <w:rStyle w:val="Hyperlink"/>
                        <w:rFonts w:ascii="Arial" w:hAnsi="Arial" w:cs="Arial"/>
                        <w:sz w:val="18"/>
                        <w:szCs w:val="20"/>
                        <w:vertAlign w:val="superscript"/>
                      </w:rPr>
                      <w:t>54</w:t>
                    </w:r>
                  </w:hyperlink>
                  <w:r w:rsidRPr="006712F7">
                    <w:rPr>
                      <w:rFonts w:ascii="Arial" w:hAnsi="Arial" w:cs="Arial"/>
                      <w:sz w:val="18"/>
                      <w:szCs w:val="20"/>
                      <w:vertAlign w:val="superscript"/>
                    </w:rPr>
                    <w:t>)</w:t>
                  </w:r>
                  <w:r w:rsidRPr="006712F7">
                    <w:rPr>
                      <w:rFonts w:ascii="Arial" w:hAnsi="Arial" w:cs="Arial"/>
                      <w:sz w:val="18"/>
                      <w:szCs w:val="20"/>
                    </w:rPr>
                    <w:t>, processing or storage facilities, hydrant coverage is required across the entire area of the outdoor sales</w:t>
                  </w:r>
                  <w:r w:rsidRPr="006712F7">
                    <w:rPr>
                      <w:rFonts w:ascii="Arial" w:hAnsi="Arial" w:cs="Arial"/>
                      <w:sz w:val="18"/>
                      <w:szCs w:val="20"/>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712F7">
                      <w:rPr>
                        <w:rStyle w:val="Hyperlink"/>
                        <w:rFonts w:ascii="Arial" w:hAnsi="Arial" w:cs="Arial"/>
                        <w:sz w:val="18"/>
                        <w:szCs w:val="20"/>
                        <w:vertAlign w:val="superscript"/>
                      </w:rPr>
                      <w:t>54</w:t>
                    </w:r>
                  </w:hyperlink>
                  <w:r w:rsidRPr="006712F7">
                    <w:rPr>
                      <w:rFonts w:ascii="Arial" w:hAnsi="Arial" w:cs="Arial"/>
                      <w:sz w:val="18"/>
                      <w:szCs w:val="20"/>
                      <w:vertAlign w:val="superscript"/>
                    </w:rPr>
                    <w:t>)</w:t>
                  </w:r>
                  <w:r w:rsidRPr="006712F7">
                    <w:rPr>
                      <w:rFonts w:ascii="Arial" w:hAnsi="Arial" w:cs="Arial"/>
                      <w:sz w:val="18"/>
                      <w:szCs w:val="20"/>
                    </w:rPr>
                    <w:t>, outdoor processing and outdoor storage facilities; and</w:t>
                  </w:r>
                </w:p>
                <w:p w:rsidR="00F62BD0" w:rsidRPr="006712F7" w:rsidRDefault="00F62BD0" w:rsidP="00F62BD0">
                  <w:pPr>
                    <w:numPr>
                      <w:ilvl w:val="0"/>
                      <w:numId w:val="13"/>
                    </w:numPr>
                    <w:rPr>
                      <w:rFonts w:ascii="Arial" w:hAnsi="Arial" w:cs="Arial"/>
                      <w:sz w:val="18"/>
                      <w:szCs w:val="20"/>
                    </w:rPr>
                  </w:pPr>
                  <w:proofErr w:type="gramStart"/>
                  <w:r w:rsidRPr="006712F7">
                    <w:rPr>
                      <w:rFonts w:ascii="Arial" w:hAnsi="Arial" w:cs="Arial"/>
                      <w:sz w:val="18"/>
                      <w:szCs w:val="20"/>
                    </w:rPr>
                    <w:t>in regard to</w:t>
                  </w:r>
                  <w:proofErr w:type="gramEnd"/>
                  <w:r w:rsidRPr="006712F7">
                    <w:rPr>
                      <w:rFonts w:ascii="Arial" w:hAnsi="Arial" w:cs="Arial"/>
                      <w:sz w:val="18"/>
                      <w:szCs w:val="20"/>
                    </w:rPr>
                    <w:t xml:space="preserve"> fire hydrant accessibility and clearance requirements - Part 3.5 and where applicable, Part 3.6.</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RAD43</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t>an unobstructed width of no less than 3.5m;</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t>an unobstructed height of no less than 4.8m;</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lastRenderedPageBreak/>
              <w:t>constructed to be readily traversed by a 17 tonne HRV fire brigade pumping appliance;</w:t>
            </w:r>
          </w:p>
          <w:p w:rsidR="00F62BD0" w:rsidRPr="00F62BD0" w:rsidRDefault="00F62BD0" w:rsidP="00F62BD0">
            <w:pPr>
              <w:numPr>
                <w:ilvl w:val="0"/>
                <w:numId w:val="14"/>
              </w:numPr>
              <w:rPr>
                <w:rFonts w:ascii="Arial" w:hAnsi="Arial" w:cs="Arial"/>
                <w:sz w:val="20"/>
                <w:szCs w:val="20"/>
              </w:rPr>
            </w:pPr>
            <w:r w:rsidRPr="00F62BD0">
              <w:rPr>
                <w:rFonts w:ascii="Arial" w:hAnsi="Arial" w:cs="Arial"/>
                <w:sz w:val="20"/>
                <w:szCs w:val="20"/>
              </w:rPr>
              <w:t>an area for a fire brigade pumping appliance to stand within 20m of each fire hydrant and 8m of each hydrant booster point.</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RAD44</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On-site fire hydrant facilities are maintained in effective operating order in a manner prescribed in </w:t>
            </w:r>
            <w:r w:rsidRPr="00F62BD0">
              <w:rPr>
                <w:rFonts w:ascii="Arial" w:hAnsi="Arial" w:cs="Arial"/>
                <w:i/>
                <w:iCs/>
                <w:sz w:val="20"/>
                <w:szCs w:val="20"/>
              </w:rPr>
              <w:t>Australian Standard AS1851 (2012) – Routine service of fire protection systems and equipment</w:t>
            </w:r>
            <w:r w:rsidRPr="00F62BD0">
              <w:rPr>
                <w:rFonts w:ascii="Arial" w:hAnsi="Arial" w:cs="Arial"/>
                <w:sz w:val="20"/>
                <w:szCs w:val="20"/>
              </w:rPr>
              <w:t>.</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RAD45</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For development that contains on-site fire hydrants external to buildings:</w:t>
            </w:r>
          </w:p>
          <w:p w:rsidR="00F62BD0" w:rsidRPr="00F62BD0" w:rsidRDefault="00F62BD0" w:rsidP="00F62BD0">
            <w:pPr>
              <w:numPr>
                <w:ilvl w:val="0"/>
                <w:numId w:val="15"/>
              </w:numPr>
              <w:rPr>
                <w:rFonts w:ascii="Arial" w:hAnsi="Arial" w:cs="Arial"/>
                <w:sz w:val="20"/>
                <w:szCs w:val="20"/>
              </w:rPr>
            </w:pPr>
            <w:r w:rsidRPr="00F62BD0">
              <w:rPr>
                <w:rFonts w:ascii="Arial" w:hAnsi="Arial" w:cs="Arial"/>
                <w:sz w:val="20"/>
                <w:szCs w:val="20"/>
              </w:rPr>
              <w:t>those external hydrants can be seen from the vehicular entry point to the site; or</w:t>
            </w:r>
          </w:p>
          <w:p w:rsidR="00F62BD0" w:rsidRPr="00F62BD0" w:rsidRDefault="00F62BD0" w:rsidP="00F62BD0">
            <w:pPr>
              <w:numPr>
                <w:ilvl w:val="0"/>
                <w:numId w:val="15"/>
              </w:numPr>
              <w:rPr>
                <w:rFonts w:ascii="Arial" w:hAnsi="Arial" w:cs="Arial"/>
                <w:sz w:val="20"/>
                <w:szCs w:val="20"/>
              </w:rPr>
            </w:pPr>
            <w:r w:rsidRPr="00F62BD0">
              <w:rPr>
                <w:rFonts w:ascii="Arial" w:hAnsi="Arial" w:cs="Arial"/>
                <w:sz w:val="20"/>
                <w:szCs w:val="20"/>
              </w:rPr>
              <w:t>a sign identifying the following is provided at the vehicular entry point to the site:</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the overall layout of the development (to scale);</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internal road names (where used);</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all communal facilities (where provided);</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the reception area and on-site manager’s office (where provided);</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external hydrants and hydrant booster points;</w:t>
            </w:r>
          </w:p>
          <w:p w:rsidR="00F62BD0" w:rsidRPr="00F62BD0" w:rsidRDefault="00F62BD0" w:rsidP="00F62BD0">
            <w:pPr>
              <w:numPr>
                <w:ilvl w:val="1"/>
                <w:numId w:val="15"/>
              </w:numPr>
              <w:rPr>
                <w:rFonts w:ascii="Arial" w:hAnsi="Arial" w:cs="Arial"/>
                <w:sz w:val="20"/>
                <w:szCs w:val="20"/>
              </w:rPr>
            </w:pPr>
            <w:r w:rsidRPr="00F62BD0">
              <w:rPr>
                <w:rFonts w:ascii="Arial" w:hAnsi="Arial" w:cs="Arial"/>
                <w:sz w:val="20"/>
                <w:szCs w:val="20"/>
              </w:rPr>
              <w:t xml:space="preserve">physical constraints within the internal roadway system which would restrict access by </w:t>
            </w:r>
            <w:proofErr w:type="spellStart"/>
            <w:r w:rsidRPr="00F62BD0">
              <w:rPr>
                <w:rFonts w:ascii="Arial" w:hAnsi="Arial" w:cs="Arial"/>
                <w:sz w:val="20"/>
                <w:szCs w:val="20"/>
              </w:rPr>
              <w:t>fire fighting</w:t>
            </w:r>
            <w:proofErr w:type="spellEnd"/>
            <w:r w:rsidRPr="00F62BD0">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The sign prescribed above, and the graphics used are to be:</w:t>
                  </w:r>
                </w:p>
                <w:p w:rsidR="00F62BD0" w:rsidRPr="006712F7" w:rsidRDefault="00F62BD0" w:rsidP="00F62BD0">
                  <w:pPr>
                    <w:numPr>
                      <w:ilvl w:val="0"/>
                      <w:numId w:val="16"/>
                    </w:numPr>
                    <w:rPr>
                      <w:rFonts w:ascii="Arial" w:hAnsi="Arial" w:cs="Arial"/>
                      <w:sz w:val="18"/>
                      <w:szCs w:val="20"/>
                    </w:rPr>
                  </w:pPr>
                  <w:r w:rsidRPr="006712F7">
                    <w:rPr>
                      <w:rFonts w:ascii="Arial" w:hAnsi="Arial" w:cs="Arial"/>
                      <w:sz w:val="18"/>
                      <w:szCs w:val="20"/>
                    </w:rPr>
                    <w:t>in a form;</w:t>
                  </w:r>
                </w:p>
                <w:p w:rsidR="00F62BD0" w:rsidRPr="006712F7" w:rsidRDefault="00F62BD0" w:rsidP="00F62BD0">
                  <w:pPr>
                    <w:numPr>
                      <w:ilvl w:val="0"/>
                      <w:numId w:val="16"/>
                    </w:numPr>
                    <w:rPr>
                      <w:rFonts w:ascii="Arial" w:hAnsi="Arial" w:cs="Arial"/>
                      <w:sz w:val="18"/>
                      <w:szCs w:val="20"/>
                    </w:rPr>
                  </w:pPr>
                  <w:r w:rsidRPr="006712F7">
                    <w:rPr>
                      <w:rFonts w:ascii="Arial" w:hAnsi="Arial" w:cs="Arial"/>
                      <w:sz w:val="18"/>
                      <w:szCs w:val="20"/>
                    </w:rPr>
                    <w:t>of a size;</w:t>
                  </w:r>
                </w:p>
                <w:p w:rsidR="00F62BD0" w:rsidRPr="006712F7" w:rsidRDefault="00F62BD0" w:rsidP="00F62BD0">
                  <w:pPr>
                    <w:numPr>
                      <w:ilvl w:val="0"/>
                      <w:numId w:val="16"/>
                    </w:numPr>
                    <w:rPr>
                      <w:rFonts w:ascii="Arial" w:hAnsi="Arial" w:cs="Arial"/>
                      <w:sz w:val="18"/>
                      <w:szCs w:val="20"/>
                    </w:rPr>
                  </w:pPr>
                  <w:r w:rsidRPr="006712F7">
                    <w:rPr>
                      <w:rFonts w:ascii="Arial" w:hAnsi="Arial" w:cs="Arial"/>
                      <w:sz w:val="18"/>
                      <w:szCs w:val="20"/>
                    </w:rPr>
                    <w:t>illuminated to a level;</w:t>
                  </w:r>
                </w:p>
                <w:p w:rsidR="00F62BD0" w:rsidRPr="00F62BD0" w:rsidRDefault="00F62BD0" w:rsidP="00F62BD0">
                  <w:pPr>
                    <w:rPr>
                      <w:rFonts w:ascii="Arial" w:hAnsi="Arial" w:cs="Arial"/>
                      <w:sz w:val="20"/>
                      <w:szCs w:val="20"/>
                    </w:rPr>
                  </w:pPr>
                  <w:r w:rsidRPr="006712F7">
                    <w:rPr>
                      <w:rFonts w:ascii="Arial" w:hAnsi="Arial" w:cs="Arial"/>
                      <w:sz w:val="18"/>
                      <w:szCs w:val="20"/>
                    </w:rPr>
                    <w:t xml:space="preserve">which allows the information on the sign to be readily understood, </w:t>
                  </w:r>
                  <w:proofErr w:type="gramStart"/>
                  <w:r w:rsidRPr="006712F7">
                    <w:rPr>
                      <w:rFonts w:ascii="Arial" w:hAnsi="Arial" w:cs="Arial"/>
                      <w:sz w:val="18"/>
                      <w:szCs w:val="20"/>
                    </w:rPr>
                    <w:t>at all times</w:t>
                  </w:r>
                  <w:proofErr w:type="gramEnd"/>
                  <w:r w:rsidRPr="006712F7">
                    <w:rPr>
                      <w:rFonts w:ascii="Arial" w:hAnsi="Arial" w:cs="Arial"/>
                      <w:sz w:val="18"/>
                      <w:szCs w:val="20"/>
                    </w:rPr>
                    <w:t>, by a person in a fire fighting appliance up to 4.5m from the sign.</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RAD46</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 xml:space="preserve">For development that contains on-site fire hydrants external to buildings, those hydrants are identified by way of marker posts and raised reflective pavements markers in the </w:t>
            </w:r>
            <w:r w:rsidRPr="00F62BD0">
              <w:rPr>
                <w:rFonts w:ascii="Arial" w:hAnsi="Arial" w:cs="Arial"/>
                <w:sz w:val="20"/>
                <w:szCs w:val="20"/>
              </w:rPr>
              <w:lastRenderedPageBreak/>
              <w:t xml:space="preserve">manner prescribed in the technical note </w:t>
            </w:r>
            <w:r w:rsidRPr="00F62BD0">
              <w:rPr>
                <w:rFonts w:ascii="Arial" w:hAnsi="Arial" w:cs="Arial"/>
                <w:i/>
                <w:iCs/>
                <w:sz w:val="20"/>
                <w:szCs w:val="20"/>
              </w:rPr>
              <w:t>Fire hydrant indication system</w:t>
            </w:r>
            <w:r w:rsidRPr="00F62BD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Technical note Fire hydrant indication system is available on the website of the Queensland Department of Transport and Main Roads.</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307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Use specific requirements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34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307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Residential uses (dwelling units</w:t>
            </w:r>
            <w:r w:rsidRPr="00F62BD0">
              <w:rPr>
                <w:rFonts w:ascii="Arial" w:hAnsi="Arial" w:cs="Arial"/>
                <w:sz w:val="20"/>
                <w:szCs w:val="20"/>
              </w:rPr>
              <w:t xml:space="preserve"> </w:t>
            </w:r>
            <w:r w:rsidRPr="00F62BD0">
              <w:rPr>
                <w:rFonts w:ascii="Arial" w:hAnsi="Arial" w:cs="Arial"/>
                <w:b/>
                <w:bCs/>
                <w:sz w:val="20"/>
                <w:szCs w:val="20"/>
              </w:rPr>
              <w:t>and caretaker's accommodation</w:t>
            </w:r>
            <w:hyperlink r:id="rId14" w:anchor="ID-2693465-FOOTNOTE-10" w:tooltip="Caretaker’s accommodation - A dwelling provided for a caretaker of a non-residential use on the same premises." w:history="1"/>
            <w:r w:rsidRPr="00F62BD0">
              <w:rPr>
                <w:rFonts w:ascii="Arial" w:hAnsi="Arial" w:cs="Arial"/>
                <w:b/>
                <w:bCs/>
                <w:sz w:val="20"/>
                <w:szCs w:val="20"/>
              </w:rPr>
              <w: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34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RAD47</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dwelling is provided with a separate pedestrian entrance to that of the non-residential use on-site.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rHeight w:val="345"/>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RAD48</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Dwellings are located behind or above the non-residential use on-site.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RAD49</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Dwellings are provided with a private open space area that:</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is directly accessible from a living area within the dwelling;</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is screened for privacy;</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ground floor dwellings include a minimum private open spaces area of 16m</w:t>
            </w:r>
            <w:r w:rsidRPr="00F62BD0">
              <w:rPr>
                <w:rFonts w:ascii="Arial" w:hAnsi="Arial" w:cs="Arial"/>
                <w:sz w:val="20"/>
                <w:szCs w:val="20"/>
                <w:vertAlign w:val="superscript"/>
              </w:rPr>
              <w:t>2</w:t>
            </w:r>
            <w:r w:rsidRPr="00F62BD0">
              <w:rPr>
                <w:rFonts w:ascii="Arial" w:hAnsi="Arial" w:cs="Arial"/>
                <w:sz w:val="20"/>
                <w:szCs w:val="20"/>
              </w:rPr>
              <w:t xml:space="preserve"> with a minimum dimension of 4m that is not located in front of the main building line; or</w:t>
            </w:r>
          </w:p>
          <w:p w:rsidR="00F62BD0" w:rsidRPr="00F62BD0" w:rsidRDefault="00F62BD0" w:rsidP="00F62BD0">
            <w:pPr>
              <w:numPr>
                <w:ilvl w:val="0"/>
                <w:numId w:val="17"/>
              </w:numPr>
              <w:rPr>
                <w:rFonts w:ascii="Arial" w:hAnsi="Arial" w:cs="Arial"/>
                <w:sz w:val="20"/>
                <w:szCs w:val="20"/>
              </w:rPr>
            </w:pPr>
            <w:r w:rsidRPr="00F62BD0">
              <w:rPr>
                <w:rFonts w:ascii="Arial" w:hAnsi="Arial" w:cs="Arial"/>
                <w:sz w:val="20"/>
                <w:szCs w:val="20"/>
              </w:rPr>
              <w:t>above ground floor dwellings include a minimum private open space area of 8m</w:t>
            </w:r>
            <w:r w:rsidRPr="00F62BD0">
              <w:rPr>
                <w:rFonts w:ascii="Arial" w:hAnsi="Arial" w:cs="Arial"/>
                <w:sz w:val="20"/>
                <w:szCs w:val="20"/>
                <w:vertAlign w:val="superscript"/>
              </w:rPr>
              <w:t>2</w:t>
            </w:r>
            <w:r w:rsidRPr="00F62BD0">
              <w:rPr>
                <w:rFonts w:ascii="Arial" w:hAnsi="Arial" w:cs="Arial"/>
                <w:sz w:val="20"/>
                <w:szCs w:val="20"/>
              </w:rPr>
              <w:t xml:space="preserve"> with a minimum dimension of 2.5m.</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RAD50</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street number is clearly displayed at the entrance to the dwelling, and at the front of the site to enable identification by emergency services</w:t>
            </w:r>
            <w:r w:rsidRPr="00F62BD0">
              <w:rPr>
                <w:rFonts w:ascii="Arial" w:hAnsi="Arial" w:cs="Arial"/>
                <w:sz w:val="20"/>
                <w:szCs w:val="20"/>
                <w:vertAlign w:val="superscript"/>
              </w:rPr>
              <w:t>(</w:t>
            </w:r>
            <w:hyperlink r:id="rId15"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F62BD0">
                <w:rPr>
                  <w:rStyle w:val="Hyperlink"/>
                  <w:rFonts w:ascii="Arial" w:hAnsi="Arial" w:cs="Arial"/>
                  <w:sz w:val="20"/>
                  <w:szCs w:val="20"/>
                  <w:vertAlign w:val="superscript"/>
                </w:rPr>
                <w:t>25</w:t>
              </w:r>
            </w:hyperlink>
            <w:r w:rsidRPr="00F62BD0">
              <w:rPr>
                <w:rFonts w:ascii="Arial" w:hAnsi="Arial" w:cs="Arial"/>
                <w:sz w:val="20"/>
                <w:szCs w:val="20"/>
                <w:vertAlign w:val="superscript"/>
              </w:rPr>
              <w:t>)</w:t>
            </w:r>
            <w:r w:rsidRPr="00F62BD0">
              <w:rPr>
                <w:rFonts w:ascii="Arial" w:hAnsi="Arial" w:cs="Arial"/>
                <w:sz w:val="20"/>
                <w:szCs w:val="20"/>
              </w:rPr>
              <w:t>.</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307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62BD0" w:rsidRPr="00F62BD0" w:rsidRDefault="00F62BD0" w:rsidP="00F62BD0">
            <w:pPr>
              <w:rPr>
                <w:rFonts w:ascii="Arial" w:hAnsi="Arial" w:cs="Arial"/>
                <w:sz w:val="20"/>
                <w:szCs w:val="20"/>
              </w:rPr>
            </w:pPr>
            <w:r w:rsidRPr="00F62BD0">
              <w:rPr>
                <w:rFonts w:ascii="Arial" w:hAnsi="Arial" w:cs="Arial"/>
                <w:b/>
                <w:bCs/>
                <w:sz w:val="20"/>
                <w:szCs w:val="20"/>
              </w:rPr>
              <w:t>Home based business</w:t>
            </w:r>
            <w:r w:rsidRPr="00F62BD0">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F62BD0">
                <w:rPr>
                  <w:rStyle w:val="Hyperlink"/>
                  <w:rFonts w:ascii="Arial" w:hAnsi="Arial" w:cs="Arial"/>
                  <w:sz w:val="20"/>
                  <w:szCs w:val="20"/>
                  <w:vertAlign w:val="superscript"/>
                </w:rPr>
                <w:t>35</w:t>
              </w:r>
            </w:hyperlink>
            <w:r w:rsidRPr="00F62BD0">
              <w:rPr>
                <w:rFonts w:ascii="Arial" w:hAnsi="Arial" w:cs="Arial"/>
                <w:sz w:val="20"/>
                <w:szCs w:val="20"/>
                <w:vertAlign w:val="superscript"/>
              </w:rPr>
              <w: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c>
          <w:tcPr>
            <w:tcW w:w="1345" w:type="pct"/>
            <w:tcBorders>
              <w:top w:val="outset" w:sz="6" w:space="0" w:color="auto"/>
              <w:left w:val="outset" w:sz="6" w:space="0" w:color="auto"/>
              <w:bottom w:val="outset" w:sz="6" w:space="0" w:color="auto"/>
              <w:right w:val="outset" w:sz="6" w:space="0" w:color="auto"/>
            </w:tcBorders>
            <w:shd w:val="clear" w:color="auto" w:fill="CCCCCC"/>
          </w:tcPr>
          <w:p w:rsidR="00F62BD0" w:rsidRPr="00F62BD0" w:rsidRDefault="00F62BD0"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RAD51</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maximum of 1 employee (not a resident) OR 2 customers or customers from within 1 Small rigid vehicle (SRV) or smaller are permitted on the site at any one time.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RAD52</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home based business</w:t>
            </w:r>
            <w:r w:rsidRPr="00F62BD0">
              <w:rPr>
                <w:rFonts w:ascii="Arial" w:hAnsi="Arial" w:cs="Arial"/>
                <w:sz w:val="20"/>
                <w:szCs w:val="20"/>
                <w:vertAlign w:val="superscript"/>
              </w:rPr>
              <w:t>(</w:t>
            </w:r>
            <w:hyperlink r:id="rId17" w:anchor="target-d768251e571179" w:tooltip="Home based business - A dwelling used for a business activity where subordinate to the residential use." w:history="1">
              <w:r w:rsidRPr="00F62BD0">
                <w:rPr>
                  <w:rStyle w:val="Hyperlink"/>
                  <w:rFonts w:ascii="Arial" w:hAnsi="Arial" w:cs="Arial"/>
                  <w:sz w:val="20"/>
                  <w:szCs w:val="20"/>
                  <w:vertAlign w:val="superscript"/>
                </w:rPr>
                <w:t>35</w:t>
              </w:r>
            </w:hyperlink>
            <w:r w:rsidRPr="00F62BD0">
              <w:rPr>
                <w:rFonts w:ascii="Arial" w:hAnsi="Arial" w:cs="Arial"/>
                <w:sz w:val="20"/>
                <w:szCs w:val="20"/>
                <w:vertAlign w:val="superscript"/>
              </w:rPr>
              <w:t>)</w:t>
            </w:r>
            <w:r w:rsidRPr="00F62BD0">
              <w:rPr>
                <w:rFonts w:ascii="Arial" w:hAnsi="Arial" w:cs="Arial"/>
                <w:sz w:val="20"/>
                <w:szCs w:val="20"/>
              </w:rPr>
              <w:t xml:space="preserve"> occupies an area of the existing dwelling or on-site structure not greater than 40m</w:t>
            </w:r>
            <w:r w:rsidRPr="00F62BD0">
              <w:rPr>
                <w:rFonts w:ascii="Arial" w:hAnsi="Arial" w:cs="Arial"/>
                <w:sz w:val="20"/>
                <w:szCs w:val="20"/>
                <w:vertAlign w:val="superscript"/>
              </w:rPr>
              <w:t xml:space="preserve">2 </w:t>
            </w:r>
            <w:r w:rsidRPr="00F62BD0">
              <w:rPr>
                <w:rFonts w:ascii="Arial" w:hAnsi="Arial" w:cs="Arial"/>
                <w:sz w:val="20"/>
                <w:szCs w:val="20"/>
              </w:rPr>
              <w:t>gross floor area.</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r w:rsidRPr="00F62BD0">
              <w:rPr>
                <w:rFonts w:ascii="Arial" w:hAnsi="Arial" w:cs="Arial"/>
                <w:b/>
                <w:bCs/>
                <w:sz w:val="20"/>
                <w:szCs w:val="20"/>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shd w:val="clear" w:color="auto" w:fill="CCCCCC"/>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lastRenderedPageBreak/>
                    <w:t>Editor's note - In accordance with the Federal legislation Telecommunications facilities</w:t>
                  </w:r>
                  <w:r w:rsidRPr="00F62BD0">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F62BD0">
                      <w:rPr>
                        <w:rStyle w:val="Hyperlink"/>
                        <w:rFonts w:ascii="Arial" w:hAnsi="Arial" w:cs="Arial"/>
                        <w:sz w:val="20"/>
                        <w:szCs w:val="20"/>
                        <w:vertAlign w:val="superscript"/>
                      </w:rPr>
                      <w:t>81</w:t>
                    </w:r>
                  </w:hyperlink>
                  <w:r w:rsidRPr="00F62BD0">
                    <w:rPr>
                      <w:rFonts w:ascii="Arial" w:hAnsi="Arial" w:cs="Arial"/>
                      <w:sz w:val="20"/>
                      <w:szCs w:val="20"/>
                      <w:vertAlign w:val="superscript"/>
                    </w:rPr>
                    <w:t>)</w:t>
                  </w:r>
                  <w:r w:rsidRPr="00F62BD0">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6712F7" w:rsidRPr="00F62BD0" w:rsidRDefault="006712F7"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RAD53</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minimum area of 45m</w:t>
            </w:r>
            <w:r w:rsidRPr="00F62BD0">
              <w:rPr>
                <w:rFonts w:ascii="Arial" w:hAnsi="Arial" w:cs="Arial"/>
                <w:sz w:val="20"/>
                <w:szCs w:val="20"/>
                <w:vertAlign w:val="superscript"/>
              </w:rPr>
              <w:t>2</w:t>
            </w:r>
            <w:r w:rsidRPr="00F62BD0">
              <w:rPr>
                <w:rFonts w:ascii="Arial" w:hAnsi="Arial" w:cs="Arial"/>
                <w:sz w:val="20"/>
                <w:szCs w:val="20"/>
              </w:rPr>
              <w:t xml:space="preserve"> is available to allow for additional equipment shelters and associated structures for the purpose of co-locating on the proposed facility.</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RAD54</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RAD55</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Equipment shelters and associated structures are located:</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directly beside the existing equipment shelter and associated structures;</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behind the main building line;</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further away from the frontage than the existing equipment shelter and associated structures;</w:t>
            </w:r>
          </w:p>
          <w:p w:rsidR="00F62BD0" w:rsidRPr="00F62BD0" w:rsidRDefault="00F62BD0" w:rsidP="00F62BD0">
            <w:pPr>
              <w:numPr>
                <w:ilvl w:val="0"/>
                <w:numId w:val="18"/>
              </w:numPr>
              <w:rPr>
                <w:rFonts w:ascii="Arial" w:hAnsi="Arial" w:cs="Arial"/>
                <w:sz w:val="20"/>
                <w:szCs w:val="20"/>
              </w:rPr>
            </w:pPr>
            <w:r w:rsidRPr="00F62BD0">
              <w:rPr>
                <w:rFonts w:ascii="Arial" w:hAnsi="Arial" w:cs="Arial"/>
                <w:sz w:val="20"/>
                <w:szCs w:val="20"/>
              </w:rPr>
              <w:t>a minimum of 10m from side and rear boundaries, except where in the Industry and Extractive industry zones, the minimum side and rear setback is 3m.</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RAD56</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Equipment shelters and other associated structures are either the same type of colour or material to match the surrounding locality.</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RAD57</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facility is enclosed by security fencing or by other means to ensure public access is prohibited.</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RAD58</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Landscaping is provided in accordance with Planning scheme policy - Integrated design.</w:t>
                  </w:r>
                </w:p>
              </w:tc>
            </w:tr>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Council may require a detailed landscaping plan, prepared by a suitably qualified person to ensure compliance with Planning scheme policy - Integrated design.</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RAD59</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All equipment comprising the telecommunications facility</w:t>
            </w:r>
            <w:r w:rsidRPr="00F62BD0">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F62BD0">
                <w:rPr>
                  <w:rStyle w:val="Hyperlink"/>
                  <w:rFonts w:ascii="Arial" w:hAnsi="Arial" w:cs="Arial"/>
                  <w:sz w:val="20"/>
                  <w:szCs w:val="20"/>
                  <w:vertAlign w:val="superscript"/>
                </w:rPr>
                <w:t>81</w:t>
              </w:r>
            </w:hyperlink>
            <w:r w:rsidRPr="00F62BD0">
              <w:rPr>
                <w:rFonts w:ascii="Arial" w:hAnsi="Arial" w:cs="Arial"/>
                <w:sz w:val="20"/>
                <w:szCs w:val="20"/>
                <w:vertAlign w:val="superscript"/>
              </w:rPr>
              <w:t>)</w:t>
            </w:r>
            <w:r w:rsidRPr="00F62BD0">
              <w:rPr>
                <w:rFonts w:ascii="Arial" w:hAnsi="Arial" w:cs="Arial"/>
                <w:sz w:val="20"/>
                <w:szCs w:val="20"/>
              </w:rPr>
              <w:t xml:space="preserve"> which produces audible or non-audible sound is housed within a fully enclosed building incorporating sound control </w:t>
            </w:r>
            <w:r w:rsidRPr="00F62BD0">
              <w:rPr>
                <w:rFonts w:ascii="Arial" w:hAnsi="Arial" w:cs="Arial"/>
                <w:sz w:val="20"/>
                <w:szCs w:val="20"/>
              </w:rPr>
              <w:lastRenderedPageBreak/>
              <w:t>measures sufficient to ensure no noise from this equipment can be heard, or felt at the site boundary.</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6712F7">
            <w:pPr>
              <w:jc w:val="center"/>
              <w:rPr>
                <w:rFonts w:ascii="Arial" w:hAnsi="Arial" w:cs="Arial"/>
                <w:sz w:val="20"/>
                <w:szCs w:val="20"/>
              </w:rPr>
            </w:pPr>
            <w:r w:rsidRPr="00F62BD0">
              <w:rPr>
                <w:rFonts w:ascii="Arial" w:hAnsi="Arial" w:cs="Arial"/>
                <w:b/>
                <w:bCs/>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shd w:val="clear" w:color="auto" w:fill="CCCCCC"/>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6712F7" w:rsidRPr="00F62BD0" w:rsidRDefault="006712F7" w:rsidP="00F62BD0">
            <w:pPr>
              <w:rPr>
                <w:rFonts w:ascii="Arial" w:hAnsi="Arial" w:cs="Arial"/>
                <w:b/>
                <w:bCs/>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r w:rsidRPr="00F62BD0">
              <w:rPr>
                <w:rFonts w:ascii="Arial" w:hAnsi="Arial" w:cs="Arial"/>
                <w:b/>
                <w:bCs/>
                <w:sz w:val="20"/>
                <w:szCs w:val="20"/>
              </w:rPr>
              <w:t xml:space="preserve">Acid </w:t>
            </w:r>
            <w:proofErr w:type="spellStart"/>
            <w:r w:rsidRPr="00F62BD0">
              <w:rPr>
                <w:rFonts w:ascii="Arial" w:hAnsi="Arial" w:cs="Arial"/>
                <w:b/>
                <w:bCs/>
                <w:sz w:val="20"/>
                <w:szCs w:val="20"/>
              </w:rPr>
              <w:t>sulfate</w:t>
            </w:r>
            <w:proofErr w:type="spellEnd"/>
            <w:r w:rsidRPr="00F62BD0">
              <w:rPr>
                <w:rFonts w:ascii="Arial" w:hAnsi="Arial" w:cs="Arial"/>
                <w:b/>
                <w:bCs/>
                <w:sz w:val="20"/>
                <w:szCs w:val="20"/>
              </w:rPr>
              <w:t xml:space="preserve"> soils - (refer Overlay map - Acid </w:t>
            </w:r>
            <w:proofErr w:type="spellStart"/>
            <w:r w:rsidRPr="00F62BD0">
              <w:rPr>
                <w:rFonts w:ascii="Arial" w:hAnsi="Arial" w:cs="Arial"/>
                <w:b/>
                <w:bCs/>
                <w:sz w:val="20"/>
                <w:szCs w:val="20"/>
              </w:rPr>
              <w:t>sulfate</w:t>
            </w:r>
            <w:proofErr w:type="spellEnd"/>
            <w:r w:rsidRPr="00F62BD0">
              <w:rPr>
                <w:rFonts w:ascii="Arial" w:hAnsi="Arial" w:cs="Arial"/>
                <w:b/>
                <w:bCs/>
                <w:sz w:val="20"/>
                <w:szCs w:val="20"/>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shd w:val="clear" w:color="auto" w:fill="CCCCCC"/>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 xml:space="preserve">Note - Planning scheme policy - Acid </w:t>
                  </w:r>
                  <w:proofErr w:type="spellStart"/>
                  <w:r w:rsidRPr="00F62BD0">
                    <w:rPr>
                      <w:rFonts w:ascii="Arial" w:hAnsi="Arial" w:cs="Arial"/>
                      <w:sz w:val="20"/>
                      <w:szCs w:val="20"/>
                    </w:rPr>
                    <w:t>sulfate</w:t>
                  </w:r>
                  <w:proofErr w:type="spellEnd"/>
                  <w:r w:rsidRPr="00F62BD0">
                    <w:rPr>
                      <w:rFonts w:ascii="Arial" w:hAnsi="Arial" w:cs="Arial"/>
                      <w:sz w:val="20"/>
                      <w:szCs w:val="20"/>
                    </w:rPr>
                    <w:t xml:space="preserve"> soils </w:t>
                  </w:r>
                  <w:proofErr w:type="gramStart"/>
                  <w:r w:rsidRPr="00F62BD0">
                    <w:rPr>
                      <w:rFonts w:ascii="Arial" w:hAnsi="Arial" w:cs="Arial"/>
                      <w:sz w:val="20"/>
                      <w:szCs w:val="20"/>
                    </w:rPr>
                    <w:t>provides</w:t>
                  </w:r>
                  <w:proofErr w:type="gramEnd"/>
                  <w:r w:rsidRPr="00F62BD0">
                    <w:rPr>
                      <w:rFonts w:ascii="Arial" w:hAnsi="Arial" w:cs="Arial"/>
                      <w:sz w:val="20"/>
                      <w:szCs w:val="20"/>
                    </w:rPr>
                    <w:t xml:space="preserve"> guidance for requirements for accepted development that has the potential to disturb acid </w:t>
                  </w:r>
                  <w:proofErr w:type="spellStart"/>
                  <w:r w:rsidRPr="00F62BD0">
                    <w:rPr>
                      <w:rFonts w:ascii="Arial" w:hAnsi="Arial" w:cs="Arial"/>
                      <w:sz w:val="20"/>
                      <w:szCs w:val="20"/>
                    </w:rPr>
                    <w:t>sulfate</w:t>
                  </w:r>
                  <w:proofErr w:type="spellEnd"/>
                  <w:r w:rsidRPr="00F62BD0">
                    <w:rPr>
                      <w:rFonts w:ascii="Arial" w:hAnsi="Arial" w:cs="Arial"/>
                      <w:sz w:val="20"/>
                      <w:szCs w:val="20"/>
                    </w:rPr>
                    <w:t xml:space="preserve"> soils i.e. development involving filling or excavation works below the thresholds of 100m</w:t>
                  </w:r>
                  <w:r w:rsidRPr="00F62BD0">
                    <w:rPr>
                      <w:rFonts w:ascii="Arial" w:hAnsi="Arial" w:cs="Arial"/>
                      <w:sz w:val="20"/>
                      <w:szCs w:val="20"/>
                      <w:vertAlign w:val="superscript"/>
                    </w:rPr>
                    <w:t>3</w:t>
                  </w:r>
                  <w:r w:rsidRPr="00F62BD0">
                    <w:rPr>
                      <w:rFonts w:ascii="Arial" w:hAnsi="Arial" w:cs="Arial"/>
                      <w:sz w:val="20"/>
                      <w:szCs w:val="20"/>
                    </w:rPr>
                    <w:t xml:space="preserve"> and 500m</w:t>
                  </w:r>
                  <w:r w:rsidRPr="00F62BD0">
                    <w:rPr>
                      <w:rFonts w:ascii="Arial" w:hAnsi="Arial" w:cs="Arial"/>
                      <w:sz w:val="20"/>
                      <w:szCs w:val="20"/>
                      <w:vertAlign w:val="superscript"/>
                    </w:rPr>
                    <w:t>3</w:t>
                  </w:r>
                  <w:r w:rsidRPr="00F62BD0">
                    <w:rPr>
                      <w:rFonts w:ascii="Arial" w:hAnsi="Arial" w:cs="Arial"/>
                      <w:sz w:val="20"/>
                      <w:szCs w:val="20"/>
                    </w:rPr>
                    <w:t xml:space="preserve"> respectively.</w:t>
                  </w:r>
                </w:p>
              </w:tc>
            </w:tr>
          </w:tbl>
          <w:p w:rsidR="006712F7" w:rsidRPr="00F62BD0" w:rsidRDefault="006712F7"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RAD60</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involve:</w:t>
            </w:r>
          </w:p>
          <w:p w:rsidR="00F62BD0" w:rsidRPr="00F62BD0" w:rsidRDefault="00F62BD0" w:rsidP="00F62BD0">
            <w:pPr>
              <w:numPr>
                <w:ilvl w:val="0"/>
                <w:numId w:val="19"/>
              </w:numPr>
              <w:rPr>
                <w:rFonts w:ascii="Arial" w:hAnsi="Arial" w:cs="Arial"/>
                <w:sz w:val="20"/>
                <w:szCs w:val="20"/>
              </w:rPr>
            </w:pPr>
            <w:r w:rsidRPr="00F62BD0">
              <w:rPr>
                <w:rFonts w:ascii="Arial" w:hAnsi="Arial" w:cs="Arial"/>
                <w:sz w:val="20"/>
                <w:szCs w:val="20"/>
              </w:rPr>
              <w:t>excavation or otherwise removing of more than 100m</w:t>
            </w:r>
            <w:r w:rsidRPr="00F62BD0">
              <w:rPr>
                <w:rFonts w:ascii="Arial" w:hAnsi="Arial" w:cs="Arial"/>
                <w:sz w:val="20"/>
                <w:szCs w:val="20"/>
                <w:vertAlign w:val="superscript"/>
              </w:rPr>
              <w:t>3</w:t>
            </w:r>
            <w:r w:rsidRPr="00F62BD0">
              <w:rPr>
                <w:rFonts w:ascii="Arial" w:hAnsi="Arial" w:cs="Arial"/>
                <w:sz w:val="20"/>
                <w:szCs w:val="20"/>
              </w:rPr>
              <w:t xml:space="preserve"> of soil or sediment where below 5m Australian Height Datum AHD, or</w:t>
            </w:r>
          </w:p>
          <w:p w:rsidR="00F62BD0" w:rsidRPr="00F62BD0" w:rsidRDefault="00F62BD0" w:rsidP="00F62BD0">
            <w:pPr>
              <w:numPr>
                <w:ilvl w:val="0"/>
                <w:numId w:val="19"/>
              </w:numPr>
              <w:rPr>
                <w:rFonts w:ascii="Arial" w:hAnsi="Arial" w:cs="Arial"/>
                <w:sz w:val="20"/>
                <w:szCs w:val="20"/>
              </w:rPr>
            </w:pPr>
            <w:r w:rsidRPr="00F62BD0">
              <w:rPr>
                <w:rFonts w:ascii="Arial" w:hAnsi="Arial" w:cs="Arial"/>
                <w:sz w:val="20"/>
                <w:szCs w:val="20"/>
              </w:rPr>
              <w:t>filling of land of more than 500m</w:t>
            </w:r>
            <w:r w:rsidRPr="00F62BD0">
              <w:rPr>
                <w:rFonts w:ascii="Arial" w:hAnsi="Arial" w:cs="Arial"/>
                <w:sz w:val="20"/>
                <w:szCs w:val="20"/>
                <w:vertAlign w:val="superscript"/>
              </w:rPr>
              <w:t>3</w:t>
            </w:r>
            <w:r w:rsidRPr="00F62BD0">
              <w:rPr>
                <w:rFonts w:ascii="Arial" w:hAnsi="Arial" w:cs="Arial"/>
                <w:sz w:val="20"/>
                <w:szCs w:val="20"/>
              </w:rPr>
              <w:t xml:space="preserve"> of material with an average depth of 0.5m or greater where below the 5m AHD.</w:t>
            </w:r>
          </w:p>
          <w:p w:rsidR="00F62BD0" w:rsidRPr="00F62BD0" w:rsidRDefault="00F62BD0" w:rsidP="00F62BD0">
            <w:pPr>
              <w:rPr>
                <w:rFonts w:ascii="Arial" w:hAnsi="Arial" w:cs="Arial"/>
                <w:sz w:val="20"/>
                <w:szCs w:val="20"/>
              </w:rPr>
            </w:pPr>
            <w:r w:rsidRPr="00F62BD0">
              <w:rPr>
                <w:rFonts w:ascii="Arial" w:hAnsi="Arial" w:cs="Arial"/>
                <w:noProof/>
                <w:sz w:val="20"/>
                <w:szCs w:val="20"/>
              </w:rPr>
              <w:drawing>
                <wp:inline distT="0" distB="0" distL="0" distR="0" wp14:anchorId="20256137" wp14:editId="550F4E99">
                  <wp:extent cx="4324350" cy="1828800"/>
                  <wp:effectExtent l="0" t="0" r="0" b="0"/>
                  <wp:docPr id="43" name="ID-2693387-339096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7-339096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r w:rsidRPr="00F62BD0">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712F7" w:rsidRPr="00F62BD0" w:rsidTr="00F62BD0">
              <w:trPr>
                <w:tblCellSpacing w:w="15" w:type="dxa"/>
              </w:trPr>
              <w:tc>
                <w:tcPr>
                  <w:tcW w:w="13608" w:type="dxa"/>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6712F7" w:rsidRPr="00F62BD0" w:rsidRDefault="006712F7" w:rsidP="00F62BD0">
            <w:pPr>
              <w:rPr>
                <w:rFonts w:ascii="Arial" w:hAnsi="Arial" w:cs="Arial"/>
                <w:b/>
                <w:bCs/>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RAD61</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is for the preservation, maintenance, repair and restoration of the site, object or building.</w:t>
            </w:r>
          </w:p>
          <w:p w:rsidR="00F62BD0" w:rsidRPr="00F62BD0" w:rsidRDefault="00F62BD0" w:rsidP="00F62BD0">
            <w:pPr>
              <w:rPr>
                <w:rFonts w:ascii="Arial" w:hAnsi="Arial" w:cs="Arial"/>
                <w:sz w:val="20"/>
                <w:szCs w:val="20"/>
              </w:rPr>
            </w:pPr>
            <w:r w:rsidRPr="00F62BD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F62BD0" w:rsidRDefault="00F62BD0" w:rsidP="00F62BD0">
                  <w:pPr>
                    <w:rPr>
                      <w:rFonts w:ascii="Arial" w:hAnsi="Arial" w:cs="Arial"/>
                      <w:sz w:val="20"/>
                      <w:szCs w:val="20"/>
                    </w:rPr>
                  </w:pPr>
                  <w:r w:rsidRPr="006712F7">
                    <w:rPr>
                      <w:rFonts w:ascii="Arial" w:hAnsi="Arial" w:cs="Arial"/>
                      <w:sz w:val="18"/>
                      <w:szCs w:val="20"/>
                    </w:rPr>
                    <w:t>Note - Preservation, maintenance, repair and restoration are defined in Schedule 1 - Definitions</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RAD62</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F62BD0" w:rsidRPr="00F62BD0" w:rsidRDefault="00F62BD0" w:rsidP="00F62BD0">
            <w:pPr>
              <w:rPr>
                <w:rFonts w:ascii="Arial" w:hAnsi="Arial" w:cs="Arial"/>
                <w:sz w:val="20"/>
                <w:szCs w:val="20"/>
              </w:rPr>
            </w:pPr>
            <w:r w:rsidRPr="00F62BD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RAD63</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RAD64</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construction of any building;</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laying of overhead or underground services;</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any sealing, paving, soil compaction;</w:t>
            </w:r>
          </w:p>
          <w:p w:rsidR="00F62BD0" w:rsidRPr="00F62BD0" w:rsidRDefault="00F62BD0" w:rsidP="00F62BD0">
            <w:pPr>
              <w:numPr>
                <w:ilvl w:val="0"/>
                <w:numId w:val="20"/>
              </w:numPr>
              <w:rPr>
                <w:rFonts w:ascii="Arial" w:hAnsi="Arial" w:cs="Arial"/>
                <w:sz w:val="20"/>
                <w:szCs w:val="20"/>
              </w:rPr>
            </w:pPr>
            <w:r w:rsidRPr="00F62BD0">
              <w:rPr>
                <w:rFonts w:ascii="Arial" w:hAnsi="Arial" w:cs="Arial"/>
                <w:sz w:val="20"/>
                <w:szCs w:val="20"/>
              </w:rPr>
              <w:t>any alteration of more than 75mm to the ground surface prior to work commencing.</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RAD65</w:t>
            </w:r>
          </w:p>
        </w:tc>
        <w:tc>
          <w:tcPr>
            <w:tcW w:w="264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sz w:val="20"/>
                <w:szCs w:val="20"/>
              </w:rPr>
              <w:t>Pruning of a significant tree occurs in accordance with Australian Standard AS 4373-2007 - Pruning of Amenity Trees.</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b/>
                <w:bCs/>
                <w:sz w:val="20"/>
                <w:szCs w:val="20"/>
              </w:rPr>
            </w:pPr>
            <w:r w:rsidRPr="00F62BD0">
              <w:rPr>
                <w:rFonts w:ascii="Arial" w:hAnsi="Arial" w:cs="Arial"/>
                <w:b/>
                <w:bCs/>
                <w:sz w:val="20"/>
                <w:szCs w:val="20"/>
              </w:rPr>
              <w:t>Overland flow path (refer Overlay map - Overland flow path to determine if the following requirements apply)</w:t>
            </w: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lastRenderedPageBreak/>
              <w:t>RAD66</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does not involve the construction of a building or structure in an Overland flow path area.</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RAD67</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044"/>
            </w:tblGrid>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712F7">
                    <w:rPr>
                      <w:rFonts w:ascii="Arial" w:hAnsi="Arial" w:cs="Arial"/>
                      <w:sz w:val="18"/>
                      <w:szCs w:val="20"/>
                    </w:rPr>
                    <w:t>upstream, downstream or surrounding premises</w:t>
                  </w:r>
                  <w:proofErr w:type="gramEnd"/>
                  <w:r w:rsidRPr="006712F7">
                    <w:rPr>
                      <w:rFonts w:ascii="Arial" w:hAnsi="Arial" w:cs="Arial"/>
                      <w:sz w:val="18"/>
                      <w:szCs w:val="20"/>
                    </w:rPr>
                    <w:t>.</w:t>
                  </w:r>
                </w:p>
              </w:tc>
            </w:tr>
            <w:tr w:rsidR="00F62BD0" w:rsidRPr="00F62BD0" w:rsidTr="00F62BD0">
              <w:trPr>
                <w:tblCellSpacing w:w="15" w:type="dxa"/>
              </w:trPr>
              <w:tc>
                <w:tcPr>
                  <w:tcW w:w="12015" w:type="dxa"/>
                  <w:vAlign w:val="center"/>
                  <w:hideMark/>
                </w:tcPr>
                <w:p w:rsidR="00F62BD0" w:rsidRPr="006712F7" w:rsidRDefault="00F62BD0" w:rsidP="00F62BD0">
                  <w:pPr>
                    <w:rPr>
                      <w:rFonts w:ascii="Arial" w:hAnsi="Arial" w:cs="Arial"/>
                      <w:sz w:val="18"/>
                      <w:szCs w:val="20"/>
                    </w:rPr>
                  </w:pPr>
                  <w:r w:rsidRPr="006712F7">
                    <w:rPr>
                      <w:rFonts w:ascii="Arial" w:hAnsi="Arial" w:cs="Arial"/>
                      <w:sz w:val="18"/>
                      <w:szCs w:val="20"/>
                    </w:rPr>
                    <w:t>Note - Reporting to be prepared in accordance with Planning scheme policy – Flood hazard, Coastal hazard and Overland flow</w:t>
                  </w:r>
                </w:p>
              </w:tc>
            </w:tr>
          </w:tbl>
          <w:p w:rsidR="00F62BD0" w:rsidRPr="00F62BD0" w:rsidRDefault="00F62BD0" w:rsidP="00F62BD0">
            <w:pPr>
              <w:rPr>
                <w:rFonts w:ascii="Arial"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RAD68</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ensures that fencing in an overland flow path area is at least 50% permeable.</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RAD69</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F62BD0" w:rsidRPr="00F62BD0" w:rsidTr="006712F7">
        <w:trPr>
          <w:tblCellSpacing w:w="15" w:type="dxa"/>
        </w:trPr>
        <w:tc>
          <w:tcPr>
            <w:tcW w:w="419" w:type="pct"/>
            <w:tcBorders>
              <w:top w:val="outset" w:sz="6" w:space="0" w:color="auto"/>
              <w:left w:val="outset" w:sz="6" w:space="0" w:color="auto"/>
              <w:bottom w:val="outset" w:sz="6" w:space="0" w:color="auto"/>
              <w:right w:val="outset" w:sz="6" w:space="0" w:color="auto"/>
            </w:tcBorders>
            <w:hideMark/>
          </w:tcPr>
          <w:p w:rsidR="00F62BD0" w:rsidRPr="00F62BD0" w:rsidRDefault="00F62BD0" w:rsidP="00F62BD0">
            <w:pPr>
              <w:rPr>
                <w:rFonts w:ascii="Arial" w:hAnsi="Arial" w:cs="Arial"/>
                <w:sz w:val="20"/>
                <w:szCs w:val="20"/>
              </w:rPr>
            </w:pPr>
            <w:r w:rsidRPr="00F62BD0">
              <w:rPr>
                <w:rFonts w:ascii="Arial" w:hAnsi="Arial" w:cs="Arial"/>
                <w:b/>
                <w:bCs/>
                <w:sz w:val="20"/>
                <w:szCs w:val="20"/>
              </w:rPr>
              <w:t>RAD70</w:t>
            </w:r>
          </w:p>
        </w:tc>
        <w:tc>
          <w:tcPr>
            <w:tcW w:w="2649" w:type="pct"/>
            <w:tcBorders>
              <w:top w:val="outset" w:sz="6" w:space="0" w:color="auto"/>
              <w:left w:val="outset" w:sz="6" w:space="0" w:color="auto"/>
              <w:bottom w:val="outset" w:sz="6" w:space="0" w:color="auto"/>
              <w:right w:val="outset" w:sz="6" w:space="0" w:color="auto"/>
            </w:tcBorders>
            <w:vAlign w:val="center"/>
            <w:hideMark/>
          </w:tcPr>
          <w:p w:rsidR="00F62BD0" w:rsidRPr="00F62BD0" w:rsidRDefault="00F62BD0" w:rsidP="00F62BD0">
            <w:pPr>
              <w:rPr>
                <w:rFonts w:ascii="Arial" w:hAnsi="Arial" w:cs="Arial"/>
                <w:sz w:val="20"/>
                <w:szCs w:val="20"/>
              </w:rPr>
            </w:pPr>
            <w:r w:rsidRPr="00F62BD0">
              <w:rPr>
                <w:rFonts w:ascii="Arial" w:hAnsi="Arial" w:cs="Arial"/>
                <w:sz w:val="20"/>
                <w:szCs w:val="20"/>
              </w:rPr>
              <w:t>Development for a material change of use or building work for a Park</w:t>
            </w:r>
            <w:r w:rsidRPr="00F62BD0">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62BD0">
                <w:rPr>
                  <w:rStyle w:val="Hyperlink"/>
                  <w:rFonts w:ascii="Arial" w:hAnsi="Arial" w:cs="Arial"/>
                  <w:sz w:val="20"/>
                  <w:szCs w:val="20"/>
                  <w:vertAlign w:val="superscript"/>
                </w:rPr>
                <w:t>57</w:t>
              </w:r>
            </w:hyperlink>
            <w:r w:rsidRPr="00F62BD0">
              <w:rPr>
                <w:rFonts w:ascii="Arial" w:hAnsi="Arial" w:cs="Arial"/>
                <w:sz w:val="20"/>
                <w:szCs w:val="20"/>
                <w:vertAlign w:val="superscript"/>
              </w:rPr>
              <w:t>)</w:t>
            </w:r>
            <w:r w:rsidRPr="00F62BD0">
              <w:rPr>
                <w:rFonts w:ascii="Arial" w:hAnsi="Arial" w:cs="Arial"/>
                <w:sz w:val="20"/>
                <w:szCs w:val="20"/>
              </w:rPr>
              <w:t xml:space="preserve"> ensures that work is provided in accordance with the requirements set out in Appendix B of the Planning scheme policy - Integrated design.</w:t>
            </w:r>
          </w:p>
        </w:tc>
        <w:tc>
          <w:tcPr>
            <w:tcW w:w="539"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c>
          <w:tcPr>
            <w:tcW w:w="1345" w:type="pct"/>
            <w:tcBorders>
              <w:top w:val="outset" w:sz="6" w:space="0" w:color="auto"/>
              <w:left w:val="outset" w:sz="6" w:space="0" w:color="auto"/>
              <w:bottom w:val="outset" w:sz="6" w:space="0" w:color="auto"/>
              <w:right w:val="outset" w:sz="6" w:space="0" w:color="auto"/>
            </w:tcBorders>
          </w:tcPr>
          <w:p w:rsidR="00F62BD0" w:rsidRPr="00F62BD0" w:rsidRDefault="00F62BD0" w:rsidP="00F62BD0">
            <w:pPr>
              <w:rPr>
                <w:rFonts w:ascii="Arial" w:hAnsi="Arial" w:cs="Arial"/>
                <w:sz w:val="20"/>
                <w:szCs w:val="20"/>
              </w:rPr>
            </w:pPr>
          </w:p>
        </w:tc>
      </w:tr>
      <w:tr w:rsidR="006712F7" w:rsidRPr="00F62BD0" w:rsidTr="006712F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2F7" w:rsidRPr="00F62BD0" w:rsidRDefault="006712F7" w:rsidP="00F62BD0">
            <w:pPr>
              <w:rPr>
                <w:rFonts w:ascii="Arial" w:hAnsi="Arial" w:cs="Arial"/>
                <w:sz w:val="20"/>
                <w:szCs w:val="20"/>
              </w:rPr>
            </w:pPr>
            <w:bookmarkStart w:id="0" w:name="_GoBack" w:colFirst="0" w:colLast="0"/>
            <w:r w:rsidRPr="00F62BD0">
              <w:rPr>
                <w:rFonts w:ascii="Arial" w:hAnsi="Arial" w:cs="Arial"/>
                <w:b/>
                <w:bCs/>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668"/>
            </w:tblGrid>
            <w:tr w:rsidR="006712F7" w:rsidRPr="00F62BD0" w:rsidTr="00F62BD0">
              <w:trPr>
                <w:tblCellSpacing w:w="15" w:type="dxa"/>
              </w:trPr>
              <w:tc>
                <w:tcPr>
                  <w:tcW w:w="13608" w:type="dxa"/>
                  <w:vAlign w:val="center"/>
                  <w:hideMark/>
                </w:tcPr>
                <w:p w:rsidR="006712F7" w:rsidRPr="00F62BD0" w:rsidRDefault="006712F7" w:rsidP="00F62BD0">
                  <w:pPr>
                    <w:rPr>
                      <w:rFonts w:ascii="Arial" w:hAnsi="Arial" w:cs="Arial"/>
                      <w:sz w:val="20"/>
                      <w:szCs w:val="20"/>
                    </w:rPr>
                  </w:pPr>
                  <w:r w:rsidRPr="00F62BD0">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rsidR="006712F7" w:rsidRPr="00F62BD0" w:rsidRDefault="006712F7" w:rsidP="00F62BD0">
            <w:pPr>
              <w:rPr>
                <w:rFonts w:ascii="Arial" w:hAnsi="Arial" w:cs="Arial"/>
                <w:b/>
                <w:bCs/>
                <w:sz w:val="20"/>
                <w:szCs w:val="20"/>
              </w:rPr>
            </w:pPr>
          </w:p>
        </w:tc>
      </w:tr>
      <w:bookmarkEnd w:id="0"/>
    </w:tbl>
    <w:p w:rsidR="001A0974" w:rsidRPr="00F62BD0" w:rsidRDefault="001A0974">
      <w:pPr>
        <w:rPr>
          <w:rFonts w:ascii="Arial" w:hAnsi="Arial" w:cs="Arial"/>
          <w:sz w:val="20"/>
          <w:szCs w:val="20"/>
        </w:rPr>
      </w:pPr>
    </w:p>
    <w:sectPr w:rsidR="001A0974" w:rsidRPr="00F62BD0" w:rsidSect="006712F7">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46A" w:rsidRDefault="0004746A" w:rsidP="001625EF">
      <w:pPr>
        <w:spacing w:after="0" w:line="240" w:lineRule="auto"/>
      </w:pPr>
      <w:r>
        <w:separator/>
      </w:r>
    </w:p>
  </w:endnote>
  <w:endnote w:type="continuationSeparator" w:id="0">
    <w:p w:rsidR="0004746A" w:rsidRDefault="0004746A" w:rsidP="0016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EF" w:rsidRPr="001625EF" w:rsidRDefault="001625EF" w:rsidP="001625EF">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4 </w:t>
    </w:r>
    <w:r w:rsidRPr="005A0BA0">
      <w:rPr>
        <w:rFonts w:ascii="Arial" w:hAnsi="Arial" w:cs="Arial"/>
        <w:i/>
        <w:sz w:val="20"/>
        <w:szCs w:val="20"/>
      </w:rPr>
      <w:t xml:space="preserve">- </w:t>
    </w:r>
    <w:r>
      <w:rPr>
        <w:rFonts w:ascii="Arial" w:hAnsi="Arial" w:cs="Arial"/>
        <w:i/>
        <w:sz w:val="20"/>
        <w:szCs w:val="20"/>
      </w:rPr>
      <w:t>Redcliffe Kippa-Ring local plan - Health precinct</w:t>
    </w:r>
    <w:r w:rsidRPr="005A0BA0">
      <w:rPr>
        <w:rFonts w:ascii="Arial" w:hAnsi="Arial" w:cs="Arial"/>
        <w:i/>
        <w:sz w:val="20"/>
        <w:szCs w:val="20"/>
      </w:rPr>
      <w:t xml:space="preserve"> - </w:t>
    </w:r>
    <w:r>
      <w:rPr>
        <w:rFonts w:ascii="Arial" w:hAnsi="Arial" w:cs="Arial"/>
        <w:i/>
        <w:sz w:val="20"/>
        <w:szCs w:val="20"/>
      </w:rPr>
      <w:t>Requirements for accepted development</w:t>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46A" w:rsidRDefault="0004746A" w:rsidP="001625EF">
      <w:pPr>
        <w:spacing w:after="0" w:line="240" w:lineRule="auto"/>
      </w:pPr>
      <w:r>
        <w:separator/>
      </w:r>
    </w:p>
  </w:footnote>
  <w:footnote w:type="continuationSeparator" w:id="0">
    <w:p w:rsidR="0004746A" w:rsidRDefault="0004746A" w:rsidP="00162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B90"/>
    <w:multiLevelType w:val="multilevel"/>
    <w:tmpl w:val="E006D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C046C2"/>
    <w:multiLevelType w:val="multilevel"/>
    <w:tmpl w:val="9030FE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EF616D"/>
    <w:multiLevelType w:val="multilevel"/>
    <w:tmpl w:val="CA441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0A39C8"/>
    <w:multiLevelType w:val="multilevel"/>
    <w:tmpl w:val="C1E62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E162A3"/>
    <w:multiLevelType w:val="multilevel"/>
    <w:tmpl w:val="BC9AF1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161851"/>
    <w:multiLevelType w:val="multilevel"/>
    <w:tmpl w:val="259AE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9A709F"/>
    <w:multiLevelType w:val="multilevel"/>
    <w:tmpl w:val="8A648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3108EA"/>
    <w:multiLevelType w:val="multilevel"/>
    <w:tmpl w:val="6A0E1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18FF3277"/>
    <w:multiLevelType w:val="multilevel"/>
    <w:tmpl w:val="9814A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950350"/>
    <w:multiLevelType w:val="multilevel"/>
    <w:tmpl w:val="9CD88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8F1005"/>
    <w:multiLevelType w:val="multilevel"/>
    <w:tmpl w:val="8D466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DE0CA3"/>
    <w:multiLevelType w:val="multilevel"/>
    <w:tmpl w:val="E4006B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EA2327"/>
    <w:multiLevelType w:val="multilevel"/>
    <w:tmpl w:val="96B4E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6142DD"/>
    <w:multiLevelType w:val="multilevel"/>
    <w:tmpl w:val="8FDC5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2F2EFA"/>
    <w:multiLevelType w:val="multilevel"/>
    <w:tmpl w:val="EC34255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6F5832"/>
    <w:multiLevelType w:val="multilevel"/>
    <w:tmpl w:val="69CE92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B5706B"/>
    <w:multiLevelType w:val="multilevel"/>
    <w:tmpl w:val="25CEB0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CB0EA2"/>
    <w:multiLevelType w:val="hybridMultilevel"/>
    <w:tmpl w:val="EF16E810"/>
    <w:lvl w:ilvl="0" w:tplc="3E4C71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60FA5"/>
    <w:multiLevelType w:val="multilevel"/>
    <w:tmpl w:val="DCF2D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0362611"/>
    <w:multiLevelType w:val="multilevel"/>
    <w:tmpl w:val="39D653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0AD6C44"/>
    <w:multiLevelType w:val="multilevel"/>
    <w:tmpl w:val="5D3C3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4"/>
  </w:num>
  <w:num w:numId="3">
    <w:abstractNumId w:val="20"/>
  </w:num>
  <w:num w:numId="4">
    <w:abstractNumId w:val="16"/>
  </w:num>
  <w:num w:numId="5">
    <w:abstractNumId w:val="3"/>
  </w:num>
  <w:num w:numId="6">
    <w:abstractNumId w:val="13"/>
  </w:num>
  <w:num w:numId="7">
    <w:abstractNumId w:val="6"/>
  </w:num>
  <w:num w:numId="8">
    <w:abstractNumId w:val="17"/>
  </w:num>
  <w:num w:numId="9">
    <w:abstractNumId w:val="5"/>
  </w:num>
  <w:num w:numId="10">
    <w:abstractNumId w:val="19"/>
  </w:num>
  <w:num w:numId="11">
    <w:abstractNumId w:val="12"/>
  </w:num>
  <w:num w:numId="12">
    <w:abstractNumId w:val="15"/>
  </w:num>
  <w:num w:numId="13">
    <w:abstractNumId w:val="1"/>
  </w:num>
  <w:num w:numId="14">
    <w:abstractNumId w:val="21"/>
  </w:num>
  <w:num w:numId="15">
    <w:abstractNumId w:val="4"/>
  </w:num>
  <w:num w:numId="16">
    <w:abstractNumId w:val="9"/>
  </w:num>
  <w:num w:numId="17">
    <w:abstractNumId w:val="7"/>
  </w:num>
  <w:num w:numId="18">
    <w:abstractNumId w:val="10"/>
  </w:num>
  <w:num w:numId="19">
    <w:abstractNumId w:val="2"/>
  </w:num>
  <w:num w:numId="20">
    <w:abstractNumId w:val="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D0"/>
    <w:rsid w:val="0004746A"/>
    <w:rsid w:val="000A78B5"/>
    <w:rsid w:val="001625EF"/>
    <w:rsid w:val="001A0974"/>
    <w:rsid w:val="001B2AA0"/>
    <w:rsid w:val="006712F7"/>
    <w:rsid w:val="00974150"/>
    <w:rsid w:val="00F62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EC9E"/>
  <w15:chartTrackingRefBased/>
  <w15:docId w15:val="{8980D7E6-C899-404C-A237-DBCBCE32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BD0"/>
    <w:rPr>
      <w:color w:val="0563C1" w:themeColor="hyperlink"/>
      <w:u w:val="single"/>
    </w:rPr>
  </w:style>
  <w:style w:type="character" w:styleId="UnresolvedMention">
    <w:name w:val="Unresolved Mention"/>
    <w:basedOn w:val="DefaultParagraphFont"/>
    <w:uiPriority w:val="99"/>
    <w:semiHidden/>
    <w:unhideWhenUsed/>
    <w:rsid w:val="00F62BD0"/>
    <w:rPr>
      <w:color w:val="605E5C"/>
      <w:shd w:val="clear" w:color="auto" w:fill="E1DFDD"/>
    </w:rPr>
  </w:style>
  <w:style w:type="paragraph" w:styleId="BalloonText">
    <w:name w:val="Balloon Text"/>
    <w:basedOn w:val="Normal"/>
    <w:link w:val="BalloonTextChar"/>
    <w:uiPriority w:val="99"/>
    <w:semiHidden/>
    <w:unhideWhenUsed/>
    <w:rsid w:val="00F62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D0"/>
    <w:rPr>
      <w:rFonts w:ascii="Segoe UI" w:hAnsi="Segoe UI" w:cs="Segoe UI"/>
      <w:sz w:val="18"/>
      <w:szCs w:val="18"/>
    </w:rPr>
  </w:style>
  <w:style w:type="paragraph" w:styleId="NoSpacing">
    <w:name w:val="No Spacing"/>
    <w:uiPriority w:val="1"/>
    <w:qFormat/>
    <w:rsid w:val="00F62BD0"/>
    <w:pPr>
      <w:spacing w:after="0" w:line="240" w:lineRule="auto"/>
    </w:pPr>
  </w:style>
  <w:style w:type="paragraph" w:styleId="Header">
    <w:name w:val="header"/>
    <w:basedOn w:val="Normal"/>
    <w:link w:val="HeaderChar"/>
    <w:uiPriority w:val="99"/>
    <w:unhideWhenUsed/>
    <w:rsid w:val="0016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EF"/>
  </w:style>
  <w:style w:type="paragraph" w:styleId="Footer">
    <w:name w:val="footer"/>
    <w:basedOn w:val="Normal"/>
    <w:link w:val="FooterChar"/>
    <w:uiPriority w:val="99"/>
    <w:unhideWhenUsed/>
    <w:rsid w:val="0016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fontTable" Target="fontTable.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links\269346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4</cp:revision>
  <dcterms:created xsi:type="dcterms:W3CDTF">2019-12-10T02:23:00Z</dcterms:created>
  <dcterms:modified xsi:type="dcterms:W3CDTF">2020-01-06T05:01:00Z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A19454146</vt:lpwstr>
  </property>
  <property fmtid="{D5CDD505-2E9C-101B-9397-08002B2CF9AE}" pid="4" name="Objective-Title">
    <vt:lpwstr>7.2.1.5 Health precinct Requirements for Assessment - UPDATED</vt:lpwstr>
  </property>
  <property fmtid="{D5CDD505-2E9C-101B-9397-08002B2CF9AE}" pid="5" name="Objective-Comment">
    <vt:lpwstr/>
  </property>
  <property fmtid="{D5CDD505-2E9C-101B-9397-08002B2CF9AE}" pid="6" name="Objective-CreationStamp">
    <vt:filetime>2019-12-10T03:51:24Z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2020-01-06T04:56:04Z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