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95" w:type="pct"/>
        <w:tblCellSpacing w:w="1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15383"/>
      </w:tblGrid>
      <w:tr w:rsidR="00262CEB" w:rsidRPr="00262CEB" w:rsidTr="00262CE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62CEB" w:rsidRPr="00262CEB" w:rsidRDefault="00262CEB" w:rsidP="00262CEB">
            <w:pPr>
              <w:spacing w:before="150" w:after="15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bookmarkStart w:id="0" w:name="_GoBack"/>
            <w:bookmarkEnd w:id="0"/>
            <w:r w:rsidRPr="00262C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Table 9.4.1.6.2.1 Requirements for accepted development - General residential zone - Suburban neighbourhood precinct</w:t>
            </w:r>
          </w:p>
        </w:tc>
      </w:tr>
    </w:tbl>
    <w:p w:rsidR="00262CEB" w:rsidRDefault="00262CEB"/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"/>
      </w:tblPr>
      <w:tblGrid>
        <w:gridCol w:w="980"/>
        <w:gridCol w:w="11585"/>
        <w:gridCol w:w="1194"/>
        <w:gridCol w:w="1623"/>
      </w:tblGrid>
      <w:tr w:rsidR="00262CEB" w:rsidRPr="00262CEB" w:rsidTr="00262CEB">
        <w:trPr>
          <w:tblCellSpacing w:w="15" w:type="dxa"/>
        </w:trPr>
        <w:tc>
          <w:tcPr>
            <w:tcW w:w="40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2CEB" w:rsidRPr="00262CEB" w:rsidRDefault="00262CEB" w:rsidP="00262CEB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2C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Requirements for accepted development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262CEB" w:rsidRPr="002A4FFF" w:rsidRDefault="00262CEB" w:rsidP="00262C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E</w:t>
            </w:r>
            <w:r w:rsidRPr="002A4F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Compliance</w:t>
            </w:r>
          </w:p>
          <w:p w:rsidR="00262CEB" w:rsidRDefault="00262CEB" w:rsidP="00262C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73" w:hanging="284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2A4FFF"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Yes</w:t>
            </w:r>
          </w:p>
          <w:p w:rsidR="00262CEB" w:rsidRPr="00282FCF" w:rsidRDefault="00262CEB" w:rsidP="00262CE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73" w:hanging="284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262CEB" w:rsidRPr="00282FCF" w:rsidRDefault="00262CEB" w:rsidP="00262CEB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Council confirmation</w:t>
            </w:r>
          </w:p>
        </w:tc>
      </w:tr>
      <w:tr w:rsidR="00262CEB" w:rsidRPr="00262CEB" w:rsidTr="00262CEB">
        <w:trPr>
          <w:tblCellSpacing w:w="15" w:type="dxa"/>
        </w:trPr>
        <w:tc>
          <w:tcPr>
            <w:tcW w:w="498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2CEB" w:rsidRPr="00262CEB" w:rsidRDefault="00262CEB" w:rsidP="00262CEB">
            <w:pPr>
              <w:spacing w:before="150" w:after="150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262C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General requirements</w:t>
            </w:r>
          </w:p>
        </w:tc>
      </w:tr>
      <w:tr w:rsidR="00262CEB" w:rsidRPr="00262CEB" w:rsidTr="00262CEB">
        <w:trPr>
          <w:tblCellSpacing w:w="15" w:type="dxa"/>
        </w:trPr>
        <w:tc>
          <w:tcPr>
            <w:tcW w:w="40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2CEB" w:rsidRPr="00262CEB" w:rsidRDefault="00262CEB" w:rsidP="00262CEB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2C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Boundary realignment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262CEB" w:rsidRPr="00262CEB" w:rsidRDefault="00262CEB" w:rsidP="00262CEB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:rsidR="00262CEB" w:rsidRPr="00262CEB" w:rsidRDefault="00262CEB" w:rsidP="00262CEB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262CEB" w:rsidRPr="00262CEB" w:rsidTr="00262CEB">
        <w:trPr>
          <w:trHeight w:val="1920"/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2CEB" w:rsidRPr="00262CEB" w:rsidRDefault="00262CEB" w:rsidP="00262CEB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2C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RAD1</w:t>
            </w:r>
          </w:p>
        </w:tc>
        <w:tc>
          <w:tcPr>
            <w:tcW w:w="3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2CEB" w:rsidRPr="00262CEB" w:rsidRDefault="00262CEB" w:rsidP="00262CEB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2CE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Lots created by boundary realignment:</w:t>
            </w:r>
          </w:p>
          <w:p w:rsidR="00262CEB" w:rsidRPr="00262CEB" w:rsidRDefault="00262CEB" w:rsidP="00262CEB">
            <w:pPr>
              <w:numPr>
                <w:ilvl w:val="0"/>
                <w:numId w:val="1"/>
              </w:numPr>
              <w:spacing w:before="150" w:after="150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2CE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contain all service connections to water, sewer, electricity and other infrastructure wholly within the lot they serve;</w:t>
            </w:r>
          </w:p>
          <w:p w:rsidR="00262CEB" w:rsidRPr="00262CEB" w:rsidRDefault="00262CEB" w:rsidP="00262CEB">
            <w:pPr>
              <w:numPr>
                <w:ilvl w:val="0"/>
                <w:numId w:val="1"/>
              </w:numPr>
              <w:spacing w:before="150" w:after="150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2CE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have constructed road access;</w:t>
            </w:r>
          </w:p>
          <w:p w:rsidR="00262CEB" w:rsidRPr="00262CEB" w:rsidRDefault="00262CEB" w:rsidP="00262CEB">
            <w:pPr>
              <w:numPr>
                <w:ilvl w:val="0"/>
                <w:numId w:val="1"/>
              </w:numPr>
              <w:spacing w:before="150" w:after="150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2CE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 not require additional infrastructure connections or modification to existing connections.</w:t>
            </w:r>
          </w:p>
          <w:p w:rsidR="00262CEB" w:rsidRPr="00262CEB" w:rsidRDefault="00262CEB" w:rsidP="00262CEB">
            <w:pPr>
              <w:numPr>
                <w:ilvl w:val="0"/>
                <w:numId w:val="1"/>
              </w:numPr>
              <w:spacing w:before="150" w:after="150" w:line="240" w:lineRule="auto"/>
              <w:ind w:left="60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2CE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do not result in the creation of any additional lots;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CEB" w:rsidRPr="00262CEB" w:rsidRDefault="00262CEB" w:rsidP="00262CEB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CEB" w:rsidRPr="00262CEB" w:rsidRDefault="00262CEB" w:rsidP="00262CEB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62CEB" w:rsidRPr="00262CEB" w:rsidTr="00262CEB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2CEB" w:rsidRPr="00262CEB" w:rsidRDefault="00262CEB" w:rsidP="00262CEB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2C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RAD2</w:t>
            </w:r>
          </w:p>
        </w:tc>
        <w:tc>
          <w:tcPr>
            <w:tcW w:w="3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2CEB" w:rsidRPr="00262CEB" w:rsidRDefault="00262CEB" w:rsidP="00262CEB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2CE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Boundary realignment does not result in existing land uses on-site becoming non-complying with planning scheme criteria.</w:t>
            </w:r>
          </w:p>
          <w:tbl>
            <w:tblPr>
              <w:tblW w:w="5000" w:type="pct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11465"/>
            </w:tblGrid>
            <w:tr w:rsidR="00262CEB" w:rsidRPr="00262CEB" w:rsidTr="00262CE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2CEB" w:rsidRPr="00262CEB" w:rsidRDefault="00262CEB" w:rsidP="00262CEB">
                  <w:pPr>
                    <w:spacing w:before="150" w:after="150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262CEB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Note - Examples may include but are not limited to:</w:t>
                  </w:r>
                </w:p>
                <w:p w:rsidR="00262CEB" w:rsidRPr="00262CEB" w:rsidRDefault="00262CEB" w:rsidP="00262CEB">
                  <w:pPr>
                    <w:numPr>
                      <w:ilvl w:val="0"/>
                      <w:numId w:val="2"/>
                    </w:numPr>
                    <w:spacing w:before="150" w:after="150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262CEB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minimum lot size requirements;</w:t>
                  </w:r>
                </w:p>
                <w:p w:rsidR="00262CEB" w:rsidRPr="00262CEB" w:rsidRDefault="00262CEB" w:rsidP="00262CEB">
                  <w:pPr>
                    <w:numPr>
                      <w:ilvl w:val="0"/>
                      <w:numId w:val="2"/>
                    </w:numPr>
                    <w:spacing w:before="150" w:after="150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262CEB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minimum or maximum required setbacks</w:t>
                  </w:r>
                </w:p>
                <w:p w:rsidR="00262CEB" w:rsidRPr="00262CEB" w:rsidRDefault="00262CEB" w:rsidP="00262CEB">
                  <w:pPr>
                    <w:numPr>
                      <w:ilvl w:val="0"/>
                      <w:numId w:val="2"/>
                    </w:numPr>
                    <w:spacing w:before="150" w:after="150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262CEB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parking and access requirements;</w:t>
                  </w:r>
                </w:p>
                <w:p w:rsidR="00262CEB" w:rsidRPr="00262CEB" w:rsidRDefault="00262CEB" w:rsidP="00262CEB">
                  <w:pPr>
                    <w:numPr>
                      <w:ilvl w:val="0"/>
                      <w:numId w:val="2"/>
                    </w:numPr>
                    <w:spacing w:before="150" w:after="150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262CEB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servicing and Infrastructure requirements;</w:t>
                  </w:r>
                </w:p>
                <w:p w:rsidR="00262CEB" w:rsidRPr="00262CEB" w:rsidRDefault="00262CEB" w:rsidP="00262CEB">
                  <w:pPr>
                    <w:numPr>
                      <w:ilvl w:val="0"/>
                      <w:numId w:val="2"/>
                    </w:numPr>
                    <w:spacing w:before="150" w:after="150" w:line="240" w:lineRule="auto"/>
                    <w:ind w:left="60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262CEB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dependant elements of an existing or approved land use being separately titled, including but not limited to:</w:t>
                  </w:r>
                </w:p>
                <w:p w:rsidR="00262CEB" w:rsidRPr="00262CEB" w:rsidRDefault="00262CEB" w:rsidP="00262CEB">
                  <w:pPr>
                    <w:numPr>
                      <w:ilvl w:val="1"/>
                      <w:numId w:val="2"/>
                    </w:numPr>
                    <w:spacing w:before="150" w:after="150" w:line="240" w:lineRule="auto"/>
                    <w:ind w:left="10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262CEB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Where premises are approved as Multiple dwelling</w:t>
                  </w:r>
                  <w:r w:rsidRPr="00262CEB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7" w:anchor="target-d60297e448163" w:tooltip="Multiple dwelling - Premises containing three or more dwellings for separate households." w:history="1">
                    <w:r w:rsidRPr="00262CEB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49</w:t>
                    </w:r>
                  </w:hyperlink>
                  <w:r w:rsidRPr="00262CEB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262CEB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with a communal open space area, the communal open space cannot be separately titled as it is required by the Multiple dwelling</w:t>
                  </w:r>
                  <w:r w:rsidRPr="00262CEB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8" w:anchor="target-d60297e448163" w:tooltip="Multiple dwelling - Premises containing three or more dwellings for separate households." w:history="1">
                    <w:r w:rsidRPr="00262CEB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49</w:t>
                    </w:r>
                  </w:hyperlink>
                  <w:r w:rsidRPr="00262CEB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262CEB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approval. </w:t>
                  </w:r>
                </w:p>
                <w:p w:rsidR="00262CEB" w:rsidRPr="00262CEB" w:rsidRDefault="00262CEB" w:rsidP="00262CEB">
                  <w:pPr>
                    <w:numPr>
                      <w:ilvl w:val="1"/>
                      <w:numId w:val="2"/>
                    </w:numPr>
                    <w:spacing w:before="150" w:after="150" w:line="240" w:lineRule="auto"/>
                    <w:ind w:left="10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262CEB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lastRenderedPageBreak/>
                    <w:t xml:space="preserve">Where a commercial use contains an ancillary office, the office cannot be separately titled as it is considered part of the commercial or use. </w:t>
                  </w:r>
                </w:p>
                <w:p w:rsidR="00262CEB" w:rsidRPr="00262CEB" w:rsidRDefault="00262CEB" w:rsidP="00262CEB">
                  <w:pPr>
                    <w:numPr>
                      <w:ilvl w:val="1"/>
                      <w:numId w:val="2"/>
                    </w:numPr>
                    <w:spacing w:before="150" w:after="150" w:line="240" w:lineRule="auto"/>
                    <w:ind w:left="10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262CEB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Where a Dwelling house</w:t>
                  </w:r>
                  <w:r w:rsidRPr="00262CEB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9" w:anchor="target-d60297e447512" w:tooltip="Dwelling house - A residential use of premises for one household that contains a single dwelling.  The use includes residential outbuildings and works normally associated with a dwelling and may include a secondary dwelling." w:history="1">
                    <w:r w:rsidRPr="00262CEB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22</w:t>
                    </w:r>
                  </w:hyperlink>
                  <w:r w:rsidRPr="00262CEB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262CEB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includes a secondary dwelling or associated outbuildings, they cannot be separately titled as they are dependent on the Dwelling house</w:t>
                  </w:r>
                  <w:r w:rsidRPr="00262CEB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(</w:t>
                  </w:r>
                  <w:hyperlink r:id="rId10" w:anchor="target-d60297e447512" w:tooltip="Dwelling house - A residential use of premises for one household that contains a single dwelling.  The use includes residential outbuildings and works normally associated with a dwelling and may include a secondary dwelling." w:history="1">
                    <w:r w:rsidRPr="00262CEB">
                      <w:rPr>
                        <w:rFonts w:ascii="Arial" w:eastAsia="Times New Roman" w:hAnsi="Arial" w:cs="Arial"/>
                        <w:color w:val="0000FF"/>
                        <w:sz w:val="20"/>
                        <w:szCs w:val="20"/>
                        <w:vertAlign w:val="superscript"/>
                        <w:lang w:eastAsia="en-AU"/>
                      </w:rPr>
                      <w:t>22</w:t>
                    </w:r>
                  </w:hyperlink>
                  <w:r w:rsidRPr="00262CEB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)</w:t>
                  </w:r>
                  <w:r w:rsidRPr="00262CEB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 use. </w:t>
                  </w:r>
                </w:p>
              </w:tc>
            </w:tr>
          </w:tbl>
          <w:p w:rsidR="00262CEB" w:rsidRPr="00262CEB" w:rsidRDefault="00262CEB" w:rsidP="00262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CEB" w:rsidRPr="00262CEB" w:rsidRDefault="00262CEB" w:rsidP="00262CEB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CEB" w:rsidRPr="00262CEB" w:rsidRDefault="00262CEB" w:rsidP="00262CEB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62CEB" w:rsidRPr="00262CEB" w:rsidTr="00262CEB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EB" w:rsidRPr="00262CEB" w:rsidRDefault="00262CEB" w:rsidP="00262CEB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2C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RAD3</w:t>
            </w:r>
          </w:p>
        </w:tc>
        <w:tc>
          <w:tcPr>
            <w:tcW w:w="3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EB" w:rsidRPr="00262CEB" w:rsidRDefault="00262CEB" w:rsidP="00262CEB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2CE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Lots comply with the following minimum lot sizes and dimensions:</w:t>
            </w:r>
          </w:p>
          <w:tbl>
            <w:tblPr>
              <w:tblW w:w="11400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  <w:tblDescription w:val=""/>
            </w:tblPr>
            <w:tblGrid>
              <w:gridCol w:w="5267"/>
              <w:gridCol w:w="1949"/>
              <w:gridCol w:w="1845"/>
              <w:gridCol w:w="2256"/>
              <w:gridCol w:w="83"/>
            </w:tblGrid>
            <w:tr w:rsidR="00262CEB" w:rsidRPr="00262CEB" w:rsidTr="00262CEB">
              <w:trPr>
                <w:tblCellSpacing w:w="15" w:type="dxa"/>
              </w:trPr>
              <w:tc>
                <w:tcPr>
                  <w:tcW w:w="23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262CEB" w:rsidRPr="00262CEB" w:rsidRDefault="00262CEB" w:rsidP="00262CEB">
                  <w:pPr>
                    <w:spacing w:before="150" w:after="150" w:line="240" w:lineRule="auto"/>
                    <w:ind w:left="150" w:right="15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262CE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Zone (Precinct)</w:t>
                  </w:r>
                </w:p>
              </w:tc>
              <w:tc>
                <w:tcPr>
                  <w:tcW w:w="8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262CEB" w:rsidRPr="00262CEB" w:rsidRDefault="00262CEB" w:rsidP="00262CEB">
                  <w:pPr>
                    <w:spacing w:before="150" w:after="150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262CE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Area</w:t>
                  </w:r>
                </w:p>
              </w:tc>
              <w:tc>
                <w:tcPr>
                  <w:tcW w:w="8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262CEB" w:rsidRPr="00262CEB" w:rsidRDefault="00262CEB" w:rsidP="00262CEB">
                  <w:pPr>
                    <w:spacing w:before="150" w:after="150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262CE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Primary Frontage</w:t>
                  </w:r>
                </w:p>
              </w:tc>
              <w:tc>
                <w:tcPr>
                  <w:tcW w:w="97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vAlign w:val="center"/>
                  <w:hideMark/>
                </w:tcPr>
                <w:p w:rsidR="00262CEB" w:rsidRPr="00262CEB" w:rsidRDefault="00262CEB" w:rsidP="00262CEB">
                  <w:pPr>
                    <w:spacing w:before="150" w:after="150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AU"/>
                    </w:rPr>
                  </w:pPr>
                  <w:r w:rsidRPr="00262CE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en-AU"/>
                    </w:rPr>
                    <w:t>Depth</w:t>
                  </w:r>
                </w:p>
              </w:tc>
            </w:tr>
            <w:tr w:rsidR="00262CEB" w:rsidRPr="00262CEB" w:rsidTr="00262CEB">
              <w:trPr>
                <w:tblCellSpacing w:w="15" w:type="dxa"/>
              </w:trPr>
              <w:tc>
                <w:tcPr>
                  <w:tcW w:w="2309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2CEB" w:rsidRPr="00262CEB" w:rsidRDefault="00262CEB" w:rsidP="00262CEB">
                  <w:pPr>
                    <w:spacing w:before="150" w:after="150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262CEB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General residential - Suburban neighbourhood precinct</w:t>
                  </w:r>
                </w:p>
              </w:tc>
              <w:tc>
                <w:tcPr>
                  <w:tcW w:w="848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2CEB" w:rsidRPr="00262CEB" w:rsidRDefault="00262CEB" w:rsidP="00262CEB">
                  <w:pPr>
                    <w:spacing w:before="150" w:after="150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262CEB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600m</w:t>
                  </w:r>
                  <w:r w:rsidRPr="00262CEB">
                    <w:rPr>
                      <w:rFonts w:ascii="Arial" w:eastAsia="Times New Roman" w:hAnsi="Arial" w:cs="Arial"/>
                      <w:sz w:val="20"/>
                      <w:szCs w:val="20"/>
                      <w:vertAlign w:val="superscript"/>
                      <w:lang w:eastAsia="en-AU"/>
                    </w:rPr>
                    <w:t>2</w:t>
                  </w:r>
                </w:p>
              </w:tc>
              <w:tc>
                <w:tcPr>
                  <w:tcW w:w="803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2CEB" w:rsidRPr="00262CEB" w:rsidRDefault="00262CEB" w:rsidP="00262CEB">
                  <w:pPr>
                    <w:spacing w:before="150" w:after="150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262CEB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12.5 m</w:t>
                  </w:r>
                </w:p>
              </w:tc>
              <w:tc>
                <w:tcPr>
                  <w:tcW w:w="974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262CEB" w:rsidRPr="00262CEB" w:rsidRDefault="00262CEB" w:rsidP="00262CEB">
                  <w:pPr>
                    <w:spacing w:before="150" w:after="150" w:line="240" w:lineRule="auto"/>
                    <w:ind w:left="150" w:right="150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262CEB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>25 m</w:t>
                  </w:r>
                </w:p>
              </w:tc>
            </w:tr>
            <w:tr w:rsidR="00262CEB" w:rsidRPr="00262CEB" w:rsidTr="00262CEB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</w:tblBorders>
              </w:tblPrEx>
              <w:trPr>
                <w:gridAfter w:val="1"/>
                <w:wAfter w:w="17" w:type="pct"/>
                <w:tblCellSpacing w:w="15" w:type="dxa"/>
              </w:trPr>
              <w:tc>
                <w:tcPr>
                  <w:tcW w:w="4944" w:type="pct"/>
                  <w:gridSpan w:val="4"/>
                  <w:vAlign w:val="center"/>
                  <w:hideMark/>
                </w:tcPr>
                <w:p w:rsidR="00262CEB" w:rsidRPr="00262CEB" w:rsidRDefault="00262CEB" w:rsidP="00262CEB">
                  <w:pPr>
                    <w:spacing w:before="150" w:after="150" w:line="240" w:lineRule="auto"/>
                    <w:ind w:left="150" w:right="150"/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</w:pPr>
                  <w:r w:rsidRPr="00262CEB">
                    <w:rPr>
                      <w:rFonts w:ascii="Arial" w:eastAsia="Times New Roman" w:hAnsi="Arial" w:cs="Arial"/>
                      <w:sz w:val="20"/>
                      <w:szCs w:val="20"/>
                      <w:lang w:eastAsia="en-AU"/>
                    </w:rPr>
                    <w:t xml:space="preserve">Editor's note - Lots containing built to boundary walls should also include an appropriate easement to facilitate the maintenance of any wall within 600mm of a boundary.  For boundaries with built to boundary walls on adjacent lots a 'High Density Development Easement' is recommended; or for all other built to boundary walls and 'easement for maintenance purposes' is recommended. </w:t>
                  </w:r>
                </w:p>
              </w:tc>
            </w:tr>
          </w:tbl>
          <w:p w:rsidR="00262CEB" w:rsidRPr="00262CEB" w:rsidRDefault="00262CEB" w:rsidP="00262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CEB" w:rsidRPr="00262CEB" w:rsidRDefault="00262CEB" w:rsidP="00262CEB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CEB" w:rsidRPr="00262CEB" w:rsidRDefault="00262CEB" w:rsidP="00262CEB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62CEB" w:rsidRPr="00262CEB" w:rsidTr="00262CEB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EB" w:rsidRPr="00262CEB" w:rsidRDefault="00262CEB" w:rsidP="00262CEB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2C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RAD4</w:t>
            </w:r>
          </w:p>
        </w:tc>
        <w:tc>
          <w:tcPr>
            <w:tcW w:w="3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EB" w:rsidRPr="00262CEB" w:rsidRDefault="00262CEB" w:rsidP="00262CEB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2CE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Boundary realignment does not result in the creation of additional building development opportunity within an area subject to an overlay map. 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CEB" w:rsidRPr="00262CEB" w:rsidRDefault="00262CEB" w:rsidP="00262CEB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CEB" w:rsidRPr="00262CEB" w:rsidRDefault="00262CEB" w:rsidP="00262CEB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62CEB" w:rsidRPr="00262CEB" w:rsidTr="00262CEB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EB" w:rsidRPr="00262CEB" w:rsidRDefault="00262CEB" w:rsidP="00262CEB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2C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RAD5</w:t>
            </w:r>
          </w:p>
        </w:tc>
        <w:tc>
          <w:tcPr>
            <w:tcW w:w="3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EB" w:rsidRPr="00262CEB" w:rsidRDefault="00262CEB" w:rsidP="00262CEB">
            <w:pPr>
              <w:spacing w:after="0" w:line="240" w:lineRule="auto"/>
              <w:ind w:left="118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2CE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No new boundaries are located within 2m of High Value Areas as identified in Overlay map - Environmental areas.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CEB" w:rsidRPr="00262CEB" w:rsidRDefault="00262CEB" w:rsidP="00262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CEB" w:rsidRPr="00262CEB" w:rsidRDefault="00262CEB" w:rsidP="00262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262CEB" w:rsidRPr="00262CEB" w:rsidTr="00262CEB">
        <w:trPr>
          <w:tblCellSpacing w:w="15" w:type="dxa"/>
        </w:trPr>
        <w:tc>
          <w:tcPr>
            <w:tcW w:w="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EB" w:rsidRPr="00262CEB" w:rsidRDefault="00262CEB" w:rsidP="00262CEB">
            <w:pPr>
              <w:spacing w:before="150" w:after="150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2CE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RAD6</w:t>
            </w:r>
          </w:p>
        </w:tc>
        <w:tc>
          <w:tcPr>
            <w:tcW w:w="37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2CEB" w:rsidRPr="00262CEB" w:rsidRDefault="00262CEB" w:rsidP="00262CEB">
            <w:pPr>
              <w:spacing w:after="0" w:line="240" w:lineRule="auto"/>
              <w:ind w:left="118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262CEB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Boundary realignment does not result in the clearing of any Habitat trees.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CEB" w:rsidRPr="00262CEB" w:rsidRDefault="00262CEB" w:rsidP="00262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CEB" w:rsidRPr="00262CEB" w:rsidRDefault="00262CEB" w:rsidP="00262CE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:rsidR="00641E2E" w:rsidRPr="00262CEB" w:rsidRDefault="00641E2E" w:rsidP="00262CEB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641E2E" w:rsidRPr="00262CEB" w:rsidSect="00262C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8F2" w:rsidRDefault="00C768F2" w:rsidP="00262CEB">
      <w:pPr>
        <w:spacing w:after="0" w:line="240" w:lineRule="auto"/>
      </w:pPr>
      <w:r>
        <w:separator/>
      </w:r>
    </w:p>
  </w:endnote>
  <w:endnote w:type="continuationSeparator" w:id="0">
    <w:p w:rsidR="00C768F2" w:rsidRDefault="00C768F2" w:rsidP="00262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CEB" w:rsidRDefault="00262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CEB" w:rsidRPr="00262CEB" w:rsidRDefault="00262CEB" w:rsidP="00262CEB">
    <w:pPr>
      <w:pStyle w:val="Footer"/>
      <w:jc w:val="center"/>
      <w:rPr>
        <w:rFonts w:ascii="Arial" w:hAnsi="Arial" w:cs="Arial"/>
        <w:i/>
        <w:sz w:val="20"/>
        <w:szCs w:val="20"/>
      </w:rPr>
    </w:pPr>
    <w:r w:rsidRPr="005A0BA0">
      <w:rPr>
        <w:rFonts w:ascii="Arial" w:hAnsi="Arial" w:cs="Arial"/>
        <w:i/>
        <w:sz w:val="20"/>
        <w:szCs w:val="20"/>
      </w:rPr>
      <w:t xml:space="preserve">MBRC Planning Scheme - </w:t>
    </w:r>
    <w:r>
      <w:rPr>
        <w:rFonts w:ascii="Arial" w:hAnsi="Arial" w:cs="Arial"/>
        <w:i/>
        <w:sz w:val="20"/>
        <w:szCs w:val="20"/>
      </w:rPr>
      <w:t>Other development codes - Reconfiguring a lot - General residential zone - Suburban neighbourhood precinct - Requirements for accepted development</w:t>
    </w:r>
    <w:r w:rsidRPr="005A0BA0">
      <w:rPr>
        <w:rFonts w:ascii="Arial" w:hAnsi="Arial" w:cs="Arial"/>
        <w:i/>
        <w:sz w:val="20"/>
        <w:szCs w:val="20"/>
      </w:rPr>
      <w:t xml:space="preserve"> - </w:t>
    </w:r>
    <w:r>
      <w:rPr>
        <w:rFonts w:ascii="Arial" w:hAnsi="Arial" w:cs="Arial"/>
        <w:i/>
        <w:sz w:val="20"/>
        <w:szCs w:val="20"/>
      </w:rPr>
      <w:t>3 July 2017</w:t>
    </w:r>
    <w:r w:rsidRPr="005A0BA0">
      <w:rPr>
        <w:rFonts w:ascii="Arial" w:hAnsi="Arial" w:cs="Arial"/>
        <w:i/>
        <w:sz w:val="20"/>
        <w:szCs w:val="20"/>
      </w:rPr>
      <w:tab/>
    </w:r>
    <w:r w:rsidRPr="005A0BA0"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ab/>
    </w:r>
    <w:r w:rsidRPr="005A0BA0">
      <w:rPr>
        <w:rFonts w:ascii="Arial" w:hAnsi="Arial" w:cs="Arial"/>
        <w:i/>
        <w:sz w:val="20"/>
        <w:szCs w:val="20"/>
      </w:rPr>
      <w:tab/>
    </w:r>
    <w:r w:rsidRPr="005A0BA0">
      <w:rPr>
        <w:rFonts w:ascii="Arial" w:hAnsi="Arial" w:cs="Arial"/>
        <w:i/>
        <w:sz w:val="20"/>
        <w:szCs w:val="20"/>
      </w:rPr>
      <w:tab/>
    </w:r>
    <w:r w:rsidRPr="005A0BA0">
      <w:rPr>
        <w:rFonts w:ascii="Arial" w:hAnsi="Arial" w:cs="Arial"/>
        <w:i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-92634096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5A0BA0">
          <w:rPr>
            <w:rFonts w:ascii="Arial" w:hAnsi="Arial" w:cs="Arial"/>
            <w:sz w:val="20"/>
            <w:szCs w:val="20"/>
          </w:rPr>
          <w:fldChar w:fldCharType="begin"/>
        </w:r>
        <w:r w:rsidRPr="005A0BA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A0BA0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Pr="005A0BA0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CEB" w:rsidRDefault="00262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8F2" w:rsidRDefault="00C768F2" w:rsidP="00262CEB">
      <w:pPr>
        <w:spacing w:after="0" w:line="240" w:lineRule="auto"/>
      </w:pPr>
      <w:r>
        <w:separator/>
      </w:r>
    </w:p>
  </w:footnote>
  <w:footnote w:type="continuationSeparator" w:id="0">
    <w:p w:rsidR="00C768F2" w:rsidRDefault="00C768F2" w:rsidP="00262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CEB" w:rsidRDefault="00262C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CEB" w:rsidRDefault="00262C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CEB" w:rsidRDefault="00262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C6E8B"/>
    <w:multiLevelType w:val="hybridMultilevel"/>
    <w:tmpl w:val="26726724"/>
    <w:lvl w:ilvl="0" w:tplc="A34037D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4731960"/>
    <w:multiLevelType w:val="multilevel"/>
    <w:tmpl w:val="377E65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E238BD"/>
    <w:multiLevelType w:val="multilevel"/>
    <w:tmpl w:val="D2D239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CEB"/>
    <w:rsid w:val="00017EC6"/>
    <w:rsid w:val="00262CEB"/>
    <w:rsid w:val="004E0E41"/>
    <w:rsid w:val="00641E2E"/>
    <w:rsid w:val="00C768F2"/>
    <w:rsid w:val="00E1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AF8D3-A9E5-4585-9565-4F9801F3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62CE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62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CEB"/>
  </w:style>
  <w:style w:type="paragraph" w:styleId="Footer">
    <w:name w:val="footer"/>
    <w:basedOn w:val="Normal"/>
    <w:link w:val="FooterChar"/>
    <w:uiPriority w:val="99"/>
    <w:unhideWhenUsed/>
    <w:rsid w:val="00262C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CEB"/>
  </w:style>
  <w:style w:type="paragraph" w:styleId="ListParagraph">
    <w:name w:val="List Paragraph"/>
    <w:basedOn w:val="Normal"/>
    <w:uiPriority w:val="34"/>
    <w:qFormat/>
    <w:rsid w:val="00262CEB"/>
    <w:pPr>
      <w:spacing w:after="200" w:line="276" w:lineRule="auto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72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4874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2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A8A8A8"/>
                        <w:left w:val="single" w:sz="2" w:space="14" w:color="A8A8A8"/>
                        <w:bottom w:val="single" w:sz="6" w:space="7" w:color="A8A8A8"/>
                        <w:right w:val="single" w:sz="2" w:space="14" w:color="A8A8A8"/>
                      </w:divBdr>
                      <w:divsChild>
                        <w:div w:id="154987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6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0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068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69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17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401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47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817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79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.moretonbay.qld.gov.au/portal/mbrcpsv3?pointId=s133274365818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nsult.moretonbay.qld.gov.au/portal/mbrcpsv3?pointId=s1332743658181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consult.moretonbay.qld.gov.au/portal/mbrcpsv3?pointId=s13327436581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ult.moretonbay.qld.gov.au/portal/mbrcpsv3?pointId=s1332743658181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Moreton Bay Regional Council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McEwan</dc:creator>
  <cp:keywords/>
  <dc:description/>
  <cp:lastModifiedBy>Brenden Till</cp:lastModifiedBy>
  <cp:revision>2</cp:revision>
  <dcterms:created xsi:type="dcterms:W3CDTF">2019-04-17T06:17:00Z</dcterms:created>
  <dcterms:modified xsi:type="dcterms:W3CDTF">2019-04-17T06:17:00Z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A15575475</vt:lpwstr>
  </property>
  <property fmtid="{D5CDD505-2E9C-101B-9397-08002B2CF9AE}" pid="4" name="Objective-Title">
    <vt:lpwstr>Other development codes - Reconfiguring a lot - General residential zone - Suburban neighbourhood precinct - Requirements for accepted development</vt:lpwstr>
  </property>
  <property fmtid="{D5CDD505-2E9C-101B-9397-08002B2CF9AE}" pid="5" name="Objective-Comment">
    <vt:lpwstr/>
  </property>
  <property fmtid="{D5CDD505-2E9C-101B-9397-08002B2CF9AE}" pid="6" name="Objective-CreationStamp">
    <vt:filetime>2017-07-12T06:49:19Z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2017-07-12T06:49:19Z</vt:filetime>
  </property>
  <property fmtid="{D5CDD505-2E9C-101B-9397-08002B2CF9AE}" pid="10" name="Objective-ModificationStamp">
    <vt:filetime>2017-07-19T23:56:14Z</vt:filetime>
  </property>
  <property fmtid="{D5CDD505-2E9C-101B-9397-08002B2CF9AE}" pid="11" name="Objective-Owner">
    <vt:lpwstr>Cassie McEwan</vt:lpwstr>
  </property>
  <property fmtid="{D5CDD505-2E9C-101B-9397-08002B2CF9AE}" pid="12" name="Objective-Path">
    <vt:lpwstr>Objective Global Folder:MBRC File Plan:STRATEGIC PLANNING - PLANNING SCHEME &amp; POLICIES:MBRC PLANNING SCHEME:AMENDMENT - ALIGNMENT - No.1:08 Amended Code Templates:Code templates:</vt:lpwstr>
  </property>
  <property fmtid="{D5CDD505-2E9C-101B-9397-08002B2CF9AE}" pid="13" name="Objective-Parent">
    <vt:lpwstr>Code 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qA1437349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Archive Box [system]">
    <vt:lpwstr/>
  </property>
  <property fmtid="{D5CDD505-2E9C-101B-9397-08002B2CF9AE}" pid="22" name="Objective-Date Received [system]">
    <vt:lpwstr/>
  </property>
  <property fmtid="{D5CDD505-2E9C-101B-9397-08002B2CF9AE}" pid="23" name="Objective-Date of Letter [system]">
    <vt:lpwstr/>
  </property>
  <property fmtid="{D5CDD505-2E9C-101B-9397-08002B2CF9AE}" pid="24" name="Objective-Action Officer [system]">
    <vt:lpwstr/>
  </property>
  <property fmtid="{D5CDD505-2E9C-101B-9397-08002B2CF9AE}" pid="25" name="Objective-Contact Name (NAR) [system]">
    <vt:lpwstr/>
  </property>
  <property fmtid="{D5CDD505-2E9C-101B-9397-08002B2CF9AE}" pid="26" name="Objective-NAR Key [system]">
    <vt:lpwstr/>
  </property>
  <property fmtid="{D5CDD505-2E9C-101B-9397-08002B2CF9AE}" pid="27" name="Objective-Location Description [system]">
    <vt:lpwstr/>
  </property>
  <property fmtid="{D5CDD505-2E9C-101B-9397-08002B2CF9AE}" pid="28" name="Objective-Property Key [system]">
    <vt:lpwstr/>
  </property>
  <property fmtid="{D5CDD505-2E9C-101B-9397-08002B2CF9AE}" pid="29" name="Objective-Street [system]">
    <vt:lpwstr/>
  </property>
  <property fmtid="{D5CDD505-2E9C-101B-9397-08002B2CF9AE}" pid="30" name="Objective-Street/Suburb Key [system]">
    <vt:lpwstr/>
  </property>
  <property fmtid="{D5CDD505-2E9C-101B-9397-08002B2CF9AE}" pid="31" name="Objective-Customer Request Number [system]">
    <vt:lpwstr/>
  </property>
  <property fmtid="{D5CDD505-2E9C-101B-9397-08002B2CF9AE}" pid="32" name="Objective-Customer Request Key [system]">
    <vt:lpwstr/>
  </property>
  <property fmtid="{D5CDD505-2E9C-101B-9397-08002B2CF9AE}" pid="33" name="Objective-Public [system]">
    <vt:lpwstr/>
  </property>
  <property fmtid="{D5CDD505-2E9C-101B-9397-08002B2CF9AE}" pid="34" name="Objective-Connect Creator [system]">
    <vt:lpwstr/>
  </property>
</Properties>
</file>