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2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73"/>
      </w:tblGrid>
      <w:tr w:rsidR="008A30A9" w:rsidRPr="008A30A9" w:rsidTr="008A30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9.4.1.3.2.1 Requirements for accepted development - Emerging community - Transition precinct</w:t>
            </w:r>
          </w:p>
        </w:tc>
      </w:tr>
    </w:tbl>
    <w:p w:rsidR="008A30A9" w:rsidRDefault="008A30A9"/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376"/>
        <w:gridCol w:w="8387"/>
        <w:gridCol w:w="2520"/>
        <w:gridCol w:w="3090"/>
      </w:tblGrid>
      <w:tr w:rsidR="008A30A9" w:rsidRPr="008A30A9" w:rsidTr="008A30A9">
        <w:trPr>
          <w:tblCellSpacing w:w="15" w:type="dxa"/>
        </w:trPr>
        <w:tc>
          <w:tcPr>
            <w:tcW w:w="3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A30A9" w:rsidRPr="00963A19" w:rsidRDefault="008A30A9" w:rsidP="008A30A9">
            <w:pPr>
              <w:spacing w:before="100" w:beforeAutospacing="1" w:after="100" w:afterAutospacing="1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8A30A9" w:rsidRDefault="008A30A9" w:rsidP="008A30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79" w:right="150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8A30A9" w:rsidRPr="008A30A9" w:rsidRDefault="008A30A9" w:rsidP="008A30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79" w:right="150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8A30A9" w:rsidRPr="008A30A9" w:rsidTr="008A30A9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8A30A9" w:rsidRPr="008A30A9" w:rsidTr="008A30A9">
        <w:trPr>
          <w:tblCellSpacing w:w="15" w:type="dxa"/>
        </w:trPr>
        <w:tc>
          <w:tcPr>
            <w:tcW w:w="3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for developed lots only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8A30A9" w:rsidRPr="008A30A9" w:rsidTr="008A30A9">
        <w:trPr>
          <w:tblCellSpacing w:w="15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8A30A9" w:rsidRPr="008A30A9" w:rsidRDefault="008A30A9" w:rsidP="008A30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8A30A9" w:rsidRPr="008A30A9" w:rsidRDefault="008A30A9" w:rsidP="008A30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8A30A9" w:rsidRPr="008A30A9" w:rsidRDefault="008A30A9" w:rsidP="008A30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</w:t>
            </w:r>
            <w:proofErr w:type="gramEnd"/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not require additional infrastructure connections or modification to existing connections.</w:t>
            </w:r>
          </w:p>
          <w:p w:rsidR="008A30A9" w:rsidRPr="008A30A9" w:rsidRDefault="008A30A9" w:rsidP="008A30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A30A9" w:rsidRPr="008A30A9" w:rsidTr="008A30A9">
        <w:trPr>
          <w:tblCellSpacing w:w="15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requirements.</w:t>
            </w:r>
          </w:p>
          <w:tbl>
            <w:tblPr>
              <w:tblW w:w="8182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182"/>
            </w:tblGrid>
            <w:tr w:rsidR="008A30A9" w:rsidRPr="008A30A9" w:rsidTr="008A30A9">
              <w:trPr>
                <w:tblCellSpacing w:w="15" w:type="dxa"/>
              </w:trPr>
              <w:tc>
                <w:tcPr>
                  <w:tcW w:w="8122" w:type="dxa"/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8A30A9" w:rsidRPr="008A30A9" w:rsidRDefault="008A30A9" w:rsidP="008A30A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8A30A9" w:rsidRPr="008A30A9" w:rsidRDefault="008A30A9" w:rsidP="008A30A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8A30A9" w:rsidRPr="008A30A9" w:rsidRDefault="008A30A9" w:rsidP="008A30A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8A30A9" w:rsidRPr="008A30A9" w:rsidRDefault="008A30A9" w:rsidP="008A30A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8A30A9" w:rsidRPr="008A30A9" w:rsidRDefault="008A30A9" w:rsidP="008A30A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8A30A9" w:rsidRPr="008A30A9" w:rsidRDefault="008A30A9" w:rsidP="008A30A9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Where premises are approved as </w:t>
                  </w:r>
                  <w:proofErr w:type="gramStart"/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Multiple</w:t>
                  </w:r>
                  <w:proofErr w:type="gramEnd"/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dwelling with a communal open space area, the communal open space cannot be separately titled as it is required by the Multiple dwelling approval. </w:t>
                  </w:r>
                </w:p>
                <w:p w:rsidR="008A30A9" w:rsidRPr="008A30A9" w:rsidRDefault="008A30A9" w:rsidP="008A30A9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Where a commercial or industrial land use contains an ancillary office, the office cannot be separately titled as it is considered part of the commercial or industrial use. </w:t>
                  </w:r>
                </w:p>
                <w:p w:rsidR="008A30A9" w:rsidRPr="008A30A9" w:rsidRDefault="008A30A9" w:rsidP="008A30A9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lastRenderedPageBreak/>
                    <w:t>Where a Dwelling house</w:t>
                  </w: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8A30A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8A30A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8A30A9" w:rsidRPr="008A30A9" w:rsidRDefault="008A30A9" w:rsidP="008A30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A30A9" w:rsidRPr="008A30A9" w:rsidTr="008A30A9">
        <w:trPr>
          <w:trHeight w:val="2385"/>
          <w:tblCellSpacing w:w="15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comply with the following minimum lot sizes and dimensions:</w:t>
            </w:r>
          </w:p>
          <w:tbl>
            <w:tblPr>
              <w:tblW w:w="8162" w:type="dxa"/>
              <w:tblCellSpacing w:w="15" w:type="dxa"/>
              <w:tblInd w:w="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768"/>
              <w:gridCol w:w="1418"/>
              <w:gridCol w:w="1417"/>
              <w:gridCol w:w="1559"/>
            </w:tblGrid>
            <w:tr w:rsidR="008A30A9" w:rsidRPr="008A30A9" w:rsidTr="008A30A9">
              <w:trPr>
                <w:tblCellSpacing w:w="15" w:type="dxa"/>
              </w:trPr>
              <w:tc>
                <w:tcPr>
                  <w:tcW w:w="3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Zone (Precinct)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Frontage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8A30A9" w:rsidRPr="008A30A9" w:rsidTr="008A30A9">
              <w:trPr>
                <w:tblCellSpacing w:w="15" w:type="dxa"/>
              </w:trPr>
              <w:tc>
                <w:tcPr>
                  <w:tcW w:w="3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Transition precinct - Morayfield South urban area on </w:t>
                  </w:r>
                  <w:hyperlink r:id="rId9" w:anchor="ID-364412-657812" w:history="1">
                    <w:r w:rsidRPr="008A30A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lang w:eastAsia="en-AU"/>
                      </w:rPr>
                      <w:t>‘Figure 9.4.1.3.2.1 Morayfield South urban area’</w:t>
                    </w:r>
                  </w:hyperlink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32 m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25 m</w:t>
                  </w:r>
                </w:p>
              </w:tc>
            </w:tr>
            <w:tr w:rsidR="008A30A9" w:rsidRPr="008A30A9" w:rsidTr="008A30A9">
              <w:trPr>
                <w:tblCellSpacing w:w="15" w:type="dxa"/>
              </w:trPr>
              <w:tc>
                <w:tcPr>
                  <w:tcW w:w="3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Transition precinct - all other areas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7.5 m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25 m</w:t>
                  </w:r>
                </w:p>
              </w:tc>
            </w:tr>
          </w:tbl>
          <w:p w:rsidR="008A30A9" w:rsidRDefault="008A30A9"/>
          <w:tbl>
            <w:tblPr>
              <w:tblW w:w="8212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212"/>
            </w:tblGrid>
            <w:tr w:rsidR="008A30A9" w:rsidRPr="008A30A9" w:rsidTr="008A30A9">
              <w:trPr>
                <w:tblCellSpacing w:w="15" w:type="dxa"/>
              </w:trPr>
              <w:tc>
                <w:tcPr>
                  <w:tcW w:w="8152" w:type="dxa"/>
                  <w:vAlign w:val="center"/>
                  <w:hideMark/>
                </w:tcPr>
                <w:p w:rsidR="008A30A9" w:rsidRPr="008A30A9" w:rsidRDefault="008A30A9" w:rsidP="008A30A9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8A30A9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Editor's note - Lots containing built to boundary walls should also include an appropriate easement to facilitate the maintenance of any wall within 600mm of a boundary.  For boundaries with built to boundary walls on adjacent lots a 'High Density Development Easement' is recommended; or for all other built to boundary walls and 'easement for maintenance purposes' is recommended. </w:t>
                  </w:r>
                </w:p>
              </w:tc>
            </w:tr>
          </w:tbl>
          <w:p w:rsidR="008A30A9" w:rsidRPr="008A30A9" w:rsidRDefault="008A30A9" w:rsidP="008A30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A30A9" w:rsidRPr="008A30A9" w:rsidTr="008A30A9">
        <w:trPr>
          <w:tblCellSpacing w:w="15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in the precinct does not result in more than 4 adjoining lots of the same lot type, as defined in </w:t>
            </w:r>
            <w:hyperlink r:id="rId10" w:anchor="ID-364412-662998" w:history="1">
              <w:r w:rsidRPr="008A30A9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n-AU"/>
                </w:rPr>
                <w:t>‘Table 9.4.1.3.2.3: Lot Types’</w:t>
              </w:r>
            </w:hyperlink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: Lot Types. 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A30A9" w:rsidRPr="008A30A9" w:rsidTr="008A30A9">
        <w:trPr>
          <w:tblCellSpacing w:w="15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opportunity within an area subject to an overlay map. 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A30A9" w:rsidRPr="008A30A9" w:rsidTr="008A30A9">
        <w:trPr>
          <w:tblCellSpacing w:w="15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8A30A9" w:rsidRPr="008A30A9" w:rsidTr="008A30A9">
        <w:trPr>
          <w:tblCellSpacing w:w="15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RAD7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30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0A9" w:rsidRPr="008A30A9" w:rsidRDefault="008A30A9" w:rsidP="008A30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F27714" w:rsidRDefault="00F27714" w:rsidP="008A30A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F27714" w:rsidRDefault="00F2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27714" w:rsidRPr="00406D9C" w:rsidRDefault="00F27714" w:rsidP="00F277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406D9C">
        <w:rPr>
          <w:rFonts w:ascii="Arial" w:eastAsia="Times New Roman" w:hAnsi="Arial" w:cs="Arial"/>
          <w:b/>
          <w:bCs/>
          <w:sz w:val="20"/>
          <w:szCs w:val="20"/>
          <w:lang w:eastAsia="en-AU"/>
        </w:rPr>
        <w:lastRenderedPageBreak/>
        <w:t>Table 9.4.1.3.2.3: Lot Types</w:t>
      </w:r>
      <w:r w:rsidRPr="00406D9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tgtFrame="_blank" w:tooltip="Link to larger image (popup)" w:history="1">
        <w:r w:rsidRPr="00406D9C">
          <w:rPr>
            <w:rFonts w:ascii="Arial" w:eastAsia="Times New Roman" w:hAnsi="Arial" w:cs="Arial"/>
            <w:color w:val="0000FF"/>
            <w:sz w:val="20"/>
            <w:szCs w:val="20"/>
            <w:lang w:eastAsia="en-AU"/>
          </w:rPr>
          <w:t> </w:t>
        </w:r>
      </w:hyperlink>
    </w:p>
    <w:p w:rsidR="00F27714" w:rsidRPr="00406D9C" w:rsidRDefault="00F27714" w:rsidP="00F277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406D9C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010C10C0" wp14:editId="46EB446E">
            <wp:extent cx="7200900" cy="2438400"/>
            <wp:effectExtent l="0" t="0" r="0" b="0"/>
            <wp:docPr id="3" name="Picture 3" descr="Lot Typ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t Type Tab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14" w:rsidRPr="00406D9C" w:rsidRDefault="00F27714" w:rsidP="00F27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F27714" w:rsidRDefault="00F27714" w:rsidP="00F27714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br w:type="page"/>
      </w:r>
    </w:p>
    <w:p w:rsidR="00F27714" w:rsidRPr="00406D9C" w:rsidRDefault="00F27714" w:rsidP="00F277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406D9C">
        <w:rPr>
          <w:rFonts w:ascii="Arial" w:eastAsia="Times New Roman" w:hAnsi="Arial" w:cs="Arial"/>
          <w:b/>
          <w:bCs/>
          <w:sz w:val="20"/>
          <w:szCs w:val="20"/>
          <w:lang w:eastAsia="en-AU"/>
        </w:rPr>
        <w:lastRenderedPageBreak/>
        <w:t>Figure 1 - Morayfield South</w:t>
      </w:r>
      <w:r w:rsidRPr="00406D9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3" w:tgtFrame="_blank" w:tooltip="Link to larger image (popup)" w:history="1">
        <w:r w:rsidRPr="00406D9C">
          <w:rPr>
            <w:rFonts w:ascii="Arial" w:eastAsia="Times New Roman" w:hAnsi="Arial" w:cs="Arial"/>
            <w:color w:val="0000FF"/>
            <w:sz w:val="20"/>
            <w:szCs w:val="20"/>
            <w:lang w:eastAsia="en-AU"/>
          </w:rPr>
          <w:t> </w:t>
        </w:r>
      </w:hyperlink>
    </w:p>
    <w:p w:rsidR="00F27714" w:rsidRPr="00406D9C" w:rsidRDefault="00F27714" w:rsidP="00F277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406D9C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4AAD1005" wp14:editId="6C4C6FDF">
            <wp:extent cx="7200900" cy="5086350"/>
            <wp:effectExtent l="0" t="0" r="0" b="0"/>
            <wp:docPr id="2" name="Picture 2" descr="Morayfield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rayfield Sout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14" w:rsidRPr="00406D9C" w:rsidRDefault="00F27714" w:rsidP="00F277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F27714" w:rsidRDefault="00F27714" w:rsidP="00F27714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br w:type="page"/>
      </w:r>
    </w:p>
    <w:p w:rsidR="00F27714" w:rsidRPr="00406D9C" w:rsidRDefault="00F27714" w:rsidP="00F277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406D9C">
        <w:rPr>
          <w:rFonts w:ascii="Arial" w:eastAsia="Times New Roman" w:hAnsi="Arial" w:cs="Arial"/>
          <w:b/>
          <w:bCs/>
          <w:sz w:val="20"/>
          <w:szCs w:val="20"/>
          <w:lang w:eastAsia="en-AU"/>
        </w:rPr>
        <w:lastRenderedPageBreak/>
        <w:t>Figure 2 - Narangba East</w:t>
      </w:r>
      <w:r w:rsidRPr="00406D9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5" w:tgtFrame="_blank" w:tooltip="Link to larger image (popup)" w:history="1">
        <w:r w:rsidRPr="00406D9C">
          <w:rPr>
            <w:rFonts w:ascii="Arial" w:eastAsia="Times New Roman" w:hAnsi="Arial" w:cs="Arial"/>
            <w:color w:val="0000FF"/>
            <w:sz w:val="20"/>
            <w:szCs w:val="20"/>
            <w:lang w:eastAsia="en-AU"/>
          </w:rPr>
          <w:t> </w:t>
        </w:r>
      </w:hyperlink>
    </w:p>
    <w:p w:rsidR="00F27714" w:rsidRDefault="00F27714" w:rsidP="00F277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406D9C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4B6CB8F8" wp14:editId="2500DEC8">
            <wp:extent cx="4314589" cy="5524500"/>
            <wp:effectExtent l="0" t="0" r="0" b="0"/>
            <wp:docPr id="1" name="Picture 1" descr="Narangba 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rangba eas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759" cy="55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C0C" w:rsidRPr="008A30A9" w:rsidRDefault="00083C0C" w:rsidP="008A30A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083C0C" w:rsidRPr="008A30A9" w:rsidSect="008A30A9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4A" w:rsidRDefault="00C42B4A" w:rsidP="008A30A9">
      <w:pPr>
        <w:spacing w:after="0" w:line="240" w:lineRule="auto"/>
      </w:pPr>
      <w:r>
        <w:separator/>
      </w:r>
    </w:p>
  </w:endnote>
  <w:endnote w:type="continuationSeparator" w:id="0">
    <w:p w:rsidR="00C42B4A" w:rsidRDefault="00C42B4A" w:rsidP="008A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A9" w:rsidRDefault="008A30A9" w:rsidP="008A30A9">
    <w:pPr>
      <w:pStyle w:val="Footer"/>
      <w:rPr>
        <w:rFonts w:ascii="Arial" w:hAnsi="Arial" w:cs="Arial"/>
        <w:i/>
        <w:sz w:val="20"/>
        <w:szCs w:val="20"/>
      </w:rPr>
    </w:pPr>
    <w:r w:rsidRPr="00757887">
      <w:rPr>
        <w:rFonts w:ascii="Arial" w:hAnsi="Arial" w:cs="Arial"/>
        <w:i/>
        <w:sz w:val="20"/>
        <w:szCs w:val="20"/>
      </w:rPr>
      <w:t xml:space="preserve">MBRC Planning Scheme </w:t>
    </w:r>
    <w:r>
      <w:rPr>
        <w:rFonts w:ascii="Arial" w:hAnsi="Arial" w:cs="Arial"/>
        <w:i/>
        <w:sz w:val="20"/>
        <w:szCs w:val="20"/>
      </w:rPr>
      <w:t>- Other development code</w:t>
    </w:r>
    <w:r w:rsidRPr="00757887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 xml:space="preserve">Reconfiguring a lot code - Emerging community zone - Transitional precinct -  </w:t>
    </w:r>
  </w:p>
  <w:p w:rsidR="008A30A9" w:rsidRPr="008A30A9" w:rsidRDefault="008A30A9" w:rsidP="008A30A9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Requirements for accepted development</w:t>
    </w:r>
    <w:r w:rsidRPr="00757887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3 July 2017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</w:t>
    </w:r>
    <w:sdt>
      <w:sdtPr>
        <w:rPr>
          <w:rFonts w:ascii="Arial" w:hAnsi="Arial" w:cs="Arial"/>
          <w:sz w:val="20"/>
          <w:szCs w:val="20"/>
        </w:rPr>
        <w:id w:val="105050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7887">
          <w:rPr>
            <w:rFonts w:ascii="Arial" w:hAnsi="Arial" w:cs="Arial"/>
            <w:sz w:val="20"/>
            <w:szCs w:val="20"/>
          </w:rPr>
          <w:fldChar w:fldCharType="begin"/>
        </w:r>
        <w:r w:rsidRPr="0075788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57887">
          <w:rPr>
            <w:rFonts w:ascii="Arial" w:hAnsi="Arial" w:cs="Arial"/>
            <w:sz w:val="20"/>
            <w:szCs w:val="20"/>
          </w:rPr>
          <w:fldChar w:fldCharType="separate"/>
        </w:r>
        <w:r w:rsidR="00F27714">
          <w:rPr>
            <w:rFonts w:ascii="Arial" w:hAnsi="Arial" w:cs="Arial"/>
            <w:noProof/>
            <w:sz w:val="20"/>
            <w:szCs w:val="20"/>
          </w:rPr>
          <w:t>5</w:t>
        </w:r>
        <w:r w:rsidRPr="0075788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4A" w:rsidRDefault="00C42B4A" w:rsidP="008A30A9">
      <w:pPr>
        <w:spacing w:after="0" w:line="240" w:lineRule="auto"/>
      </w:pPr>
      <w:r>
        <w:separator/>
      </w:r>
    </w:p>
  </w:footnote>
  <w:footnote w:type="continuationSeparator" w:id="0">
    <w:p w:rsidR="00C42B4A" w:rsidRDefault="00C42B4A" w:rsidP="008A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5E6C88"/>
    <w:multiLevelType w:val="multilevel"/>
    <w:tmpl w:val="B87A9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F1391"/>
    <w:multiLevelType w:val="multilevel"/>
    <w:tmpl w:val="CC0EAE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A9"/>
    <w:rsid w:val="00083C0C"/>
    <w:rsid w:val="005C0361"/>
    <w:rsid w:val="008A30A9"/>
    <w:rsid w:val="00C42B4A"/>
    <w:rsid w:val="00F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16877-898A-499C-8BEA-3095FCAF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30A9"/>
    <w:rPr>
      <w:b/>
      <w:bCs/>
    </w:rPr>
  </w:style>
  <w:style w:type="paragraph" w:styleId="ListParagraph">
    <w:name w:val="List Paragraph"/>
    <w:basedOn w:val="Normal"/>
    <w:uiPriority w:val="34"/>
    <w:qFormat/>
    <w:rsid w:val="008A30A9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A3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A9"/>
  </w:style>
  <w:style w:type="paragraph" w:styleId="Footer">
    <w:name w:val="footer"/>
    <w:basedOn w:val="Normal"/>
    <w:link w:val="FooterChar"/>
    <w:uiPriority w:val="99"/>
    <w:unhideWhenUsed/>
    <w:rsid w:val="008A3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006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98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6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5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25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1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hyperlink" Target="http://consult.moretonbay.qld.gov.au/events/3497/popimage_d60297e413513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.moretonbay.qld.gov.au/events/3497/popimage_d60297e4135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sult.moretonbay.qld.gov.au/events/3497/popimage_d60297e413516.html" TargetMode="External"/><Relationship Id="rId10" Type="http://schemas.openxmlformats.org/officeDocument/2006/relationships/hyperlink" Target="http://consult.moretonbay.qld.gov.au/portal/mbrcpsv3?pointId=s13808474339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sv3?pointId=s138084743395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Diane Williams</cp:lastModifiedBy>
  <cp:revision>2</cp:revision>
  <dcterms:created xsi:type="dcterms:W3CDTF">2017-07-13T04:13:00Z</dcterms:created>
  <dcterms:modified xsi:type="dcterms:W3CDTF">2017-07-13T04:29:00Z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A15580668</vt:lpwstr>
  </property>
  <property fmtid="{D5CDD505-2E9C-101B-9397-08002B2CF9AE}" pid="4" name="Objective-Title">
    <vt:lpwstr>Other development codes - Reconfiguring a lot code - Emerging community zone - Transition precinct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2017-07-13T04:22:29Z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2017-07-13T06:16:25Z</vt:filetime>
  </property>
  <property fmtid="{D5CDD505-2E9C-101B-9397-08002B2CF9AE}" pid="11" name="Objective-Owner">
    <vt:lpwstr>Diane Williams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</vt:lpwstr>
  </property>
  <property fmtid="{D5CDD505-2E9C-101B-9397-08002B2CF9AE}" pid="13" name="Objective-Parent">
    <vt:lpwstr>08 Amended Code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