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F744DA" w:rsidRPr="00F744DA" w:rsidTr="00F744DA">
        <w:trPr>
          <w:tblCellSpacing w:w="15" w:type="dxa"/>
          <w:jc w:val="center"/>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F744DA" w:rsidRPr="00F744DA" w:rsidRDefault="00F744DA" w:rsidP="00F744DA">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F744DA">
              <w:rPr>
                <w:rFonts w:ascii="Arial" w:eastAsia="Times New Roman" w:hAnsi="Arial" w:cs="Arial"/>
                <w:b/>
                <w:bCs/>
                <w:sz w:val="20"/>
                <w:szCs w:val="20"/>
                <w:lang w:eastAsia="en-AU"/>
              </w:rPr>
              <w:t>Table 9.4.4.2 Requirements for accepted development - Advertising devices</w:t>
            </w:r>
          </w:p>
        </w:tc>
      </w:tr>
    </w:tbl>
    <w:p w:rsidR="00F744DA" w:rsidRDefault="00F744DA"/>
    <w:tbl>
      <w:tblPr>
        <w:tblW w:w="4882"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827"/>
        <w:gridCol w:w="9080"/>
        <w:gridCol w:w="1701"/>
        <w:gridCol w:w="2411"/>
      </w:tblGrid>
      <w:tr w:rsidR="00E42A65" w:rsidRPr="00F744DA" w:rsidTr="00E42A65">
        <w:trPr>
          <w:tblCellSpacing w:w="15" w:type="dxa"/>
          <w:jc w:val="center"/>
        </w:trPr>
        <w:tc>
          <w:tcPr>
            <w:tcW w:w="10862"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Requirements for accepted development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F744DA" w:rsidRPr="00963A19" w:rsidRDefault="00F744DA" w:rsidP="00F744DA">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F744DA" w:rsidRDefault="00F744DA" w:rsidP="00F744DA">
            <w:pPr>
              <w:pStyle w:val="ListParagraph"/>
              <w:numPr>
                <w:ilvl w:val="0"/>
                <w:numId w:val="16"/>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F744DA" w:rsidRPr="00F744DA" w:rsidRDefault="00F744DA" w:rsidP="00F744DA">
            <w:pPr>
              <w:pStyle w:val="ListParagraph"/>
              <w:numPr>
                <w:ilvl w:val="0"/>
                <w:numId w:val="16"/>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2366"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F744DA" w:rsidRPr="00F744DA" w:rsidTr="00F744DA">
        <w:trPr>
          <w:tblCellSpacing w:w="15" w:type="dxa"/>
          <w:jc w:val="center"/>
        </w:trPr>
        <w:tc>
          <w:tcPr>
            <w:tcW w:w="14959"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F744DA" w:rsidRPr="00F744DA" w:rsidRDefault="00F744DA" w:rsidP="00F744D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44DA">
              <w:rPr>
                <w:rFonts w:ascii="Arial" w:eastAsia="Times New Roman" w:hAnsi="Arial" w:cs="Arial"/>
                <w:b/>
                <w:bCs/>
                <w:sz w:val="20"/>
                <w:szCs w:val="20"/>
                <w:lang w:eastAsia="en-AU"/>
              </w:rPr>
              <w:t>General requirements</w:t>
            </w:r>
          </w:p>
        </w:tc>
      </w:tr>
      <w:tr w:rsidR="00E42A65" w:rsidRPr="00F744DA" w:rsidTr="00E42A65">
        <w:trPr>
          <w:trHeight w:val="2610"/>
          <w:tblCellSpacing w:w="15" w:type="dxa"/>
          <w:jc w:val="center"/>
        </w:trPr>
        <w:tc>
          <w:tcPr>
            <w:tcW w:w="1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w:t>
            </w:r>
          </w:p>
        </w:tc>
        <w:tc>
          <w:tcPr>
            <w:tcW w:w="90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is in the form of one or more of the following types:</w:t>
            </w:r>
          </w:p>
          <w:p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awning;</w:t>
            </w:r>
          </w:p>
          <w:p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fence;</w:t>
            </w:r>
          </w:p>
          <w:p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freestanding;</w:t>
            </w:r>
          </w:p>
          <w:p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projecting;</w:t>
            </w:r>
          </w:p>
          <w:p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roof;</w:t>
            </w:r>
          </w:p>
          <w:p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744DA">
              <w:rPr>
                <w:rFonts w:ascii="Arial" w:eastAsia="Times New Roman" w:hAnsi="Arial" w:cs="Arial"/>
                <w:sz w:val="20"/>
                <w:szCs w:val="20"/>
                <w:lang w:eastAsia="en-AU"/>
              </w:rPr>
              <w:t>wall/façade</w:t>
            </w:r>
            <w:proofErr w:type="gramEnd"/>
            <w:r w:rsidRPr="00F744DA">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960"/>
            </w:tblGrid>
            <w:tr w:rsidR="00F744DA" w:rsidRPr="00F744DA" w:rsidTr="00F744DA">
              <w:trPr>
                <w:tblCellSpacing w:w="15" w:type="dxa"/>
              </w:trPr>
              <w:tc>
                <w:tcPr>
                  <w:tcW w:w="14475" w:type="dxa"/>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Refer to Planning scheme policy – Advertising devices (section 2) for guidance on satisfying the above requirements.</w:t>
                  </w:r>
                </w:p>
              </w:tc>
            </w:tr>
          </w:tbl>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E42A65">
        <w:trPr>
          <w:trHeight w:val="15"/>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RAD2</w:t>
            </w:r>
          </w:p>
        </w:tc>
        <w:tc>
          <w:tcPr>
            <w:tcW w:w="9050"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complies with the requirements specified in Column 2 of Table 9.4.4.4.</w:t>
            </w:r>
          </w:p>
        </w:tc>
        <w:tc>
          <w:tcPr>
            <w:tcW w:w="1671"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E42A65">
        <w:trPr>
          <w:tblCellSpacing w:w="15" w:type="dxa"/>
          <w:jc w:val="center"/>
        </w:trPr>
        <w:tc>
          <w:tcPr>
            <w:tcW w:w="10862"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744DA">
              <w:rPr>
                <w:rFonts w:ascii="Arial" w:eastAsia="Times New Roman" w:hAnsi="Arial" w:cs="Arial"/>
                <w:b/>
                <w:bCs/>
                <w:sz w:val="20"/>
                <w:szCs w:val="20"/>
                <w:lang w:eastAsia="en-AU"/>
              </w:rPr>
              <w:t>Signface</w:t>
            </w:r>
            <w:proofErr w:type="spellEnd"/>
            <w:r w:rsidRPr="00F744DA">
              <w:rPr>
                <w:rFonts w:ascii="Arial" w:eastAsia="Times New Roman" w:hAnsi="Arial" w:cs="Arial"/>
                <w:b/>
                <w:bCs/>
                <w:sz w:val="20"/>
                <w:szCs w:val="20"/>
                <w:lang w:eastAsia="en-AU"/>
              </w:rPr>
              <w:t xml:space="preserve"> area</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rsidTr="00E42A65">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RAD3</w:t>
            </w:r>
          </w:p>
        </w:tc>
        <w:tc>
          <w:tcPr>
            <w:tcW w:w="9050"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total combined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of all Advertising devices on the site complies with the following table:</w:t>
            </w:r>
          </w:p>
          <w:tbl>
            <w:tblPr>
              <w:tblW w:w="493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908"/>
            </w:tblGrid>
            <w:tr w:rsidR="00F744DA" w:rsidRPr="00F744DA" w:rsidTr="00E42A65">
              <w:trPr>
                <w:tblCellSpacing w:w="15" w:type="dxa"/>
              </w:trPr>
              <w:tc>
                <w:tcPr>
                  <w:tcW w:w="8848" w:type="dxa"/>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The total combined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includes any existing Advertising devices located on the site.</w:t>
                  </w:r>
                </w:p>
              </w:tc>
            </w:tr>
            <w:tr w:rsidR="00F744DA" w:rsidRPr="00F744DA" w:rsidTr="00E42A65">
              <w:trPr>
                <w:tblCellSpacing w:w="15" w:type="dxa"/>
              </w:trPr>
              <w:tc>
                <w:tcPr>
                  <w:tcW w:w="8848" w:type="dxa"/>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For sign face area calculation purposes:</w:t>
                  </w:r>
                </w:p>
                <w:p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Advertising devices feature 2 display faces with an internal angle of 45 degrees or less, only one of the display faces forms part of the maximum total sign face area calculation. </w:t>
                  </w:r>
                </w:p>
                <w:p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that feature 2 display faces with an internal angle greater than 45 degrees must calculate each display face as a separate sign face area. </w:t>
                  </w:r>
                </w:p>
                <w:p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that include more than 2 display faces must calculate the additional display faces as separate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w:t>
                  </w:r>
                </w:p>
              </w:tc>
            </w:tr>
          </w:tbl>
          <w:p w:rsidR="00F744DA" w:rsidRPr="00F744DA" w:rsidRDefault="00F744DA" w:rsidP="00F744DA">
            <w:pPr>
              <w:spacing w:before="100" w:beforeAutospacing="1" w:after="100" w:afterAutospacing="1" w:line="240" w:lineRule="auto"/>
              <w:rPr>
                <w:rFonts w:ascii="Arial" w:eastAsia="Times New Roman" w:hAnsi="Arial" w:cs="Arial"/>
                <w:vanish/>
                <w:sz w:val="20"/>
                <w:szCs w:val="20"/>
                <w:lang w:eastAsia="en-AU"/>
              </w:rPr>
            </w:pPr>
          </w:p>
          <w:tbl>
            <w:tblPr>
              <w:tblW w:w="8820" w:type="dxa"/>
              <w:tblCellSpacing w:w="15" w:type="dxa"/>
              <w:tblInd w:w="96" w:type="dxa"/>
              <w:tblLayout w:type="fixed"/>
              <w:tblCellMar>
                <w:top w:w="30" w:type="dxa"/>
                <w:left w:w="30" w:type="dxa"/>
                <w:bottom w:w="30" w:type="dxa"/>
                <w:right w:w="30" w:type="dxa"/>
              </w:tblCellMar>
              <w:tblLook w:val="04A0" w:firstRow="1" w:lastRow="0" w:firstColumn="1" w:lastColumn="0" w:noHBand="0" w:noVBand="1"/>
              <w:tblDescription w:val=""/>
            </w:tblPr>
            <w:tblGrid>
              <w:gridCol w:w="50"/>
              <w:gridCol w:w="4668"/>
              <w:gridCol w:w="3985"/>
              <w:gridCol w:w="117"/>
            </w:tblGrid>
            <w:tr w:rsidR="00F744DA" w:rsidRPr="00F744DA" w:rsidTr="00D20F16">
              <w:trPr>
                <w:tblCellSpacing w:w="15" w:type="dxa"/>
              </w:trPr>
              <w:tc>
                <w:tcPr>
                  <w:tcW w:w="8760" w:type="dxa"/>
                  <w:gridSpan w:val="4"/>
                  <w:vAlign w:val="center"/>
                  <w:hideMark/>
                </w:tcPr>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 xml:space="preserve">Note - Refer to Planning scheme policy – Advertising devices (section 3) for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calculation.</w:t>
                  </w: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Zone / Local plan</w:t>
                  </w:r>
                </w:p>
              </w:tc>
              <w:tc>
                <w:tcPr>
                  <w:tcW w:w="3955"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F744DA" w:rsidRPr="00F744DA" w:rsidRDefault="00F744DA" w:rsidP="00F744DA">
                  <w:pPr>
                    <w:spacing w:before="100" w:beforeAutospacing="1" w:after="100" w:afterAutospacing="1" w:line="240" w:lineRule="auto"/>
                    <w:ind w:left="150" w:right="150"/>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 xml:space="preserve">Total combined </w:t>
                  </w:r>
                  <w:proofErr w:type="spellStart"/>
                  <w:r w:rsidRPr="00F744DA">
                    <w:rPr>
                      <w:rFonts w:ascii="Arial" w:eastAsia="Times New Roman" w:hAnsi="Arial" w:cs="Arial"/>
                      <w:b/>
                      <w:bCs/>
                      <w:sz w:val="20"/>
                      <w:szCs w:val="20"/>
                      <w:lang w:eastAsia="en-AU"/>
                    </w:rPr>
                    <w:t>signface</w:t>
                  </w:r>
                  <w:proofErr w:type="spellEnd"/>
                  <w:r w:rsidRPr="00F744DA">
                    <w:rPr>
                      <w:rFonts w:ascii="Arial" w:eastAsia="Times New Roman" w:hAnsi="Arial" w:cs="Arial"/>
                      <w:b/>
                      <w:bCs/>
                      <w:sz w:val="20"/>
                      <w:szCs w:val="20"/>
                      <w:lang w:eastAsia="en-AU"/>
                    </w:rPr>
                    <w:t xml:space="preserve"> area</w:t>
                  </w: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w:t>
                  </w:r>
                </w:p>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Community facilities</w:t>
                  </w:r>
                </w:p>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Emerging community, General residential and Rural residential - if on a lot identified on Overlay map – Community activities and neighbourhood hubs </w:t>
                  </w:r>
                </w:p>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Industry</w:t>
                  </w:r>
                </w:p>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Enterprise and employment precinct – all sub-precincts</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all sub-precincts</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Local centre sub-precinct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Light industry sub-precinct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Next generation sub-precinct - if on a lot identified for Community activities and Neighbourhood hubs</w:t>
                  </w:r>
                </w:p>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station 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Interim residential precinct - if on a lot identified for Community activities and Neighbourhood hubs</w:t>
                  </w:r>
                </w:p>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spellStart"/>
                  <w:r w:rsidRPr="00F744DA">
                    <w:rPr>
                      <w:rFonts w:ascii="Arial" w:eastAsia="Times New Roman" w:hAnsi="Arial" w:cs="Arial"/>
                      <w:sz w:val="20"/>
                      <w:szCs w:val="20"/>
                      <w:lang w:eastAsia="en-AU"/>
                    </w:rPr>
                    <w:t>Woodfordia</w:t>
                  </w:r>
                  <w:proofErr w:type="spellEnd"/>
                  <w:r w:rsidRPr="00F744DA">
                    <w:rPr>
                      <w:rFonts w:ascii="Arial" w:eastAsia="Times New Roman" w:hAnsi="Arial" w:cs="Arial"/>
                      <w:sz w:val="20"/>
                      <w:szCs w:val="20"/>
                      <w:lang w:eastAsia="en-AU"/>
                    </w:rPr>
                    <w:t xml:space="preserve"> local plan – all precincts</w:t>
                  </w:r>
                </w:p>
              </w:tc>
              <w:tc>
                <w:tcPr>
                  <w:tcW w:w="39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20m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w:t>
                  </w:r>
                  <w:proofErr w:type="gramStart"/>
                  <w:r w:rsidRPr="00F744DA">
                    <w:rPr>
                      <w:rFonts w:ascii="Arial" w:eastAsia="Times New Roman" w:hAnsi="Arial" w:cs="Arial"/>
                      <w:sz w:val="20"/>
                      <w:szCs w:val="20"/>
                      <w:lang w:eastAsia="en-AU"/>
                    </w:rPr>
                    <w:t>site.</w:t>
                  </w:r>
                  <w:proofErr w:type="gramEnd"/>
                  <w:r w:rsidRPr="00F744DA">
                    <w:rPr>
                      <w:rFonts w:ascii="Arial" w:eastAsia="Times New Roman" w:hAnsi="Arial" w:cs="Arial"/>
                      <w:sz w:val="20"/>
                      <w:szCs w:val="20"/>
                      <w:lang w:eastAsia="en-AU"/>
                    </w:rPr>
                    <w:t xml:space="preserve"> </w:t>
                  </w:r>
                </w:p>
                <w:tbl>
                  <w:tblPr>
                    <w:tblW w:w="486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44"/>
                  </w:tblGrid>
                  <w:tr w:rsidR="00F744DA" w:rsidRPr="00F744DA" w:rsidTr="00E42A65">
                    <w:trPr>
                      <w:trHeight w:val="326"/>
                      <w:tblCellSpacing w:w="15" w:type="dxa"/>
                    </w:trPr>
                    <w:tc>
                      <w:tcPr>
                        <w:tcW w:w="2860" w:type="dxa"/>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The figures above exclude awning and wall/facade Advertising device types.</w:t>
                        </w:r>
                      </w:p>
                    </w:tc>
                  </w:tr>
                </w:tbl>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Emerging community, General residential - if not on a lot identified on Overlay map – Community activities and neighbourhood hubs </w:t>
                  </w:r>
                </w:p>
                <w:p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Environmental conservation and management</w:t>
                  </w:r>
                </w:p>
                <w:p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Township - Residential precinct</w:t>
                  </w:r>
                </w:p>
                <w:p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Caboolture West local plan</w:t>
                  </w:r>
                </w:p>
                <w:p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Green network precinct</w:t>
                  </w:r>
                </w:p>
                <w:p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Next generation sub-precinct - if not identified for Community activities and Neighbourhood hubs</w:t>
                  </w:r>
                </w:p>
                <w:p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Interim residential precinct - if not on a lot identified for Community activities and Neighbourhood hubs</w:t>
                  </w:r>
                </w:p>
              </w:tc>
              <w:tc>
                <w:tcPr>
                  <w:tcW w:w="3955"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0.3m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Extractive industry</w:t>
                  </w:r>
                </w:p>
                <w:p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w:t>
                  </w:r>
                </w:p>
                <w:p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 – where associated with an Interim activity</w:t>
                  </w:r>
                </w:p>
              </w:tc>
              <w:tc>
                <w:tcPr>
                  <w:tcW w:w="3955"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5m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 residential - if not on a lot identified on Overlay map – Community activities and neighbourhood hubs</w:t>
                  </w:r>
                </w:p>
                <w:p w:rsidR="00F744DA" w:rsidRPr="00F744DA" w:rsidRDefault="00F744DA" w:rsidP="00F744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rsidR="00F744DA" w:rsidRPr="00F744DA" w:rsidRDefault="00F744DA" w:rsidP="00F744DA">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 living precinct</w:t>
                  </w:r>
                </w:p>
              </w:tc>
              <w:tc>
                <w:tcPr>
                  <w:tcW w:w="3955"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rHeight w:val="914"/>
                <w:tblCellSpacing w:w="15" w:type="dxa"/>
              </w:trPr>
              <w:tc>
                <w:tcPr>
                  <w:tcW w:w="463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Recreation and open space</w:t>
                  </w:r>
                </w:p>
                <w:p w:rsidR="00F744DA" w:rsidRPr="00F744DA" w:rsidRDefault="00F744DA" w:rsidP="00F744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rsidR="00F744DA" w:rsidRPr="00F744DA" w:rsidRDefault="00F744DA" w:rsidP="00F744DA">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Open space and recreation precinct</w:t>
                  </w:r>
                </w:p>
                <w:p w:rsidR="00F744DA" w:rsidRPr="00F744DA" w:rsidRDefault="00F744DA" w:rsidP="00F744DA">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Sport and recreation precinct</w:t>
                  </w:r>
                </w:p>
              </w:tc>
              <w:tc>
                <w:tcPr>
                  <w:tcW w:w="3955"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20m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w:t>
                  </w:r>
                  <w:proofErr w:type="gramStart"/>
                  <w:r w:rsidRPr="00F744DA">
                    <w:rPr>
                      <w:rFonts w:ascii="Arial" w:eastAsia="Times New Roman" w:hAnsi="Arial" w:cs="Arial"/>
                      <w:sz w:val="20"/>
                      <w:szCs w:val="20"/>
                      <w:lang w:eastAsia="en-AU"/>
                    </w:rPr>
                    <w:t>site.</w:t>
                  </w:r>
                  <w:proofErr w:type="gramEnd"/>
                  <w:r w:rsidRPr="00F744DA">
                    <w:rPr>
                      <w:rFonts w:ascii="Arial" w:eastAsia="Times New Roman" w:hAnsi="Arial" w:cs="Arial"/>
                      <w:sz w:val="20"/>
                      <w:szCs w:val="20"/>
                      <w:lang w:eastAsia="en-AU"/>
                    </w:rPr>
                    <w:t xml:space="preserve"> </w:t>
                  </w:r>
                </w:p>
                <w:tbl>
                  <w:tblPr>
                    <w:tblW w:w="378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89"/>
                  </w:tblGrid>
                  <w:tr w:rsidR="00F744DA" w:rsidRPr="00F744DA" w:rsidTr="00E42A65">
                    <w:trPr>
                      <w:trHeight w:val="418"/>
                      <w:tblCellSpacing w:w="15" w:type="dxa"/>
                    </w:trPr>
                    <w:tc>
                      <w:tcPr>
                        <w:tcW w:w="3729" w:type="dxa"/>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The figures above exclude awning and wall/facade Advertising device types.</w:t>
                        </w:r>
                      </w:p>
                    </w:tc>
                  </w:tr>
                </w:tbl>
                <w:p w:rsidR="00F744DA" w:rsidRDefault="00F744DA"/>
                <w:tbl>
                  <w:tblPr>
                    <w:tblW w:w="378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89"/>
                  </w:tblGrid>
                  <w:tr w:rsidR="00F744DA" w:rsidRPr="00F744DA" w:rsidTr="00E42A65">
                    <w:trPr>
                      <w:trHeight w:val="707"/>
                      <w:tblCellSpacing w:w="15" w:type="dxa"/>
                    </w:trPr>
                    <w:tc>
                      <w:tcPr>
                        <w:tcW w:w="3729" w:type="dxa"/>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Advertising devices that meet the following requirements are also excluded from the maximum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above.  The Advertising device is located internal to the site and does not directly or immediately face towards: </w:t>
                        </w:r>
                      </w:p>
                      <w:p w:rsidR="00F744DA" w:rsidRPr="00F744DA" w:rsidRDefault="00F744DA" w:rsidP="00F744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a public road;</w:t>
                        </w:r>
                      </w:p>
                      <w:p w:rsidR="00F744DA" w:rsidRPr="00F744DA" w:rsidRDefault="00F744DA" w:rsidP="00F744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a residential property;</w:t>
                        </w:r>
                      </w:p>
                      <w:p w:rsidR="00F744DA" w:rsidRPr="00F744DA" w:rsidRDefault="00F744DA" w:rsidP="00F744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744DA">
                          <w:rPr>
                            <w:rFonts w:ascii="Arial" w:eastAsia="Times New Roman" w:hAnsi="Arial" w:cs="Arial"/>
                            <w:sz w:val="20"/>
                            <w:szCs w:val="20"/>
                            <w:lang w:eastAsia="en-AU"/>
                          </w:rPr>
                          <w:t>any</w:t>
                        </w:r>
                        <w:proofErr w:type="gramEnd"/>
                        <w:r w:rsidRPr="00F744DA">
                          <w:rPr>
                            <w:rFonts w:ascii="Arial" w:eastAsia="Times New Roman" w:hAnsi="Arial" w:cs="Arial"/>
                            <w:sz w:val="20"/>
                            <w:szCs w:val="20"/>
                            <w:lang w:eastAsia="en-AU"/>
                          </w:rPr>
                          <w:t xml:space="preserve"> other public or private place.</w:t>
                        </w:r>
                      </w:p>
                    </w:tc>
                  </w:tr>
                </w:tbl>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Township - Centre, Convenience and Industry precincts</w:t>
                  </w:r>
                </w:p>
              </w:tc>
              <w:tc>
                <w:tcPr>
                  <w:tcW w:w="3955"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10m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w:t>
                  </w:r>
                  <w:proofErr w:type="gramStart"/>
                  <w:r w:rsidRPr="00F744DA">
                    <w:rPr>
                      <w:rFonts w:ascii="Arial" w:eastAsia="Times New Roman" w:hAnsi="Arial" w:cs="Arial"/>
                      <w:sz w:val="20"/>
                      <w:szCs w:val="20"/>
                      <w:lang w:eastAsia="en-AU"/>
                    </w:rPr>
                    <w:t>site.</w:t>
                  </w:r>
                  <w:proofErr w:type="gramEnd"/>
                  <w:r w:rsidRPr="00F744DA">
                    <w:rPr>
                      <w:rFonts w:ascii="Arial" w:eastAsia="Times New Roman" w:hAnsi="Arial" w:cs="Arial"/>
                      <w:sz w:val="20"/>
                      <w:szCs w:val="20"/>
                      <w:lang w:eastAsia="en-AU"/>
                    </w:rPr>
                    <w:t xml:space="preserve"> </w:t>
                  </w:r>
                </w:p>
              </w:tc>
            </w:tr>
          </w:tbl>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E42A65">
        <w:trPr>
          <w:tblCellSpacing w:w="15" w:type="dxa"/>
          <w:jc w:val="center"/>
        </w:trPr>
        <w:tc>
          <w:tcPr>
            <w:tcW w:w="10862"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Illumination and movement of Advertising devices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rsidTr="00E42A65">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RAD4</w:t>
            </w:r>
          </w:p>
        </w:tc>
        <w:tc>
          <w:tcPr>
            <w:tcW w:w="9050"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is illuminated only where located in the following zones:</w:t>
            </w:r>
          </w:p>
          <w:p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 zone;</w:t>
            </w:r>
          </w:p>
          <w:p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Industry zone;</w:t>
            </w:r>
          </w:p>
          <w:p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excluding Residential north and Residential south sub-precincts;</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Local centre sub-precinct only;</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Enterprise and employment precinct;</w:t>
            </w:r>
          </w:p>
          <w:p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tc>
        <w:tc>
          <w:tcPr>
            <w:tcW w:w="1671"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E42A65">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RAD5</w:t>
            </w:r>
          </w:p>
        </w:tc>
        <w:tc>
          <w:tcPr>
            <w:tcW w:w="9050"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Where an Advertising device is illuminated it meets the following requirements:</w:t>
            </w:r>
          </w:p>
          <w:p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illumination is by an internal light source or down light if externally lit;</w:t>
            </w:r>
          </w:p>
          <w:p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illumination is in the form of static lighting;</w:t>
            </w:r>
          </w:p>
          <w:p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744DA">
              <w:rPr>
                <w:rFonts w:ascii="Arial" w:eastAsia="Times New Roman" w:hAnsi="Arial" w:cs="Arial"/>
                <w:sz w:val="20"/>
                <w:szCs w:val="20"/>
                <w:lang w:eastAsia="en-AU"/>
              </w:rPr>
              <w:t>lighting</w:t>
            </w:r>
            <w:proofErr w:type="gramEnd"/>
            <w:r w:rsidRPr="00F744DA">
              <w:rPr>
                <w:rFonts w:ascii="Arial" w:eastAsia="Times New Roman" w:hAnsi="Arial" w:cs="Arial"/>
                <w:sz w:val="20"/>
                <w:szCs w:val="20"/>
                <w:lang w:eastAsia="en-AU"/>
              </w:rPr>
              <w:t xml:space="preserve"> is not directed or reflected towards a residential property or public place.</w:t>
            </w:r>
          </w:p>
        </w:tc>
        <w:tc>
          <w:tcPr>
            <w:tcW w:w="1671"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E42A65">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RAD6</w:t>
            </w:r>
          </w:p>
        </w:tc>
        <w:tc>
          <w:tcPr>
            <w:tcW w:w="9050"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Advertising device does not incorporate elements that move, revolve, flash or contain mechanisms that give the impression of movement. </w:t>
            </w:r>
          </w:p>
        </w:tc>
        <w:tc>
          <w:tcPr>
            <w:tcW w:w="1671"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E42A65">
        <w:trPr>
          <w:tblCellSpacing w:w="15" w:type="dxa"/>
          <w:jc w:val="center"/>
        </w:trPr>
        <w:tc>
          <w:tcPr>
            <w:tcW w:w="10862"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Active frontage and casual surveillance</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rsidTr="00E42A65">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RAD7</w:t>
            </w:r>
          </w:p>
        </w:tc>
        <w:tc>
          <w:tcPr>
            <w:tcW w:w="9050"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located in the following zones, the Advertising device is not placed on windows or glazing between a height of 0.8m and 2m above ground level: </w:t>
            </w:r>
          </w:p>
          <w:p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 zone - excluding Morayfield and Specialised centre precincts:</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Centre core, Mixed business and Civic sub-precincts only;</w:t>
            </w:r>
          </w:p>
          <w:p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Kippa-Ring station precinct;</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p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Township zone – Centre precinct.</w:t>
            </w:r>
          </w:p>
        </w:tc>
        <w:tc>
          <w:tcPr>
            <w:tcW w:w="1671"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E42A65">
        <w:trPr>
          <w:tblCellSpacing w:w="15" w:type="dxa"/>
          <w:jc w:val="center"/>
        </w:trPr>
        <w:tc>
          <w:tcPr>
            <w:tcW w:w="10862"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Advertising devices visible or adjacent to a State-controlled road</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rsidTr="00E42A65">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RAD8</w:t>
            </w:r>
          </w:p>
        </w:tc>
        <w:tc>
          <w:tcPr>
            <w:tcW w:w="9050"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visible from or adjacent to a State-controlled road (including a motorway, such as the Bruce Highway) are only established where: </w:t>
            </w:r>
          </w:p>
          <w:p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the speed zone is below 80km/h;</w:t>
            </w:r>
          </w:p>
          <w:p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sign is not located within a distance "d" of a school zone or mid-block pedestrian facility ("d" = 45m (50 zone); 65m (60 zone); 85m (70 zone); and </w:t>
            </w:r>
          </w:p>
          <w:p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the sign contains no electronic components;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20"/>
            </w:tblGrid>
            <w:tr w:rsidR="00F744DA" w:rsidRPr="00F744DA" w:rsidTr="00F744DA">
              <w:trPr>
                <w:tblCellSpacing w:w="15" w:type="dxa"/>
              </w:trPr>
              <w:tc>
                <w:tcPr>
                  <w:tcW w:w="14535" w:type="dxa"/>
                  <w:vAlign w:val="center"/>
                  <w:hideMark/>
                </w:tcPr>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All other advertising devices adjacent to, or within (for example, awnings) the State-controlled road reserve are Assessable Development.  Compliance with Department of Transport and Main Road's Roadside Advertising Guide (RAG) is required. </w:t>
                  </w:r>
                </w:p>
              </w:tc>
            </w:tr>
          </w:tbl>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E42A65">
        <w:trPr>
          <w:tblCellSpacing w:w="15" w:type="dxa"/>
          <w:jc w:val="center"/>
        </w:trPr>
        <w:tc>
          <w:tcPr>
            <w:tcW w:w="10862"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Township zone specific provisions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rsidTr="00E42A65">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RAD9</w:t>
            </w:r>
          </w:p>
        </w:tc>
        <w:tc>
          <w:tcPr>
            <w:tcW w:w="9050"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located in the Township zone, the Advertising device is provided in accordance with Planning scheme policy – Advertising devices (section 4). </w:t>
            </w:r>
          </w:p>
        </w:tc>
        <w:tc>
          <w:tcPr>
            <w:tcW w:w="1671"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6"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bl>
    <w:p w:rsidR="002523FD" w:rsidRDefault="002523FD"/>
    <w:tbl>
      <w:tblPr>
        <w:tblW w:w="4882"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827"/>
        <w:gridCol w:w="8938"/>
        <w:gridCol w:w="1844"/>
        <w:gridCol w:w="2410"/>
      </w:tblGrid>
      <w:tr w:rsidR="002523FD" w:rsidRPr="00F744DA" w:rsidTr="002523FD">
        <w:trPr>
          <w:tblCellSpacing w:w="15" w:type="dxa"/>
          <w:jc w:val="center"/>
        </w:trPr>
        <w:tc>
          <w:tcPr>
            <w:tcW w:w="14959" w:type="dxa"/>
            <w:gridSpan w:val="4"/>
            <w:tcBorders>
              <w:top w:val="outset" w:sz="6" w:space="0" w:color="auto"/>
              <w:left w:val="outset" w:sz="6" w:space="0" w:color="auto"/>
              <w:bottom w:val="outset" w:sz="6" w:space="0" w:color="auto"/>
              <w:right w:val="outset" w:sz="6" w:space="0" w:color="auto"/>
            </w:tcBorders>
            <w:shd w:val="clear" w:color="auto" w:fill="CCCCCC"/>
            <w:hideMark/>
          </w:tcPr>
          <w:p w:rsidR="002523FD" w:rsidRPr="00F744DA" w:rsidRDefault="002523FD" w:rsidP="00F744DA">
            <w:pPr>
              <w:spacing w:before="100" w:beforeAutospacing="1" w:after="100" w:afterAutospacing="1" w:line="240" w:lineRule="auto"/>
              <w:ind w:left="150" w:right="150"/>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29"/>
            </w:tblGrid>
            <w:tr w:rsidR="002523FD" w:rsidRPr="00F744DA" w:rsidTr="00F744DA">
              <w:trPr>
                <w:tblCellSpacing w:w="15" w:type="dxa"/>
              </w:trPr>
              <w:tc>
                <w:tcPr>
                  <w:tcW w:w="15232" w:type="dxa"/>
                  <w:shd w:val="clear" w:color="auto" w:fill="CCCCCC"/>
                  <w:vAlign w:val="center"/>
                  <w:hideMark/>
                </w:tcPr>
                <w:p w:rsidR="002523FD" w:rsidRPr="00F744DA" w:rsidRDefault="002523FD"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523FD" w:rsidRPr="00F744DA" w:rsidRDefault="002523FD" w:rsidP="00F744D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523FD" w:rsidRPr="00F744DA" w:rsidTr="002523FD">
        <w:trPr>
          <w:tblCellSpacing w:w="15" w:type="dxa"/>
          <w:jc w:val="center"/>
        </w:trPr>
        <w:tc>
          <w:tcPr>
            <w:tcW w:w="14959" w:type="dxa"/>
            <w:gridSpan w:val="4"/>
            <w:tcBorders>
              <w:top w:val="outset" w:sz="6" w:space="0" w:color="auto"/>
              <w:left w:val="outset" w:sz="6" w:space="0" w:color="auto"/>
              <w:bottom w:val="outset" w:sz="6" w:space="0" w:color="auto"/>
              <w:right w:val="outset" w:sz="6" w:space="0" w:color="auto"/>
            </w:tcBorders>
            <w:shd w:val="clear" w:color="auto" w:fill="CCCCCC"/>
            <w:hideMark/>
          </w:tcPr>
          <w:p w:rsidR="002523FD" w:rsidRPr="00F744DA" w:rsidRDefault="002523FD"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29"/>
            </w:tblGrid>
            <w:tr w:rsidR="002523FD" w:rsidRPr="00F744DA" w:rsidTr="00F744DA">
              <w:trPr>
                <w:tblCellSpacing w:w="15" w:type="dxa"/>
              </w:trPr>
              <w:tc>
                <w:tcPr>
                  <w:tcW w:w="15232" w:type="dxa"/>
                  <w:vAlign w:val="center"/>
                  <w:hideMark/>
                </w:tcPr>
                <w:p w:rsidR="002523FD" w:rsidRPr="00F744DA" w:rsidRDefault="002523FD" w:rsidP="00F744DA">
                  <w:pPr>
                    <w:spacing w:before="100" w:beforeAutospacing="1" w:after="100" w:afterAutospacing="1" w:line="240" w:lineRule="auto"/>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523FD" w:rsidRPr="00F744DA" w:rsidRDefault="002523FD"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rsidTr="00F744DA">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RAD10</w:t>
            </w:r>
          </w:p>
        </w:tc>
        <w:tc>
          <w:tcPr>
            <w:tcW w:w="890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is for the preservation, maintenance, repair and restoration of the site, object or building.</w:t>
            </w:r>
          </w:p>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8"/>
            </w:tblGrid>
            <w:tr w:rsidR="00F744DA" w:rsidRPr="00F744DA" w:rsidTr="00F744DA">
              <w:trPr>
                <w:tblCellSpacing w:w="15" w:type="dxa"/>
              </w:trPr>
              <w:tc>
                <w:tcPr>
                  <w:tcW w:w="14535" w:type="dxa"/>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Note - Preservation, maintenance, repair and restoration are defined in Schedule 1 - Definitions</w:t>
                  </w:r>
                </w:p>
              </w:tc>
            </w:tr>
          </w:tbl>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814"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5"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rsidTr="00F744DA">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RAD11</w:t>
            </w:r>
          </w:p>
        </w:tc>
        <w:tc>
          <w:tcPr>
            <w:tcW w:w="890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814"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5"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rsidTr="00F744DA">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RAD12</w:t>
            </w:r>
          </w:p>
        </w:tc>
        <w:tc>
          <w:tcPr>
            <w:tcW w:w="890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814"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5"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rsidTr="00F744DA">
        <w:trPr>
          <w:trHeight w:val="1155"/>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RAD13</w:t>
            </w:r>
          </w:p>
        </w:tc>
        <w:tc>
          <w:tcPr>
            <w:tcW w:w="890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construction of any building;</w:t>
            </w:r>
          </w:p>
          <w:p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laying of overhead or underground services;</w:t>
            </w:r>
          </w:p>
          <w:p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any sealing, paving, soil compaction;</w:t>
            </w:r>
          </w:p>
          <w:p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F744DA">
              <w:rPr>
                <w:rFonts w:ascii="Arial" w:eastAsia="Times New Roman" w:hAnsi="Arial" w:cs="Arial"/>
                <w:sz w:val="20"/>
                <w:szCs w:val="20"/>
                <w:lang w:eastAsia="en-AU"/>
              </w:rPr>
              <w:t>any</w:t>
            </w:r>
            <w:proofErr w:type="gramEnd"/>
            <w:r w:rsidRPr="00F744DA">
              <w:rPr>
                <w:rFonts w:ascii="Arial" w:eastAsia="Times New Roman" w:hAnsi="Arial" w:cs="Arial"/>
                <w:sz w:val="20"/>
                <w:szCs w:val="20"/>
                <w:lang w:eastAsia="en-AU"/>
              </w:rPr>
              <w:t xml:space="preserve"> alteration of more than 75mm to the ground level prior to work commencing.</w:t>
            </w:r>
          </w:p>
        </w:tc>
        <w:tc>
          <w:tcPr>
            <w:tcW w:w="1814"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5"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rsidTr="00F744DA">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RAD14</w:t>
            </w:r>
          </w:p>
        </w:tc>
        <w:tc>
          <w:tcPr>
            <w:tcW w:w="890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Pruning of a significant tree occurs in accordance with Australian Standard AS 4373-2007 - Pruning of Amenity Trees.</w:t>
            </w:r>
          </w:p>
        </w:tc>
        <w:tc>
          <w:tcPr>
            <w:tcW w:w="1814"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5"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rsidTr="00F744DA">
        <w:trPr>
          <w:tblCellSpacing w:w="15" w:type="dxa"/>
          <w:jc w:val="center"/>
        </w:trPr>
        <w:tc>
          <w:tcPr>
            <w:tcW w:w="10720"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Landslide hazard (refer Overlay map - Landslide hazard to determine if the following requirements apply)</w:t>
            </w:r>
          </w:p>
        </w:tc>
        <w:tc>
          <w:tcPr>
            <w:tcW w:w="1814"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65"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rsidTr="00F744DA">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RAD15</w:t>
            </w:r>
          </w:p>
        </w:tc>
        <w:tc>
          <w:tcPr>
            <w:tcW w:w="890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does not:</w:t>
            </w:r>
          </w:p>
          <w:p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earthworks exceeding 50m</w:t>
            </w:r>
            <w:r w:rsidRPr="00F744DA">
              <w:rPr>
                <w:rFonts w:ascii="Arial" w:eastAsia="Times New Roman" w:hAnsi="Arial" w:cs="Arial"/>
                <w:sz w:val="20"/>
                <w:szCs w:val="20"/>
                <w:vertAlign w:val="superscript"/>
                <w:lang w:eastAsia="en-AU"/>
              </w:rPr>
              <w:t>3</w:t>
            </w:r>
            <w:r w:rsidRPr="00F744DA">
              <w:rPr>
                <w:rFonts w:ascii="Arial" w:eastAsia="Times New Roman" w:hAnsi="Arial" w:cs="Arial"/>
                <w:sz w:val="20"/>
                <w:szCs w:val="20"/>
                <w:lang w:eastAsia="en-AU"/>
              </w:rPr>
              <w:t xml:space="preserve">; </w:t>
            </w:r>
          </w:p>
          <w:p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cut and fill having a height greater than 600mm;</w:t>
            </w:r>
          </w:p>
          <w:p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any retaining wall having a height greater than 600mm;</w:t>
            </w:r>
          </w:p>
          <w:p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F744DA">
              <w:rPr>
                <w:rFonts w:ascii="Arial" w:eastAsia="Times New Roman" w:hAnsi="Arial" w:cs="Arial"/>
                <w:sz w:val="20"/>
                <w:szCs w:val="20"/>
                <w:lang w:eastAsia="en-AU"/>
              </w:rPr>
              <w:t>redirect</w:t>
            </w:r>
            <w:proofErr w:type="gramEnd"/>
            <w:r w:rsidRPr="00F744DA">
              <w:rPr>
                <w:rFonts w:ascii="Arial" w:eastAsia="Times New Roman" w:hAnsi="Arial" w:cs="Arial"/>
                <w:sz w:val="20"/>
                <w:szCs w:val="20"/>
                <w:lang w:eastAsia="en-AU"/>
              </w:rPr>
              <w:t xml:space="preserve"> or alter the existing flow of surface or groundwater.</w:t>
            </w:r>
          </w:p>
        </w:tc>
        <w:tc>
          <w:tcPr>
            <w:tcW w:w="1814"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5"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rsidTr="00F744DA">
        <w:trPr>
          <w:tblCellSpacing w:w="15" w:type="dxa"/>
          <w:jc w:val="center"/>
        </w:trPr>
        <w:tc>
          <w:tcPr>
            <w:tcW w:w="10720"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Overland flow path (refer Overlay map - Overland flow path to determine if the following requirements apply)</w:t>
            </w:r>
          </w:p>
        </w:tc>
        <w:tc>
          <w:tcPr>
            <w:tcW w:w="1814"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65" w:type="dxa"/>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rsidTr="00F744DA">
        <w:trPr>
          <w:tblCellSpacing w:w="15" w:type="dxa"/>
          <w:jc w:val="center"/>
        </w:trPr>
        <w:tc>
          <w:tcPr>
            <w:tcW w:w="1782"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RAD16</w:t>
            </w:r>
          </w:p>
        </w:tc>
        <w:tc>
          <w:tcPr>
            <w:tcW w:w="8908" w:type="dxa"/>
            <w:tcBorders>
              <w:top w:val="outset" w:sz="6" w:space="0" w:color="auto"/>
              <w:left w:val="outset" w:sz="6" w:space="0" w:color="auto"/>
              <w:bottom w:val="outset" w:sz="6" w:space="0" w:color="auto"/>
              <w:right w:val="outset" w:sz="6" w:space="0" w:color="auto"/>
            </w:tcBorders>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does not impede the flow of flood waters through the site or worsen flood flows external to the premises.</w:t>
            </w:r>
          </w:p>
        </w:tc>
        <w:tc>
          <w:tcPr>
            <w:tcW w:w="1814"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65" w:type="dxa"/>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bl>
    <w:p w:rsidR="009D5E52" w:rsidRPr="00F744DA" w:rsidRDefault="009D5E52" w:rsidP="00F744DA">
      <w:pPr>
        <w:spacing w:before="100" w:beforeAutospacing="1" w:after="100" w:afterAutospacing="1" w:line="240" w:lineRule="auto"/>
        <w:rPr>
          <w:rFonts w:ascii="Arial" w:hAnsi="Arial" w:cs="Arial"/>
          <w:sz w:val="20"/>
          <w:szCs w:val="20"/>
        </w:rPr>
      </w:pPr>
    </w:p>
    <w:sectPr w:rsidR="009D5E52" w:rsidRPr="00F744DA" w:rsidSect="00F744DA">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13A" w:rsidRDefault="0057613A" w:rsidP="00E42A65">
      <w:pPr>
        <w:spacing w:after="0" w:line="240" w:lineRule="auto"/>
      </w:pPr>
      <w:r>
        <w:separator/>
      </w:r>
    </w:p>
  </w:endnote>
  <w:endnote w:type="continuationSeparator" w:id="0">
    <w:p w:rsidR="0057613A" w:rsidRDefault="0057613A" w:rsidP="00E4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65" w:rsidRPr="00E42A65" w:rsidRDefault="00E42A65">
    <w:pPr>
      <w:pStyle w:val="Footer"/>
      <w:rPr>
        <w:rFonts w:ascii="Arial" w:hAnsi="Arial" w:cs="Arial"/>
        <w:i/>
        <w:sz w:val="20"/>
        <w:szCs w:val="20"/>
      </w:rPr>
    </w:pPr>
    <w:r w:rsidRPr="002C7A6D">
      <w:rPr>
        <w:rFonts w:ascii="Arial" w:hAnsi="Arial" w:cs="Arial"/>
        <w:i/>
        <w:sz w:val="20"/>
        <w:szCs w:val="20"/>
      </w:rPr>
      <w:t xml:space="preserve">MBRC Planning Scheme - Other development codes - </w:t>
    </w:r>
    <w:r>
      <w:rPr>
        <w:rFonts w:ascii="Arial" w:hAnsi="Arial" w:cs="Arial"/>
        <w:i/>
        <w:sz w:val="20"/>
        <w:szCs w:val="20"/>
      </w:rPr>
      <w:t>Advertising devices</w:t>
    </w:r>
    <w:r w:rsidRPr="002C7A6D">
      <w:rPr>
        <w:rFonts w:ascii="Arial" w:hAnsi="Arial" w:cs="Arial"/>
        <w:i/>
        <w:sz w:val="20"/>
        <w:szCs w:val="20"/>
      </w:rPr>
      <w:t xml:space="preserve"> code - </w:t>
    </w:r>
    <w:r>
      <w:rPr>
        <w:rFonts w:ascii="Arial" w:hAnsi="Arial" w:cs="Arial"/>
        <w:i/>
        <w:sz w:val="20"/>
        <w:szCs w:val="20"/>
      </w:rPr>
      <w:t>Requirements for accepted development</w:t>
    </w:r>
    <w:r w:rsidRPr="002C7A6D">
      <w:rPr>
        <w:rFonts w:ascii="Arial" w:hAnsi="Arial" w:cs="Arial"/>
        <w:i/>
        <w:sz w:val="20"/>
        <w:szCs w:val="20"/>
      </w:rPr>
      <w:t xml:space="preserve"> - </w:t>
    </w: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D20F16">
          <w:rPr>
            <w:rFonts w:ascii="Arial" w:hAnsi="Arial" w:cs="Arial"/>
            <w:noProof/>
            <w:sz w:val="20"/>
            <w:szCs w:val="20"/>
          </w:rPr>
          <w:t>6</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13A" w:rsidRDefault="0057613A" w:rsidP="00E42A65">
      <w:pPr>
        <w:spacing w:after="0" w:line="240" w:lineRule="auto"/>
      </w:pPr>
      <w:r>
        <w:separator/>
      </w:r>
    </w:p>
  </w:footnote>
  <w:footnote w:type="continuationSeparator" w:id="0">
    <w:p w:rsidR="0057613A" w:rsidRDefault="0057613A" w:rsidP="00E42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5400C"/>
    <w:multiLevelType w:val="multilevel"/>
    <w:tmpl w:val="9B2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0026B"/>
    <w:multiLevelType w:val="multilevel"/>
    <w:tmpl w:val="CAD4C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2E972370"/>
    <w:multiLevelType w:val="multilevel"/>
    <w:tmpl w:val="59E6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A1EF1"/>
    <w:multiLevelType w:val="multilevel"/>
    <w:tmpl w:val="640C8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3C831D7"/>
    <w:multiLevelType w:val="multilevel"/>
    <w:tmpl w:val="9D8ED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59314C3"/>
    <w:multiLevelType w:val="multilevel"/>
    <w:tmpl w:val="78D634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73F6DA4"/>
    <w:multiLevelType w:val="multilevel"/>
    <w:tmpl w:val="E8245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91F70AA"/>
    <w:multiLevelType w:val="multilevel"/>
    <w:tmpl w:val="FEEC4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85B32"/>
    <w:multiLevelType w:val="multilevel"/>
    <w:tmpl w:val="ADECB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9944E7"/>
    <w:multiLevelType w:val="multilevel"/>
    <w:tmpl w:val="18BC6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80334D9"/>
    <w:multiLevelType w:val="multilevel"/>
    <w:tmpl w:val="293A0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BF25A5"/>
    <w:multiLevelType w:val="multilevel"/>
    <w:tmpl w:val="E9923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2642EA5"/>
    <w:multiLevelType w:val="multilevel"/>
    <w:tmpl w:val="51C2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4B439C"/>
    <w:multiLevelType w:val="multilevel"/>
    <w:tmpl w:val="E78A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B11E65"/>
    <w:multiLevelType w:val="multilevel"/>
    <w:tmpl w:val="91EA30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13"/>
  </w:num>
  <w:num w:numId="3">
    <w:abstractNumId w:val="11"/>
  </w:num>
  <w:num w:numId="4">
    <w:abstractNumId w:val="3"/>
  </w:num>
  <w:num w:numId="5">
    <w:abstractNumId w:val="0"/>
  </w:num>
  <w:num w:numId="6">
    <w:abstractNumId w:val="9"/>
  </w:num>
  <w:num w:numId="7">
    <w:abstractNumId w:val="8"/>
  </w:num>
  <w:num w:numId="8">
    <w:abstractNumId w:val="10"/>
  </w:num>
  <w:num w:numId="9">
    <w:abstractNumId w:val="14"/>
  </w:num>
  <w:num w:numId="10">
    <w:abstractNumId w:val="6"/>
  </w:num>
  <w:num w:numId="11">
    <w:abstractNumId w:val="5"/>
  </w:num>
  <w:num w:numId="12">
    <w:abstractNumId w:val="15"/>
  </w:num>
  <w:num w:numId="13">
    <w:abstractNumId w:val="4"/>
  </w:num>
  <w:num w:numId="14">
    <w:abstractNumId w:val="7"/>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DA"/>
    <w:rsid w:val="002523FD"/>
    <w:rsid w:val="0057613A"/>
    <w:rsid w:val="009D5E52"/>
    <w:rsid w:val="00D20F16"/>
    <w:rsid w:val="00E42A65"/>
    <w:rsid w:val="00F74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EC85D3-E623-471A-8308-8E9303FC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44DA"/>
    <w:rPr>
      <w:b/>
      <w:bCs/>
    </w:rPr>
  </w:style>
  <w:style w:type="paragraph" w:styleId="ListParagraph">
    <w:name w:val="List Paragraph"/>
    <w:basedOn w:val="Normal"/>
    <w:uiPriority w:val="34"/>
    <w:qFormat/>
    <w:rsid w:val="00F744DA"/>
    <w:pPr>
      <w:spacing w:after="200" w:line="276" w:lineRule="auto"/>
      <w:ind w:left="720"/>
      <w:contextualSpacing/>
    </w:pPr>
    <w:rPr>
      <w:rFonts w:ascii="Arial" w:hAnsi="Arial"/>
    </w:rPr>
  </w:style>
  <w:style w:type="paragraph" w:styleId="Header">
    <w:name w:val="header"/>
    <w:basedOn w:val="Normal"/>
    <w:link w:val="HeaderChar"/>
    <w:uiPriority w:val="99"/>
    <w:unhideWhenUsed/>
    <w:rsid w:val="00E42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A65"/>
  </w:style>
  <w:style w:type="paragraph" w:styleId="Footer">
    <w:name w:val="footer"/>
    <w:basedOn w:val="Normal"/>
    <w:link w:val="FooterChar"/>
    <w:uiPriority w:val="99"/>
    <w:unhideWhenUsed/>
    <w:rsid w:val="00E42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072893">
      <w:bodyDiv w:val="1"/>
      <w:marLeft w:val="0"/>
      <w:marRight w:val="0"/>
      <w:marTop w:val="0"/>
      <w:marBottom w:val="0"/>
      <w:divBdr>
        <w:top w:val="none" w:sz="0" w:space="0" w:color="auto"/>
        <w:left w:val="none" w:sz="0" w:space="0" w:color="auto"/>
        <w:bottom w:val="none" w:sz="0" w:space="0" w:color="auto"/>
        <w:right w:val="none" w:sz="0" w:space="0" w:color="auto"/>
      </w:divBdr>
      <w:divsChild>
        <w:div w:id="54747269">
          <w:marLeft w:val="0"/>
          <w:marRight w:val="0"/>
          <w:marTop w:val="0"/>
          <w:marBottom w:val="0"/>
          <w:divBdr>
            <w:top w:val="none" w:sz="0" w:space="0" w:color="auto"/>
            <w:left w:val="none" w:sz="0" w:space="0" w:color="auto"/>
            <w:bottom w:val="none" w:sz="0" w:space="0" w:color="auto"/>
            <w:right w:val="none" w:sz="0" w:space="0" w:color="auto"/>
          </w:divBdr>
          <w:divsChild>
            <w:div w:id="846285392">
              <w:marLeft w:val="0"/>
              <w:marRight w:val="0"/>
              <w:marTop w:val="150"/>
              <w:marBottom w:val="0"/>
              <w:divBdr>
                <w:top w:val="none" w:sz="0" w:space="0" w:color="auto"/>
                <w:left w:val="none" w:sz="0" w:space="0" w:color="auto"/>
                <w:bottom w:val="none" w:sz="0" w:space="0" w:color="auto"/>
                <w:right w:val="none" w:sz="0" w:space="0" w:color="auto"/>
              </w:divBdr>
              <w:divsChild>
                <w:div w:id="1440418351">
                  <w:marLeft w:val="3300"/>
                  <w:marRight w:val="0"/>
                  <w:marTop w:val="0"/>
                  <w:marBottom w:val="0"/>
                  <w:divBdr>
                    <w:top w:val="none" w:sz="0" w:space="0" w:color="auto"/>
                    <w:left w:val="none" w:sz="0" w:space="0" w:color="auto"/>
                    <w:bottom w:val="none" w:sz="0" w:space="0" w:color="auto"/>
                    <w:right w:val="none" w:sz="0" w:space="0" w:color="auto"/>
                  </w:divBdr>
                  <w:divsChild>
                    <w:div w:id="462626483">
                      <w:marLeft w:val="0"/>
                      <w:marRight w:val="0"/>
                      <w:marTop w:val="0"/>
                      <w:marBottom w:val="0"/>
                      <w:divBdr>
                        <w:top w:val="single" w:sz="6" w:space="7" w:color="A8A8A8"/>
                        <w:left w:val="single" w:sz="2" w:space="14" w:color="A8A8A8"/>
                        <w:bottom w:val="single" w:sz="6" w:space="7" w:color="A8A8A8"/>
                        <w:right w:val="single" w:sz="2" w:space="14" w:color="A8A8A8"/>
                      </w:divBdr>
                      <w:divsChild>
                        <w:div w:id="1671371542">
                          <w:marLeft w:val="0"/>
                          <w:marRight w:val="0"/>
                          <w:marTop w:val="0"/>
                          <w:marBottom w:val="0"/>
                          <w:divBdr>
                            <w:top w:val="none" w:sz="0" w:space="0" w:color="auto"/>
                            <w:left w:val="none" w:sz="0" w:space="0" w:color="auto"/>
                            <w:bottom w:val="none" w:sz="0" w:space="0" w:color="auto"/>
                            <w:right w:val="none" w:sz="0" w:space="0" w:color="auto"/>
                          </w:divBdr>
                          <w:divsChild>
                            <w:div w:id="1930849430">
                              <w:marLeft w:val="0"/>
                              <w:marRight w:val="0"/>
                              <w:marTop w:val="0"/>
                              <w:marBottom w:val="0"/>
                              <w:divBdr>
                                <w:top w:val="none" w:sz="0" w:space="0" w:color="auto"/>
                                <w:left w:val="none" w:sz="0" w:space="0" w:color="auto"/>
                                <w:bottom w:val="none" w:sz="0" w:space="0" w:color="auto"/>
                                <w:right w:val="none" w:sz="0" w:space="0" w:color="auto"/>
                              </w:divBdr>
                              <w:divsChild>
                                <w:div w:id="988903032">
                                  <w:marLeft w:val="0"/>
                                  <w:marRight w:val="0"/>
                                  <w:marTop w:val="0"/>
                                  <w:marBottom w:val="0"/>
                                  <w:divBdr>
                                    <w:top w:val="none" w:sz="0" w:space="0" w:color="auto"/>
                                    <w:left w:val="none" w:sz="0" w:space="0" w:color="auto"/>
                                    <w:bottom w:val="none" w:sz="0" w:space="0" w:color="auto"/>
                                    <w:right w:val="none" w:sz="0" w:space="0" w:color="auto"/>
                                  </w:divBdr>
                                  <w:divsChild>
                                    <w:div w:id="1647779440">
                                      <w:marLeft w:val="0"/>
                                      <w:marRight w:val="0"/>
                                      <w:marTop w:val="0"/>
                                      <w:marBottom w:val="0"/>
                                      <w:divBdr>
                                        <w:top w:val="none" w:sz="0" w:space="0" w:color="auto"/>
                                        <w:left w:val="none" w:sz="0" w:space="0" w:color="auto"/>
                                        <w:bottom w:val="none" w:sz="0" w:space="0" w:color="auto"/>
                                        <w:right w:val="none" w:sz="0" w:space="0" w:color="auto"/>
                                      </w:divBdr>
                                      <w:divsChild>
                                        <w:div w:id="1900431534">
                                          <w:marLeft w:val="0"/>
                                          <w:marRight w:val="0"/>
                                          <w:marTop w:val="0"/>
                                          <w:marBottom w:val="0"/>
                                          <w:divBdr>
                                            <w:top w:val="none" w:sz="0" w:space="0" w:color="auto"/>
                                            <w:left w:val="none" w:sz="0" w:space="0" w:color="auto"/>
                                            <w:bottom w:val="none" w:sz="0" w:space="0" w:color="auto"/>
                                            <w:right w:val="none" w:sz="0" w:space="0" w:color="auto"/>
                                          </w:divBdr>
                                          <w:divsChild>
                                            <w:div w:id="1341350521">
                                              <w:marLeft w:val="0"/>
                                              <w:marRight w:val="0"/>
                                              <w:marTop w:val="0"/>
                                              <w:marBottom w:val="0"/>
                                              <w:divBdr>
                                                <w:top w:val="none" w:sz="0" w:space="0" w:color="auto"/>
                                                <w:left w:val="none" w:sz="0" w:space="0" w:color="auto"/>
                                                <w:bottom w:val="none" w:sz="0" w:space="0" w:color="auto"/>
                                                <w:right w:val="none" w:sz="0" w:space="0" w:color="auto"/>
                                              </w:divBdr>
                                              <w:divsChild>
                                                <w:div w:id="788084195">
                                                  <w:marLeft w:val="0"/>
                                                  <w:marRight w:val="0"/>
                                                  <w:marTop w:val="0"/>
                                                  <w:marBottom w:val="0"/>
                                                  <w:divBdr>
                                                    <w:top w:val="none" w:sz="0" w:space="0" w:color="auto"/>
                                                    <w:left w:val="none" w:sz="0" w:space="0" w:color="auto"/>
                                                    <w:bottom w:val="none" w:sz="0" w:space="0" w:color="auto"/>
                                                    <w:right w:val="none" w:sz="0" w:space="0" w:color="auto"/>
                                                  </w:divBdr>
                                                  <w:divsChild>
                                                    <w:div w:id="1435901862">
                                                      <w:marLeft w:val="0"/>
                                                      <w:marRight w:val="0"/>
                                                      <w:marTop w:val="0"/>
                                                      <w:marBottom w:val="0"/>
                                                      <w:divBdr>
                                                        <w:top w:val="none" w:sz="0" w:space="0" w:color="auto"/>
                                                        <w:left w:val="none" w:sz="0" w:space="0" w:color="auto"/>
                                                        <w:bottom w:val="none" w:sz="0" w:space="0" w:color="auto"/>
                                                        <w:right w:val="none" w:sz="0" w:space="0" w:color="auto"/>
                                                      </w:divBdr>
                                                    </w:div>
                                                  </w:divsChild>
                                                </w:div>
                                                <w:div w:id="150367469">
                                                  <w:marLeft w:val="0"/>
                                                  <w:marRight w:val="0"/>
                                                  <w:marTop w:val="0"/>
                                                  <w:marBottom w:val="0"/>
                                                  <w:divBdr>
                                                    <w:top w:val="none" w:sz="0" w:space="0" w:color="auto"/>
                                                    <w:left w:val="none" w:sz="0" w:space="0" w:color="auto"/>
                                                    <w:bottom w:val="none" w:sz="0" w:space="0" w:color="auto"/>
                                                    <w:right w:val="none" w:sz="0" w:space="0" w:color="auto"/>
                                                  </w:divBdr>
                                                  <w:divsChild>
                                                    <w:div w:id="761609677">
                                                      <w:marLeft w:val="0"/>
                                                      <w:marRight w:val="0"/>
                                                      <w:marTop w:val="0"/>
                                                      <w:marBottom w:val="0"/>
                                                      <w:divBdr>
                                                        <w:top w:val="none" w:sz="0" w:space="0" w:color="auto"/>
                                                        <w:left w:val="none" w:sz="0" w:space="0" w:color="auto"/>
                                                        <w:bottom w:val="none" w:sz="0" w:space="0" w:color="auto"/>
                                                        <w:right w:val="none" w:sz="0" w:space="0" w:color="auto"/>
                                                      </w:divBdr>
                                                    </w:div>
                                                  </w:divsChild>
                                                </w:div>
                                                <w:div w:id="688794396">
                                                  <w:marLeft w:val="0"/>
                                                  <w:marRight w:val="0"/>
                                                  <w:marTop w:val="0"/>
                                                  <w:marBottom w:val="0"/>
                                                  <w:divBdr>
                                                    <w:top w:val="none" w:sz="0" w:space="0" w:color="auto"/>
                                                    <w:left w:val="none" w:sz="0" w:space="0" w:color="auto"/>
                                                    <w:bottom w:val="none" w:sz="0" w:space="0" w:color="auto"/>
                                                    <w:right w:val="none" w:sz="0" w:space="0" w:color="auto"/>
                                                  </w:divBdr>
                                                  <w:divsChild>
                                                    <w:div w:id="2086762645">
                                                      <w:marLeft w:val="0"/>
                                                      <w:marRight w:val="0"/>
                                                      <w:marTop w:val="0"/>
                                                      <w:marBottom w:val="0"/>
                                                      <w:divBdr>
                                                        <w:top w:val="none" w:sz="0" w:space="0" w:color="auto"/>
                                                        <w:left w:val="none" w:sz="0" w:space="0" w:color="auto"/>
                                                        <w:bottom w:val="none" w:sz="0" w:space="0" w:color="auto"/>
                                                        <w:right w:val="none" w:sz="0" w:space="0" w:color="auto"/>
                                                      </w:divBdr>
                                                    </w:div>
                                                  </w:divsChild>
                                                </w:div>
                                                <w:div w:id="889417643">
                                                  <w:marLeft w:val="0"/>
                                                  <w:marRight w:val="0"/>
                                                  <w:marTop w:val="0"/>
                                                  <w:marBottom w:val="0"/>
                                                  <w:divBdr>
                                                    <w:top w:val="none" w:sz="0" w:space="0" w:color="auto"/>
                                                    <w:left w:val="none" w:sz="0" w:space="0" w:color="auto"/>
                                                    <w:bottom w:val="none" w:sz="0" w:space="0" w:color="auto"/>
                                                    <w:right w:val="none" w:sz="0" w:space="0" w:color="auto"/>
                                                  </w:divBdr>
                                                  <w:divsChild>
                                                    <w:div w:id="672759151">
                                                      <w:marLeft w:val="0"/>
                                                      <w:marRight w:val="0"/>
                                                      <w:marTop w:val="0"/>
                                                      <w:marBottom w:val="0"/>
                                                      <w:divBdr>
                                                        <w:top w:val="none" w:sz="0" w:space="0" w:color="auto"/>
                                                        <w:left w:val="none" w:sz="0" w:space="0" w:color="auto"/>
                                                        <w:bottom w:val="none" w:sz="0" w:space="0" w:color="auto"/>
                                                        <w:right w:val="none" w:sz="0" w:space="0" w:color="auto"/>
                                                      </w:divBdr>
                                                    </w:div>
                                                  </w:divsChild>
                                                </w:div>
                                                <w:div w:id="712269819">
                                                  <w:marLeft w:val="0"/>
                                                  <w:marRight w:val="0"/>
                                                  <w:marTop w:val="0"/>
                                                  <w:marBottom w:val="0"/>
                                                  <w:divBdr>
                                                    <w:top w:val="none" w:sz="0" w:space="0" w:color="auto"/>
                                                    <w:left w:val="none" w:sz="0" w:space="0" w:color="auto"/>
                                                    <w:bottom w:val="none" w:sz="0" w:space="0" w:color="auto"/>
                                                    <w:right w:val="none" w:sz="0" w:space="0" w:color="auto"/>
                                                  </w:divBdr>
                                                  <w:divsChild>
                                                    <w:div w:id="1432117019">
                                                      <w:marLeft w:val="0"/>
                                                      <w:marRight w:val="0"/>
                                                      <w:marTop w:val="0"/>
                                                      <w:marBottom w:val="0"/>
                                                      <w:divBdr>
                                                        <w:top w:val="none" w:sz="0" w:space="0" w:color="auto"/>
                                                        <w:left w:val="none" w:sz="0" w:space="0" w:color="auto"/>
                                                        <w:bottom w:val="none" w:sz="0" w:space="0" w:color="auto"/>
                                                        <w:right w:val="none" w:sz="0" w:space="0" w:color="auto"/>
                                                      </w:divBdr>
                                                    </w:div>
                                                  </w:divsChild>
                                                </w:div>
                                                <w:div w:id="740104773">
                                                  <w:marLeft w:val="0"/>
                                                  <w:marRight w:val="0"/>
                                                  <w:marTop w:val="0"/>
                                                  <w:marBottom w:val="0"/>
                                                  <w:divBdr>
                                                    <w:top w:val="none" w:sz="0" w:space="0" w:color="auto"/>
                                                    <w:left w:val="none" w:sz="0" w:space="0" w:color="auto"/>
                                                    <w:bottom w:val="none" w:sz="0" w:space="0" w:color="auto"/>
                                                    <w:right w:val="none" w:sz="0" w:space="0" w:color="auto"/>
                                                  </w:divBdr>
                                                  <w:divsChild>
                                                    <w:div w:id="281350496">
                                                      <w:marLeft w:val="0"/>
                                                      <w:marRight w:val="0"/>
                                                      <w:marTop w:val="0"/>
                                                      <w:marBottom w:val="0"/>
                                                      <w:divBdr>
                                                        <w:top w:val="none" w:sz="0" w:space="0" w:color="auto"/>
                                                        <w:left w:val="none" w:sz="0" w:space="0" w:color="auto"/>
                                                        <w:bottom w:val="none" w:sz="0" w:space="0" w:color="auto"/>
                                                        <w:right w:val="none" w:sz="0" w:space="0" w:color="auto"/>
                                                      </w:divBdr>
                                                    </w:div>
                                                  </w:divsChild>
                                                </w:div>
                                                <w:div w:id="1135560873">
                                                  <w:marLeft w:val="0"/>
                                                  <w:marRight w:val="0"/>
                                                  <w:marTop w:val="0"/>
                                                  <w:marBottom w:val="0"/>
                                                  <w:divBdr>
                                                    <w:top w:val="none" w:sz="0" w:space="0" w:color="auto"/>
                                                    <w:left w:val="none" w:sz="0" w:space="0" w:color="auto"/>
                                                    <w:bottom w:val="none" w:sz="0" w:space="0" w:color="auto"/>
                                                    <w:right w:val="none" w:sz="0" w:space="0" w:color="auto"/>
                                                  </w:divBdr>
                                                  <w:divsChild>
                                                    <w:div w:id="1986740040">
                                                      <w:marLeft w:val="0"/>
                                                      <w:marRight w:val="0"/>
                                                      <w:marTop w:val="0"/>
                                                      <w:marBottom w:val="0"/>
                                                      <w:divBdr>
                                                        <w:top w:val="none" w:sz="0" w:space="0" w:color="auto"/>
                                                        <w:left w:val="none" w:sz="0" w:space="0" w:color="auto"/>
                                                        <w:bottom w:val="none" w:sz="0" w:space="0" w:color="auto"/>
                                                        <w:right w:val="none" w:sz="0" w:space="0" w:color="auto"/>
                                                      </w:divBdr>
                                                    </w:div>
                                                  </w:divsChild>
                                                </w:div>
                                                <w:div w:id="2001034649">
                                                  <w:marLeft w:val="0"/>
                                                  <w:marRight w:val="0"/>
                                                  <w:marTop w:val="0"/>
                                                  <w:marBottom w:val="0"/>
                                                  <w:divBdr>
                                                    <w:top w:val="none" w:sz="0" w:space="0" w:color="auto"/>
                                                    <w:left w:val="none" w:sz="0" w:space="0" w:color="auto"/>
                                                    <w:bottom w:val="none" w:sz="0" w:space="0" w:color="auto"/>
                                                    <w:right w:val="none" w:sz="0" w:space="0" w:color="auto"/>
                                                  </w:divBdr>
                                                  <w:divsChild>
                                                    <w:div w:id="658970572">
                                                      <w:marLeft w:val="0"/>
                                                      <w:marRight w:val="0"/>
                                                      <w:marTop w:val="0"/>
                                                      <w:marBottom w:val="0"/>
                                                      <w:divBdr>
                                                        <w:top w:val="none" w:sz="0" w:space="0" w:color="auto"/>
                                                        <w:left w:val="none" w:sz="0" w:space="0" w:color="auto"/>
                                                        <w:bottom w:val="none" w:sz="0" w:space="0" w:color="auto"/>
                                                        <w:right w:val="none" w:sz="0" w:space="0" w:color="auto"/>
                                                      </w:divBdr>
                                                    </w:div>
                                                  </w:divsChild>
                                                </w:div>
                                                <w:div w:id="1859999201">
                                                  <w:marLeft w:val="0"/>
                                                  <w:marRight w:val="0"/>
                                                  <w:marTop w:val="0"/>
                                                  <w:marBottom w:val="0"/>
                                                  <w:divBdr>
                                                    <w:top w:val="none" w:sz="0" w:space="0" w:color="auto"/>
                                                    <w:left w:val="none" w:sz="0" w:space="0" w:color="auto"/>
                                                    <w:bottom w:val="none" w:sz="0" w:space="0" w:color="auto"/>
                                                    <w:right w:val="none" w:sz="0" w:space="0" w:color="auto"/>
                                                  </w:divBdr>
                                                  <w:divsChild>
                                                    <w:div w:id="14511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2</cp:revision>
  <dcterms:created xsi:type="dcterms:W3CDTF">2017-07-12T03:00:00Z</dcterms:created>
  <dcterms:modified xsi:type="dcterms:W3CDTF">2017-07-12T05:48:00Z</dcterms:modified>
</cp:coreProperties>
</file>