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398"/>
      </w:tblGrid>
      <w:tr w:rsidR="00246D60" w:rsidRPr="00246D60" w:rsidTr="00246D60">
        <w:trPr>
          <w:tblCellSpacing w:w="15" w:type="dxa"/>
        </w:trPr>
        <w:tc>
          <w:tcPr>
            <w:tcW w:w="4981" w:type="pct"/>
            <w:tcBorders>
              <w:top w:val="nil"/>
              <w:left w:val="nil"/>
              <w:bottom w:val="nil"/>
              <w:right w:val="nil"/>
            </w:tcBorders>
            <w:shd w:val="clear" w:color="auto" w:fill="CCCCCC"/>
            <w:tcMar>
              <w:top w:w="30" w:type="dxa"/>
              <w:left w:w="30" w:type="dxa"/>
              <w:bottom w:w="30" w:type="dxa"/>
              <w:right w:w="30" w:type="dxa"/>
            </w:tcMar>
            <w:vAlign w:val="center"/>
            <w:hideMark/>
          </w:tcPr>
          <w:p w:rsidR="00246D60" w:rsidRPr="00246D60" w:rsidRDefault="00246D60" w:rsidP="00246D60">
            <w:pPr>
              <w:spacing w:before="100" w:beforeAutospacing="1" w:after="100" w:afterAutospacing="1" w:line="240" w:lineRule="auto"/>
              <w:jc w:val="center"/>
              <w:rPr>
                <w:rFonts w:ascii="Arial" w:eastAsia="Times New Roman" w:hAnsi="Arial" w:cs="Arial"/>
                <w:sz w:val="20"/>
                <w:szCs w:val="20"/>
                <w:lang w:eastAsia="en-AU"/>
              </w:rPr>
            </w:pPr>
            <w:r w:rsidRPr="00246D60">
              <w:rPr>
                <w:rFonts w:ascii="Arial" w:eastAsia="Times New Roman" w:hAnsi="Arial" w:cs="Arial"/>
                <w:b/>
                <w:bCs/>
                <w:sz w:val="20"/>
                <w:szCs w:val="20"/>
                <w:lang w:eastAsia="en-AU"/>
              </w:rPr>
              <w:t>Table 7.2.3.7.3.2 Assessable development - Reconfiguring a lot code - Enterprise and employment precinct</w:t>
            </w:r>
          </w:p>
        </w:tc>
      </w:tr>
    </w:tbl>
    <w:p w:rsidR="00246D60" w:rsidRDefault="00246D60"/>
    <w:tbl>
      <w:tblPr>
        <w:tblW w:w="4951"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5185"/>
        <w:gridCol w:w="4796"/>
        <w:gridCol w:w="1767"/>
        <w:gridCol w:w="3483"/>
      </w:tblGrid>
      <w:tr w:rsidR="00CD3498" w:rsidRPr="00246D60" w:rsidTr="00CD3498">
        <w:trPr>
          <w:tblCellSpacing w:w="15" w:type="dxa"/>
        </w:trPr>
        <w:tc>
          <w:tcPr>
            <w:tcW w:w="1697" w:type="pct"/>
            <w:shd w:val="clear" w:color="auto" w:fill="CCCCCC"/>
            <w:tcMar>
              <w:top w:w="30" w:type="dxa"/>
              <w:left w:w="30" w:type="dxa"/>
              <w:bottom w:w="30" w:type="dxa"/>
              <w:right w:w="30" w:type="dxa"/>
            </w:tcMar>
            <w:hideMark/>
          </w:tcPr>
          <w:p w:rsidR="00246D60" w:rsidRPr="00246D60" w:rsidRDefault="00246D60" w:rsidP="00246D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46D60">
              <w:rPr>
                <w:rFonts w:ascii="Arial" w:eastAsia="Times New Roman" w:hAnsi="Arial" w:cs="Arial"/>
                <w:b/>
                <w:bCs/>
                <w:sz w:val="20"/>
                <w:szCs w:val="20"/>
                <w:lang w:eastAsia="en-AU"/>
              </w:rPr>
              <w:t>Performance outcomes</w:t>
            </w:r>
          </w:p>
        </w:tc>
        <w:tc>
          <w:tcPr>
            <w:tcW w:w="1564" w:type="pct"/>
            <w:shd w:val="clear" w:color="auto" w:fill="CCCCCC"/>
            <w:tcMar>
              <w:top w:w="30" w:type="dxa"/>
              <w:left w:w="30" w:type="dxa"/>
              <w:bottom w:w="30" w:type="dxa"/>
              <w:right w:w="30" w:type="dxa"/>
            </w:tcMar>
            <w:hideMark/>
          </w:tcPr>
          <w:p w:rsidR="00246D60" w:rsidRPr="00246D60" w:rsidRDefault="00246D60" w:rsidP="00246D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46D60">
              <w:rPr>
                <w:rFonts w:ascii="Arial" w:eastAsia="Times New Roman" w:hAnsi="Arial" w:cs="Arial"/>
                <w:b/>
                <w:bCs/>
                <w:sz w:val="20"/>
                <w:szCs w:val="20"/>
                <w:lang w:eastAsia="en-AU"/>
              </w:rPr>
              <w:t>Examples that achieve aspects of the Performance Outcomes</w:t>
            </w:r>
          </w:p>
        </w:tc>
        <w:tc>
          <w:tcPr>
            <w:tcW w:w="574" w:type="pct"/>
            <w:shd w:val="clear" w:color="auto" w:fill="CCCCCC"/>
          </w:tcPr>
          <w:p w:rsidR="00246D60" w:rsidRPr="004309BE" w:rsidRDefault="00246D60" w:rsidP="00246D60">
            <w:pPr>
              <w:spacing w:after="0" w:line="240" w:lineRule="auto"/>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E Compliance</w:t>
            </w:r>
          </w:p>
          <w:p w:rsidR="00246D60" w:rsidRPr="004309BE" w:rsidRDefault="00246D60" w:rsidP="00246D60">
            <w:pPr>
              <w:pStyle w:val="ListParagraph"/>
              <w:numPr>
                <w:ilvl w:val="0"/>
                <w:numId w:val="38"/>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Yes</w:t>
            </w:r>
          </w:p>
          <w:p w:rsidR="00246D60" w:rsidRDefault="00246D60" w:rsidP="00246D60">
            <w:pPr>
              <w:pStyle w:val="ListParagraph"/>
              <w:numPr>
                <w:ilvl w:val="0"/>
                <w:numId w:val="38"/>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No See PO or</w:t>
            </w:r>
          </w:p>
          <w:p w:rsidR="00246D60" w:rsidRPr="00246D60" w:rsidRDefault="00246D60" w:rsidP="00246D60">
            <w:pPr>
              <w:pStyle w:val="ListParagraph"/>
              <w:numPr>
                <w:ilvl w:val="0"/>
                <w:numId w:val="38"/>
              </w:numPr>
              <w:spacing w:after="0" w:line="240" w:lineRule="auto"/>
              <w:ind w:left="373" w:hanging="284"/>
              <w:rPr>
                <w:rFonts w:eastAsia="Times New Roman" w:cs="Arial"/>
                <w:b/>
                <w:bCs/>
                <w:sz w:val="20"/>
                <w:szCs w:val="20"/>
                <w:lang w:eastAsia="en-AU"/>
              </w:rPr>
            </w:pPr>
            <w:r w:rsidRPr="004309BE">
              <w:rPr>
                <w:rFonts w:eastAsia="Times New Roman" w:cs="Arial"/>
                <w:b/>
                <w:bCs/>
                <w:sz w:val="20"/>
                <w:szCs w:val="20"/>
                <w:lang w:eastAsia="en-AU"/>
              </w:rPr>
              <w:t>NA</w:t>
            </w:r>
          </w:p>
        </w:tc>
        <w:tc>
          <w:tcPr>
            <w:tcW w:w="1116" w:type="pct"/>
            <w:shd w:val="clear" w:color="auto" w:fill="CCCCCC"/>
          </w:tcPr>
          <w:p w:rsidR="00246D60" w:rsidRDefault="00246D60" w:rsidP="00246D6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309BE">
              <w:rPr>
                <w:rFonts w:ascii="Arial" w:eastAsia="Times New Roman" w:hAnsi="Arial" w:cs="Arial"/>
                <w:b/>
                <w:bCs/>
                <w:sz w:val="20"/>
                <w:szCs w:val="20"/>
                <w:lang w:eastAsia="en-AU"/>
              </w:rPr>
              <w:t>Justification for compliance</w:t>
            </w:r>
          </w:p>
          <w:p w:rsidR="00246D60" w:rsidRPr="00246D60" w:rsidRDefault="00246D60" w:rsidP="00246D6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45235C" w:rsidRPr="00246D60" w:rsidTr="0045235C">
        <w:trPr>
          <w:tblCellSpacing w:w="15" w:type="dxa"/>
        </w:trPr>
        <w:tc>
          <w:tcPr>
            <w:tcW w:w="4980" w:type="pct"/>
            <w:gridSpan w:val="4"/>
            <w:shd w:val="clear" w:color="auto" w:fill="CCCCCC"/>
            <w:tcMar>
              <w:top w:w="30" w:type="dxa"/>
              <w:left w:w="30" w:type="dxa"/>
              <w:bottom w:w="30" w:type="dxa"/>
              <w:right w:w="30" w:type="dxa"/>
            </w:tcMar>
            <w:hideMark/>
          </w:tcPr>
          <w:p w:rsidR="0045235C" w:rsidRPr="00246D60" w:rsidRDefault="0045235C" w:rsidP="00246D60">
            <w:pPr>
              <w:spacing w:before="100" w:beforeAutospacing="1" w:after="100" w:afterAutospacing="1" w:line="240" w:lineRule="auto"/>
              <w:ind w:left="150" w:right="150"/>
              <w:rPr>
                <w:rFonts w:ascii="Arial" w:eastAsia="Times New Roman" w:hAnsi="Arial" w:cs="Arial"/>
                <w:b/>
                <w:bCs/>
                <w:sz w:val="20"/>
                <w:szCs w:val="20"/>
                <w:lang w:eastAsia="en-AU"/>
              </w:rPr>
            </w:pPr>
            <w:r w:rsidRPr="00246D60">
              <w:rPr>
                <w:rFonts w:ascii="Arial" w:eastAsia="Times New Roman" w:hAnsi="Arial" w:cs="Arial"/>
                <w:b/>
                <w:bCs/>
                <w:sz w:val="20"/>
                <w:szCs w:val="20"/>
                <w:lang w:eastAsia="en-AU"/>
              </w:rPr>
              <w:t>Where on a developable lot or creating developable lots</w:t>
            </w:r>
          </w:p>
        </w:tc>
      </w:tr>
      <w:tr w:rsidR="000847DE" w:rsidRPr="00246D60" w:rsidTr="00CD3498">
        <w:trPr>
          <w:tblCellSpacing w:w="15" w:type="dxa"/>
        </w:trPr>
        <w:tc>
          <w:tcPr>
            <w:tcW w:w="3271" w:type="pct"/>
            <w:gridSpan w:val="2"/>
            <w:shd w:val="clear" w:color="auto" w:fill="CCCCCC"/>
            <w:tcMar>
              <w:top w:w="30" w:type="dxa"/>
              <w:left w:w="30" w:type="dxa"/>
              <w:bottom w:w="30" w:type="dxa"/>
              <w:right w:w="30" w:type="dxa"/>
            </w:tcMa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Lot size and design</w:t>
            </w:r>
          </w:p>
        </w:tc>
        <w:tc>
          <w:tcPr>
            <w:tcW w:w="574"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6"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3498" w:rsidRPr="00246D60" w:rsidTr="00CD3498">
        <w:trPr>
          <w:tblCellSpacing w:w="15" w:type="dxa"/>
        </w:trPr>
        <w:tc>
          <w:tcPr>
            <w:tcW w:w="1697" w:type="pct"/>
            <w:shd w:val="clear" w:color="auto" w:fill="FFFFFF"/>
            <w:tcMar>
              <w:top w:w="30" w:type="dxa"/>
              <w:left w:w="30" w:type="dxa"/>
              <w:bottom w:w="30" w:type="dxa"/>
              <w:right w:w="30" w:type="dxa"/>
            </w:tcMa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PO1</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Reconfiguring a lot does not result in additional lots.</w:t>
            </w:r>
          </w:p>
        </w:tc>
        <w:tc>
          <w:tcPr>
            <w:tcW w:w="1564" w:type="pct"/>
            <w:shd w:val="clear" w:color="auto" w:fill="FFFFFF"/>
            <w:tcMar>
              <w:top w:w="30" w:type="dxa"/>
              <w:left w:w="30" w:type="dxa"/>
              <w:bottom w:w="30" w:type="dxa"/>
              <w:right w:w="30" w:type="dxa"/>
            </w:tcMa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No example provided</w:t>
            </w:r>
          </w:p>
        </w:tc>
        <w:tc>
          <w:tcPr>
            <w:tcW w:w="574" w:type="pct"/>
            <w:shd w:val="clear" w:color="auto" w:fill="FFFFFF"/>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116" w:type="pct"/>
            <w:shd w:val="clear" w:color="auto" w:fill="FFFFFF"/>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0847DE" w:rsidRPr="00246D60" w:rsidTr="00CD3498">
        <w:trPr>
          <w:tblCellSpacing w:w="15" w:type="dxa"/>
        </w:trPr>
        <w:tc>
          <w:tcPr>
            <w:tcW w:w="3271" w:type="pct"/>
            <w:gridSpan w:val="2"/>
            <w:shd w:val="clear" w:color="auto" w:fill="CCCCCC"/>
            <w:tcMar>
              <w:top w:w="30" w:type="dxa"/>
              <w:left w:w="30" w:type="dxa"/>
              <w:bottom w:w="30" w:type="dxa"/>
              <w:right w:w="30" w:type="dxa"/>
            </w:tcMa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Boundary realignment</w:t>
            </w:r>
          </w:p>
        </w:tc>
        <w:tc>
          <w:tcPr>
            <w:tcW w:w="574"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6"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3498" w:rsidRPr="00246D60" w:rsidTr="00CD3498">
        <w:trPr>
          <w:tblCellSpacing w:w="15" w:type="dxa"/>
        </w:trPr>
        <w:tc>
          <w:tcPr>
            <w:tcW w:w="1697" w:type="pct"/>
            <w:shd w:val="clear" w:color="auto" w:fill="FFFFFF"/>
            <w:tcMar>
              <w:top w:w="30" w:type="dxa"/>
              <w:left w:w="30" w:type="dxa"/>
              <w:bottom w:w="30" w:type="dxa"/>
              <w:right w:w="30" w:type="dxa"/>
            </w:tcMa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PO2</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Boundary realignments do not result in the:</w:t>
            </w:r>
          </w:p>
          <w:p w:rsidR="00246D60" w:rsidRPr="00246D60" w:rsidRDefault="00246D60" w:rsidP="00246D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fragmentation or alienation of the land or result in the loss of land for future urban purposes;</w:t>
            </w:r>
          </w:p>
          <w:p w:rsidR="00246D60" w:rsidRPr="00246D60" w:rsidRDefault="00246D60" w:rsidP="00246D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delay the use of the land for urban purposes;</w:t>
            </w:r>
          </w:p>
          <w:p w:rsidR="00246D60" w:rsidRPr="00246D60" w:rsidRDefault="00246D60" w:rsidP="00246D6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existing land uses on-site becoming non-compliant due to:</w:t>
            </w:r>
          </w:p>
          <w:p w:rsidR="00246D60" w:rsidRPr="00246D60" w:rsidRDefault="00246D60" w:rsidP="00246D60">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lot size;</w:t>
            </w:r>
          </w:p>
          <w:p w:rsidR="00246D60" w:rsidRPr="00246D60" w:rsidRDefault="00246D60" w:rsidP="00246D60">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parking requirements;</w:t>
            </w:r>
          </w:p>
          <w:p w:rsidR="00246D60" w:rsidRPr="00246D60" w:rsidRDefault="00246D60" w:rsidP="00246D60">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servicing;</w:t>
            </w:r>
          </w:p>
          <w:p w:rsidR="00246D60" w:rsidRPr="00246D60" w:rsidRDefault="00246D60" w:rsidP="00246D60">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dependant elements of an existing or approved land use being separately titled.</w:t>
            </w:r>
          </w:p>
        </w:tc>
        <w:tc>
          <w:tcPr>
            <w:tcW w:w="1564" w:type="pct"/>
            <w:shd w:val="clear" w:color="auto" w:fill="FFFFFF"/>
            <w:tcMar>
              <w:top w:w="30" w:type="dxa"/>
              <w:left w:w="30" w:type="dxa"/>
              <w:bottom w:w="30" w:type="dxa"/>
              <w:right w:w="30" w:type="dxa"/>
            </w:tcMa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No example provided</w:t>
            </w:r>
          </w:p>
        </w:tc>
        <w:tc>
          <w:tcPr>
            <w:tcW w:w="574" w:type="pct"/>
            <w:shd w:val="clear" w:color="auto" w:fill="FFFFFF"/>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116" w:type="pct"/>
            <w:shd w:val="clear" w:color="auto" w:fill="FFFFFF"/>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0847DE" w:rsidRPr="00246D60" w:rsidTr="00CD3498">
        <w:trPr>
          <w:tblCellSpacing w:w="15" w:type="dxa"/>
        </w:trPr>
        <w:tc>
          <w:tcPr>
            <w:tcW w:w="3271" w:type="pct"/>
            <w:gridSpan w:val="2"/>
            <w:shd w:val="clear" w:color="auto" w:fill="CCCCCC"/>
            <w:tcMar>
              <w:top w:w="30" w:type="dxa"/>
              <w:left w:w="30" w:type="dxa"/>
              <w:bottom w:w="30" w:type="dxa"/>
              <w:right w:w="30" w:type="dxa"/>
            </w:tcMa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Where on a developed lot or creating developed lots</w:t>
            </w:r>
          </w:p>
        </w:tc>
        <w:tc>
          <w:tcPr>
            <w:tcW w:w="574"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6"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CD3498">
        <w:trPr>
          <w:tblCellSpacing w:w="15" w:type="dxa"/>
        </w:trPr>
        <w:tc>
          <w:tcPr>
            <w:tcW w:w="3271" w:type="pct"/>
            <w:gridSpan w:val="2"/>
            <w:shd w:val="clear" w:color="auto" w:fill="CCCCCC"/>
            <w:tcMar>
              <w:top w:w="30" w:type="dxa"/>
              <w:left w:w="30" w:type="dxa"/>
              <w:bottom w:w="30" w:type="dxa"/>
              <w:right w:w="30" w:type="dxa"/>
            </w:tcMa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Lot size and design</w:t>
            </w:r>
          </w:p>
        </w:tc>
        <w:tc>
          <w:tcPr>
            <w:tcW w:w="574"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6"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3498" w:rsidRPr="00246D60" w:rsidTr="00CD3498">
        <w:trPr>
          <w:trHeight w:val="4365"/>
          <w:tblCellSpacing w:w="15" w:type="dxa"/>
        </w:trPr>
        <w:tc>
          <w:tcPr>
            <w:tcW w:w="1697" w:type="pct"/>
            <w:tcMar>
              <w:top w:w="30" w:type="dxa"/>
              <w:left w:w="30" w:type="dxa"/>
              <w:bottom w:w="30" w:type="dxa"/>
              <w:right w:w="30" w:type="dxa"/>
            </w:tcMa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lastRenderedPageBreak/>
              <w:t>PO3</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Lots have appropriate area and dimension for the establishment of uses consistent with the applicable sub-precinct in the Enterprise and employment precinct, having regard to: </w:t>
            </w:r>
          </w:p>
          <w:p w:rsidR="00246D60" w:rsidRPr="00246D60" w:rsidRDefault="00246D60" w:rsidP="00246D60">
            <w:pPr>
              <w:numPr>
                <w:ilvl w:val="0"/>
                <w:numId w:val="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convenient and safe access;</w:t>
            </w:r>
          </w:p>
          <w:p w:rsidR="00246D60" w:rsidRPr="00246D60" w:rsidRDefault="00246D60" w:rsidP="00246D60">
            <w:pPr>
              <w:numPr>
                <w:ilvl w:val="0"/>
                <w:numId w:val="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on-site car parking;</w:t>
            </w:r>
          </w:p>
          <w:p w:rsidR="00246D60" w:rsidRPr="00246D60" w:rsidRDefault="00246D60" w:rsidP="00246D60">
            <w:pPr>
              <w:numPr>
                <w:ilvl w:val="0"/>
                <w:numId w:val="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service vehicle access and manoeuvring;</w:t>
            </w:r>
          </w:p>
          <w:p w:rsidR="00246D60" w:rsidRPr="00246D60" w:rsidRDefault="00246D60" w:rsidP="00246D60">
            <w:pPr>
              <w:numPr>
                <w:ilvl w:val="0"/>
                <w:numId w:val="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appropriately sited loading and servicing areas;</w:t>
            </w:r>
          </w:p>
          <w:p w:rsidR="00246D60" w:rsidRPr="00246D60" w:rsidRDefault="00246D60" w:rsidP="00246D60">
            <w:pPr>
              <w:numPr>
                <w:ilvl w:val="0"/>
                <w:numId w:val="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setbacks, buffers to sensitive land uses and landscaping where required;</w:t>
            </w:r>
          </w:p>
          <w:p w:rsidR="00246D60" w:rsidRPr="00246D60" w:rsidRDefault="00246D60" w:rsidP="00246D60">
            <w:pPr>
              <w:numPr>
                <w:ilvl w:val="0"/>
                <w:numId w:val="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lots provide for rear service lane access where possible.</w:t>
            </w:r>
          </w:p>
          <w:tbl>
            <w:tblPr>
              <w:tblW w:w="488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7"/>
            </w:tblGrid>
            <w:tr w:rsidR="00246D60" w:rsidRPr="00246D60" w:rsidTr="000847DE">
              <w:trPr>
                <w:tblCellSpacing w:w="15" w:type="dxa"/>
              </w:trPr>
              <w:tc>
                <w:tcPr>
                  <w:tcW w:w="4827" w:type="dxa"/>
                  <w:vAlign w:val="cente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Note - Refer to the overall outcomes for the Enterprise and employment precinct and sub-precincts for consistent uses. </w:t>
                  </w:r>
                </w:p>
              </w:tc>
            </w:tr>
          </w:tbl>
          <w:p w:rsidR="00246D60" w:rsidRPr="00246D60" w:rsidRDefault="00246D60" w:rsidP="00246D60">
            <w:pPr>
              <w:spacing w:before="100" w:beforeAutospacing="1" w:after="100" w:afterAutospacing="1" w:line="240" w:lineRule="auto"/>
              <w:rPr>
                <w:rFonts w:ascii="Arial" w:eastAsia="Times New Roman" w:hAnsi="Arial" w:cs="Arial"/>
                <w:color w:val="000000"/>
                <w:sz w:val="20"/>
                <w:szCs w:val="20"/>
                <w:lang w:eastAsia="en-AU"/>
              </w:rPr>
            </w:pPr>
          </w:p>
        </w:tc>
        <w:tc>
          <w:tcPr>
            <w:tcW w:w="1564" w:type="pct"/>
            <w:tcMar>
              <w:top w:w="30" w:type="dxa"/>
              <w:left w:w="30" w:type="dxa"/>
              <w:bottom w:w="30" w:type="dxa"/>
              <w:right w:w="30" w:type="dxa"/>
            </w:tcMa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E3</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Development is in accordance with a Neighbourhood development plan.</w:t>
            </w:r>
          </w:p>
          <w:p w:rsidR="00246D60" w:rsidRPr="00246D60" w:rsidRDefault="00246D60" w:rsidP="00246D60">
            <w:pPr>
              <w:spacing w:before="100" w:beforeAutospacing="1" w:after="100" w:afterAutospacing="1" w:line="240" w:lineRule="auto"/>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br/>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OR</w:t>
            </w:r>
          </w:p>
          <w:p w:rsidR="00246D60" w:rsidRPr="00246D60" w:rsidRDefault="00246D60" w:rsidP="00246D60">
            <w:pPr>
              <w:spacing w:before="100" w:beforeAutospacing="1" w:after="100" w:afterAutospacing="1" w:line="240" w:lineRule="auto"/>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br/>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Lots comply with the following minimum sizes to facilitate appropriate uses and preferred scale and intensity of development:</w:t>
            </w:r>
          </w:p>
          <w:tbl>
            <w:tblPr>
              <w:tblW w:w="4590" w:type="dxa"/>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755"/>
              <w:gridCol w:w="1417"/>
              <w:gridCol w:w="1418"/>
            </w:tblGrid>
            <w:tr w:rsidR="000847DE" w:rsidRPr="00246D60" w:rsidTr="000847DE">
              <w:trPr>
                <w:tblCellSpacing w:w="15" w:type="dxa"/>
              </w:trPr>
              <w:tc>
                <w:tcPr>
                  <w:tcW w:w="1710" w:type="dxa"/>
                  <w:tcBorders>
                    <w:top w:val="outset" w:sz="6" w:space="0" w:color="auto"/>
                    <w:left w:val="outset" w:sz="6" w:space="0" w:color="auto"/>
                    <w:bottom w:val="outset" w:sz="6" w:space="0" w:color="auto"/>
                    <w:right w:val="outset" w:sz="6" w:space="0" w:color="auto"/>
                  </w:tcBorders>
                  <w:shd w:val="clear" w:color="auto" w:fill="CCCCCC"/>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Town centre precinct</w:t>
                  </w:r>
                </w:p>
              </w:tc>
              <w:tc>
                <w:tcPr>
                  <w:tcW w:w="1387" w:type="dxa"/>
                  <w:tcBorders>
                    <w:top w:val="outset" w:sz="6" w:space="0" w:color="auto"/>
                    <w:left w:val="outset" w:sz="6" w:space="0" w:color="auto"/>
                    <w:bottom w:val="outset" w:sz="6" w:space="0" w:color="auto"/>
                    <w:right w:val="outset" w:sz="6" w:space="0" w:color="auto"/>
                  </w:tcBorders>
                  <w:shd w:val="clear" w:color="auto" w:fill="CCCCCC"/>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Min. lot size</w:t>
                  </w:r>
                </w:p>
              </w:tc>
              <w:tc>
                <w:tcPr>
                  <w:tcW w:w="1373" w:type="dxa"/>
                  <w:tcBorders>
                    <w:top w:val="outset" w:sz="6" w:space="0" w:color="auto"/>
                    <w:left w:val="outset" w:sz="6" w:space="0" w:color="auto"/>
                    <w:bottom w:val="outset" w:sz="6" w:space="0" w:color="auto"/>
                    <w:right w:val="outset" w:sz="6" w:space="0" w:color="auto"/>
                  </w:tcBorders>
                  <w:shd w:val="clear" w:color="auto" w:fill="CCCCCC"/>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Min. frontage</w:t>
                  </w:r>
                </w:p>
              </w:tc>
            </w:tr>
            <w:tr w:rsidR="00246D60" w:rsidRPr="00246D60" w:rsidTr="000847DE">
              <w:trPr>
                <w:tblCellSpacing w:w="15" w:type="dxa"/>
              </w:trPr>
              <w:tc>
                <w:tcPr>
                  <w:tcW w:w="4530" w:type="dxa"/>
                  <w:gridSpan w:val="3"/>
                  <w:tcBorders>
                    <w:top w:val="outset" w:sz="6" w:space="0" w:color="auto"/>
                    <w:left w:val="outset" w:sz="6" w:space="0" w:color="auto"/>
                    <w:bottom w:val="outset" w:sz="6" w:space="0" w:color="auto"/>
                    <w:right w:val="outset" w:sz="6" w:space="0" w:color="auto"/>
                  </w:tcBorders>
                  <w:shd w:val="clear" w:color="auto" w:fill="CCCCCC"/>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Sub-precincts</w:t>
                  </w:r>
                </w:p>
              </w:tc>
            </w:tr>
            <w:tr w:rsidR="000847DE" w:rsidRPr="00246D60" w:rsidTr="000847DE">
              <w:trPr>
                <w:trHeight w:val="285"/>
                <w:tblCellSpacing w:w="15" w:type="dxa"/>
              </w:trPr>
              <w:tc>
                <w:tcPr>
                  <w:tcW w:w="1710" w:type="dxa"/>
                  <w:tcBorders>
                    <w:top w:val="outset" w:sz="6" w:space="0" w:color="auto"/>
                    <w:left w:val="outset" w:sz="6" w:space="0" w:color="auto"/>
                    <w:bottom w:val="outset" w:sz="6" w:space="0" w:color="auto"/>
                    <w:right w:val="outset" w:sz="6" w:space="0" w:color="auto"/>
                  </w:tcBorders>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All sub-precincts</w:t>
                  </w:r>
                </w:p>
              </w:tc>
              <w:tc>
                <w:tcPr>
                  <w:tcW w:w="1387" w:type="dxa"/>
                  <w:tcBorders>
                    <w:top w:val="outset" w:sz="6" w:space="0" w:color="auto"/>
                    <w:left w:val="outset" w:sz="6" w:space="0" w:color="auto"/>
                    <w:bottom w:val="outset" w:sz="6" w:space="0" w:color="auto"/>
                    <w:right w:val="outset" w:sz="6" w:space="0" w:color="auto"/>
                  </w:tcBorders>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1000m</w:t>
                  </w:r>
                  <w:r w:rsidRPr="00246D60">
                    <w:rPr>
                      <w:rFonts w:ascii="Arial" w:eastAsia="Times New Roman" w:hAnsi="Arial" w:cs="Arial"/>
                      <w:sz w:val="20"/>
                      <w:szCs w:val="20"/>
                      <w:vertAlign w:val="superscript"/>
                      <w:lang w:eastAsia="en-AU"/>
                    </w:rPr>
                    <w:t>2</w:t>
                  </w:r>
                </w:p>
              </w:tc>
              <w:tc>
                <w:tcPr>
                  <w:tcW w:w="1373" w:type="dxa"/>
                  <w:tcBorders>
                    <w:top w:val="outset" w:sz="6" w:space="0" w:color="auto"/>
                    <w:left w:val="outset" w:sz="6" w:space="0" w:color="auto"/>
                    <w:bottom w:val="outset" w:sz="6" w:space="0" w:color="auto"/>
                    <w:right w:val="outset" w:sz="6" w:space="0" w:color="auto"/>
                  </w:tcBorders>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40m</w:t>
                  </w:r>
                </w:p>
              </w:tc>
            </w:tr>
          </w:tbl>
          <w:p w:rsidR="00246D60" w:rsidRPr="00246D60" w:rsidRDefault="00246D60" w:rsidP="00246D60">
            <w:pPr>
              <w:spacing w:before="100" w:beforeAutospacing="1" w:after="100" w:afterAutospacing="1" w:line="240" w:lineRule="auto"/>
              <w:rPr>
                <w:rFonts w:ascii="Arial" w:eastAsia="Times New Roman" w:hAnsi="Arial" w:cs="Arial"/>
                <w:color w:val="000000"/>
                <w:sz w:val="20"/>
                <w:szCs w:val="20"/>
                <w:lang w:eastAsia="en-AU"/>
              </w:rPr>
            </w:pP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PO4</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The layout and frontage of lots does not result in:</w:t>
            </w:r>
          </w:p>
          <w:p w:rsidR="00246D60" w:rsidRPr="00246D60" w:rsidRDefault="00246D60" w:rsidP="00246D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vehicle crossings on street frontages identified in a Neighbourhood development plan that reflects the urban structure concept shown indicatively on Figure 7.2.3.2.5 - Driveway crossover restrictions; </w:t>
            </w:r>
          </w:p>
          <w:p w:rsidR="00246D60" w:rsidRPr="00246D60" w:rsidRDefault="00246D60" w:rsidP="00246D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additional vehicle cross overs that will impede pedestrian activity on the street frontage;</w:t>
            </w:r>
          </w:p>
          <w:p w:rsidR="00246D60" w:rsidRPr="00246D60" w:rsidRDefault="00246D60" w:rsidP="00246D6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lots having a primary street frontage of less than 20m are provided with a secondary street access for vehicle movement.</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E4</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Development is in accordance with a Neighbourhood development plan.</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PO5</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lastRenderedPageBreak/>
              <w:t xml:space="preserve">Shared vehicle access arrangements are </w:t>
            </w:r>
            <w:proofErr w:type="gramStart"/>
            <w:r w:rsidRPr="00246D60">
              <w:rPr>
                <w:rFonts w:ascii="Arial" w:eastAsia="Times New Roman" w:hAnsi="Arial" w:cs="Arial"/>
                <w:sz w:val="20"/>
                <w:szCs w:val="20"/>
                <w:lang w:eastAsia="en-AU"/>
              </w:rPr>
              <w:t>provided ,</w:t>
            </w:r>
            <w:proofErr w:type="gramEnd"/>
            <w:r w:rsidRPr="00246D60">
              <w:rPr>
                <w:rFonts w:ascii="Arial" w:eastAsia="Times New Roman" w:hAnsi="Arial" w:cs="Arial"/>
                <w:sz w:val="20"/>
                <w:szCs w:val="20"/>
                <w:lang w:eastAsia="en-AU"/>
              </w:rPr>
              <w:t xml:space="preserve"> where possible, between adjoining centre properties.</w:t>
            </w:r>
          </w:p>
          <w:tbl>
            <w:tblPr>
              <w:tblW w:w="49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7"/>
            </w:tblGrid>
            <w:tr w:rsidR="00246D60" w:rsidRPr="00246D60" w:rsidTr="000847DE">
              <w:trPr>
                <w:tblCellSpacing w:w="15" w:type="dxa"/>
              </w:trPr>
              <w:tc>
                <w:tcPr>
                  <w:tcW w:w="4857" w:type="dxa"/>
                  <w:vAlign w:val="cente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Note - An access easement may be required to be registered to ensure shared access between properties is permitted.</w:t>
                  </w:r>
                </w:p>
              </w:tc>
            </w:tr>
          </w:tbl>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lastRenderedPageBreak/>
              <w:t>E5</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lastRenderedPageBreak/>
              <w:t>Development is in accordance with a Neighbourhood development plan.</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PO6</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The creation of allotments on major streets when shown on a Neighbourhood development plan (refer Figure 7.2.3.2 Movement, major streets) does not adversely affect the safety and efficiency of the road network. New lots on higher order roads are provided with a secondary street access for vehicle movements. </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E6</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Development is in accordance with a Neighbourhood development plan.</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PO7</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Where adjacent to existing or proposed public spaces, reconfiguring a lot promotes safety, amenity and activity within the public space by facilitating connections to any existing footpaths or roadways. </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E7</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Development is in accordance with a Neighbourhood development plan.</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D3498" w:rsidRPr="00246D60" w:rsidTr="00CD3498">
        <w:trPr>
          <w:trHeight w:val="1080"/>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PO8</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Reconfiguring a lot does not compromise potential future connections with adjoining roadways, uses or lots by way of inappropriate boundary or road reserve locations. </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E8</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Development is in accordance with a Neighbourhood development plan.</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PO9</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The layout of the development results in the creation of a strong and positive identity through:</w:t>
            </w:r>
          </w:p>
          <w:p w:rsidR="00246D60" w:rsidRPr="00246D60" w:rsidRDefault="00246D60" w:rsidP="00246D60">
            <w:pPr>
              <w:numPr>
                <w:ilvl w:val="0"/>
                <w:numId w:val="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the provision of clearly legible movement and open space networks;</w:t>
            </w:r>
          </w:p>
          <w:p w:rsidR="00246D60" w:rsidRPr="00246D60" w:rsidRDefault="00246D60" w:rsidP="00246D60">
            <w:pPr>
              <w:numPr>
                <w:ilvl w:val="0"/>
                <w:numId w:val="4"/>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an appropriate design response to site and locality characteristics.</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E9</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Development is in accordance with a Neighbourhood development plan.</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D3498" w:rsidRPr="00246D60" w:rsidTr="00CD3498">
        <w:trPr>
          <w:trHeight w:val="2130"/>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lastRenderedPageBreak/>
              <w:t>PO10</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Lots do not compromise the viability of adjoining lots and provide for optimum integration with existing or future development on surrounding land, having regard to: </w:t>
            </w:r>
          </w:p>
          <w:p w:rsidR="00246D60" w:rsidRPr="00246D60" w:rsidRDefault="00246D60" w:rsidP="00246D60">
            <w:pPr>
              <w:numPr>
                <w:ilvl w:val="0"/>
                <w:numId w:val="5"/>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the connectivity of access and open space networks;</w:t>
            </w:r>
          </w:p>
          <w:p w:rsidR="00246D60" w:rsidRPr="00246D60" w:rsidRDefault="00246D60" w:rsidP="00246D60">
            <w:pPr>
              <w:numPr>
                <w:ilvl w:val="0"/>
                <w:numId w:val="5"/>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the efficient provisions of infrastructure;</w:t>
            </w:r>
          </w:p>
          <w:p w:rsidR="00246D60" w:rsidRPr="00246D60" w:rsidRDefault="00246D60" w:rsidP="00246D60">
            <w:pPr>
              <w:numPr>
                <w:ilvl w:val="0"/>
                <w:numId w:val="5"/>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the appropriate location of boundaries and road reserves.</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E10</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Development is in accordance with a Neighbourhood development plan.</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D3498" w:rsidRPr="00246D60" w:rsidTr="00CD3498">
        <w:trPr>
          <w:trHeight w:val="3465"/>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PO11</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Cul-de-sac or dead end streets are not proposed unless:</w:t>
            </w:r>
          </w:p>
          <w:p w:rsidR="00246D60" w:rsidRPr="00246D60" w:rsidRDefault="00246D60" w:rsidP="00246D60">
            <w:pPr>
              <w:numPr>
                <w:ilvl w:val="0"/>
                <w:numId w:val="6"/>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topography or other physical barriers exist to the continuance of the street network or connection to an existing road is not permitted; </w:t>
            </w:r>
          </w:p>
          <w:p w:rsidR="00246D60" w:rsidRPr="00246D60" w:rsidRDefault="00246D60" w:rsidP="00246D60">
            <w:pPr>
              <w:numPr>
                <w:ilvl w:val="0"/>
                <w:numId w:val="6"/>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there are no appropriate alternative solutions;</w:t>
            </w:r>
          </w:p>
          <w:p w:rsidR="00246D60" w:rsidRPr="00246D60" w:rsidRDefault="00246D60" w:rsidP="00246D60">
            <w:pPr>
              <w:numPr>
                <w:ilvl w:val="0"/>
                <w:numId w:val="6"/>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the cul-de-sac or dead end street will facilitate future connections to adjoining land or development.</w:t>
            </w:r>
          </w:p>
          <w:tbl>
            <w:tblPr>
              <w:tblW w:w="505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58"/>
            </w:tblGrid>
            <w:tr w:rsidR="00246D60" w:rsidRPr="00246D60" w:rsidTr="000847DE">
              <w:trPr>
                <w:tblCellSpacing w:w="15" w:type="dxa"/>
              </w:trPr>
              <w:tc>
                <w:tcPr>
                  <w:tcW w:w="4998" w:type="dxa"/>
                  <w:vAlign w:val="cente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Note - Refer to Planning scheme policy - Integrated design for guidance on how to achieve compliance with this outcome.</w:t>
                  </w:r>
                </w:p>
              </w:tc>
            </w:tr>
          </w:tbl>
          <w:p w:rsidR="00246D60" w:rsidRPr="00246D60" w:rsidRDefault="00246D60" w:rsidP="00246D60">
            <w:pPr>
              <w:spacing w:before="100" w:beforeAutospacing="1" w:after="100" w:afterAutospacing="1" w:line="240" w:lineRule="auto"/>
              <w:rPr>
                <w:rFonts w:ascii="Arial" w:eastAsia="Times New Roman" w:hAnsi="Arial" w:cs="Arial"/>
                <w:color w:val="000000"/>
                <w:sz w:val="20"/>
                <w:szCs w:val="20"/>
                <w:lang w:eastAsia="en-AU"/>
              </w:rPr>
            </w:pP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E11</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Development is in accordance with a Neighbourhood development plan.</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0847DE" w:rsidRPr="00246D60" w:rsidTr="00CD3498">
        <w:trPr>
          <w:tblCellSpacing w:w="15" w:type="dxa"/>
        </w:trPr>
        <w:tc>
          <w:tcPr>
            <w:tcW w:w="3271" w:type="pct"/>
            <w:gridSpan w:val="2"/>
            <w:shd w:val="clear" w:color="auto" w:fill="CCCCCC"/>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Reticulated supply</w:t>
            </w:r>
          </w:p>
        </w:tc>
        <w:tc>
          <w:tcPr>
            <w:tcW w:w="574"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6"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PO12</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Each lot is provided with an appropriate level of service and infrastructure commensurate with the Enterprise and employment precinct. All services, including water supply, stormwater management, sewage disposal, electricity, telecommunications and gas (if available) are provided in a manner that: </w:t>
            </w:r>
          </w:p>
          <w:p w:rsidR="00246D60" w:rsidRPr="00246D60" w:rsidRDefault="00246D60" w:rsidP="00246D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is efficient in delivery of service;</w:t>
            </w:r>
          </w:p>
          <w:p w:rsidR="00246D60" w:rsidRPr="00246D60" w:rsidRDefault="00246D60" w:rsidP="00246D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is effective in delivery of service;</w:t>
            </w:r>
          </w:p>
          <w:p w:rsidR="00246D60" w:rsidRPr="00246D60" w:rsidRDefault="00246D60" w:rsidP="00246D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lastRenderedPageBreak/>
              <w:t>is conveniently accessible in the event of maintenance or repair;</w:t>
            </w:r>
          </w:p>
          <w:p w:rsidR="00246D60" w:rsidRPr="00246D60" w:rsidRDefault="00246D60" w:rsidP="00246D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minimises whole of life cycle costs for that infrastructure;</w:t>
            </w:r>
          </w:p>
          <w:p w:rsidR="00246D60" w:rsidRPr="00246D60" w:rsidRDefault="00246D60" w:rsidP="00246D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minimises risk of potential adverse impacts on the natural and built environment;</w:t>
            </w:r>
          </w:p>
          <w:p w:rsidR="00246D60" w:rsidRPr="00246D60" w:rsidRDefault="00246D60" w:rsidP="00246D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minimises risk of potential adverse impact on amenity and character values;</w:t>
            </w:r>
          </w:p>
          <w:p w:rsidR="00246D60" w:rsidRPr="00246D60" w:rsidRDefault="00246D60" w:rsidP="00246D6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recognises and promotes Councils Total Water Cycle Management policy and the efficient use of water resources.</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lastRenderedPageBreak/>
              <w:t>E12</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New lots are provided with:</w:t>
            </w:r>
          </w:p>
          <w:p w:rsidR="00246D60" w:rsidRPr="00246D60" w:rsidRDefault="00246D60" w:rsidP="00246D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a connection to the reticulated water supply infrastructure network;</w:t>
            </w:r>
          </w:p>
          <w:p w:rsidR="00246D60" w:rsidRPr="00246D60" w:rsidRDefault="00246D60" w:rsidP="00246D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a connection to the reticulated sewerage infrastructure network;</w:t>
            </w:r>
          </w:p>
          <w:p w:rsidR="00246D60" w:rsidRPr="00246D60" w:rsidRDefault="00246D60" w:rsidP="00246D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a connection to the reticulated electricity infrastructure network;</w:t>
            </w:r>
          </w:p>
          <w:p w:rsidR="00246D60" w:rsidRPr="00246D60" w:rsidRDefault="00246D60" w:rsidP="00246D6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lastRenderedPageBreak/>
              <w:t xml:space="preserve">where available, access to a </w:t>
            </w:r>
            <w:proofErr w:type="gramStart"/>
            <w:r w:rsidRPr="00246D60">
              <w:rPr>
                <w:rFonts w:ascii="Arial" w:eastAsia="Times New Roman" w:hAnsi="Arial" w:cs="Arial"/>
                <w:sz w:val="20"/>
                <w:szCs w:val="20"/>
                <w:lang w:eastAsia="en-AU"/>
              </w:rPr>
              <w:t>high speed</w:t>
            </w:r>
            <w:proofErr w:type="gramEnd"/>
            <w:r w:rsidRPr="00246D60">
              <w:rPr>
                <w:rFonts w:ascii="Arial" w:eastAsia="Times New Roman" w:hAnsi="Arial" w:cs="Arial"/>
                <w:sz w:val="20"/>
                <w:szCs w:val="20"/>
                <w:lang w:eastAsia="en-AU"/>
              </w:rPr>
              <w:t xml:space="preserve"> telecommunication network.</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CD3498">
        <w:trPr>
          <w:tblCellSpacing w:w="15" w:type="dxa"/>
        </w:trPr>
        <w:tc>
          <w:tcPr>
            <w:tcW w:w="3271" w:type="pct"/>
            <w:gridSpan w:val="2"/>
            <w:shd w:val="clear" w:color="auto" w:fill="CCCCCC"/>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Street network</w:t>
            </w:r>
          </w:p>
        </w:tc>
        <w:tc>
          <w:tcPr>
            <w:tcW w:w="574"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6"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PO13</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The street network creates convenient access to major streets for heavy vehicles and commercial traffic without introducing through traffic to residential streets. The street network is designed in accordance with a Neighbourhood development plan that reflects the urban structure concept shown indicatively on Figure 7.2.3.2 - Movement, major streets, Figure 7.2.3.2.2 - Indicative street network, Figure 7.2.3.2.3 - Movement, key streets and connections. </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E13</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Development is in accordance with a Neighbourhood development plan.</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PO14</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The street network has sufficient reserve and pavement widths to cater for the current and intended function of the road in accordance with the road type in accordance with Planning scheme policy - Integrated design. </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E14</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Development is in accordance with a Neighbourhood development plan.</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PO15</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Street layouts are designed to connect to surrounding neighbourhoods by providing an interconnected street, pedestrian and cyclist networks that connects nearby centres, neighbourhood hubs, community facilities, public transport nodes and open space to residential areas for access and emergency management purposes. The layout ensures that new development is provided with multiple points of access. The timing of transport works ensures that </w:t>
            </w:r>
            <w:r w:rsidRPr="00246D60">
              <w:rPr>
                <w:rFonts w:ascii="Arial" w:eastAsia="Times New Roman" w:hAnsi="Arial" w:cs="Arial"/>
                <w:sz w:val="20"/>
                <w:szCs w:val="20"/>
                <w:lang w:eastAsia="en-AU"/>
              </w:rPr>
              <w:lastRenderedPageBreak/>
              <w:t xml:space="preserve">multiple points of access are provided during early stages of a development.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10"/>
            </w:tblGrid>
            <w:tr w:rsidR="00246D60" w:rsidRPr="00246D60" w:rsidTr="00246D60">
              <w:trPr>
                <w:tblCellSpacing w:w="15" w:type="dxa"/>
              </w:trPr>
              <w:tc>
                <w:tcPr>
                  <w:tcW w:w="8820" w:type="dxa"/>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r w:rsidRPr="00246D60">
                    <w:rPr>
                      <w:rFonts w:ascii="Arial" w:eastAsia="Times New Roman" w:hAnsi="Arial" w:cs="Arial"/>
                      <w:sz w:val="20"/>
                      <w:szCs w:val="20"/>
                      <w:lang w:eastAsia="en-AU"/>
                    </w:rPr>
                    <w:t>Note - Refer to</w:t>
                  </w:r>
                  <w:r w:rsidRPr="00246D60">
                    <w:rPr>
                      <w:rFonts w:ascii="Arial" w:eastAsia="Times New Roman" w:hAnsi="Arial" w:cs="Arial"/>
                      <w:i/>
                      <w:iCs/>
                      <w:sz w:val="20"/>
                      <w:szCs w:val="20"/>
                      <w:lang w:eastAsia="en-AU"/>
                    </w:rPr>
                    <w:t xml:space="preserve"> </w:t>
                  </w:r>
                  <w:r w:rsidRPr="00246D60">
                    <w:rPr>
                      <w:rFonts w:ascii="Arial" w:eastAsia="Times New Roman" w:hAnsi="Arial" w:cs="Arial"/>
                      <w:sz w:val="20"/>
                      <w:szCs w:val="20"/>
                      <w:lang w:eastAsia="en-AU"/>
                    </w:rPr>
                    <w:t xml:space="preserve">Planning scheme policy - Neighbourhood design for guidance on when alternative access points should be provided for emergency management purposes. </w:t>
                  </w:r>
                </w:p>
              </w:tc>
            </w:tr>
          </w:tbl>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lastRenderedPageBreak/>
              <w:t>E15</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Development is in accordance with a Neighbourhood development plan.</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CD3498">
        <w:trPr>
          <w:tblCellSpacing w:w="15" w:type="dxa"/>
        </w:trPr>
        <w:tc>
          <w:tcPr>
            <w:tcW w:w="3271" w:type="pct"/>
            <w:gridSpan w:val="2"/>
            <w:shd w:val="clear" w:color="auto" w:fill="CCCCCC"/>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Stormwater location and design</w:t>
            </w:r>
          </w:p>
        </w:tc>
        <w:tc>
          <w:tcPr>
            <w:tcW w:w="574"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16"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PO16</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Lots are of a sufficient grade to accommodate effective stormwater drainage to a lawful point of discharge.</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E16</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The surface level of a lot is at a minimum grade of 1:100 and slopes towards the street frontage, or other lawful point of discharge. </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PO17</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The development is planned and designed considering:</w:t>
            </w:r>
          </w:p>
          <w:p w:rsidR="00246D60" w:rsidRPr="00246D60" w:rsidRDefault="00246D60" w:rsidP="00246D60">
            <w:pPr>
              <w:numPr>
                <w:ilvl w:val="0"/>
                <w:numId w:val="9"/>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the land use constraints of the site;</w:t>
            </w:r>
          </w:p>
          <w:p w:rsidR="00246D60" w:rsidRPr="00246D60" w:rsidRDefault="00246D60" w:rsidP="00246D60">
            <w:pPr>
              <w:numPr>
                <w:ilvl w:val="0"/>
                <w:numId w:val="9"/>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water sensitive urban design principles.</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No example provided.</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PO18</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Stormwater drainage pipes and structures through or within private land are protected by easements in favour of Council with sufficient area for practical access for maintenance. </w:t>
            </w:r>
          </w:p>
          <w:tbl>
            <w:tblPr>
              <w:tblW w:w="505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58"/>
            </w:tblGrid>
            <w:tr w:rsidR="00246D60" w:rsidRPr="00246D60" w:rsidTr="000847DE">
              <w:trPr>
                <w:tblCellSpacing w:w="15" w:type="dxa"/>
              </w:trPr>
              <w:tc>
                <w:tcPr>
                  <w:tcW w:w="4998" w:type="dxa"/>
                  <w:vAlign w:val="cente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Note - Refer to Planning scheme policy - Integrated design for guidance on how to demonstrate achievement of this performance outcome. </w:t>
                  </w:r>
                </w:p>
              </w:tc>
            </w:tr>
          </w:tbl>
          <w:p w:rsidR="00246D60" w:rsidRPr="00246D60" w:rsidRDefault="00246D60" w:rsidP="00246D60">
            <w:pPr>
              <w:spacing w:before="100" w:beforeAutospacing="1" w:after="100" w:afterAutospacing="1" w:line="240" w:lineRule="auto"/>
              <w:rPr>
                <w:rFonts w:ascii="Arial" w:eastAsia="Times New Roman" w:hAnsi="Arial" w:cs="Arial"/>
                <w:color w:val="000000"/>
                <w:sz w:val="20"/>
                <w:szCs w:val="20"/>
                <w:lang w:eastAsia="en-AU"/>
              </w:rPr>
            </w:pP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No example provided.</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PO19</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Stormwater management facilities are located outside of riparian areas and prevent increased channel bed and bank erosion.</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No example provided.</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r>
    </w:tbl>
    <w:p w:rsidR="00CD3498" w:rsidRDefault="00CD3498">
      <w:bookmarkStart w:id="0" w:name="_GoBack"/>
      <w:bookmarkEnd w:id="0"/>
    </w:p>
    <w:tbl>
      <w:tblPr>
        <w:tblW w:w="4951"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5203"/>
        <w:gridCol w:w="4814"/>
        <w:gridCol w:w="1776"/>
        <w:gridCol w:w="3438"/>
      </w:tblGrid>
      <w:tr w:rsidR="00CD3498" w:rsidRPr="00246D60" w:rsidTr="00CD3498">
        <w:trPr>
          <w:trHeight w:val="1065"/>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lastRenderedPageBreak/>
              <w:t>PO20</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Natural streams and riparian vegetation are retained and enhanced through revegetation.</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No example provided.</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PO21</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Areas constructed as detention basins are adaptable for passive recreation.</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No example provided.</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PO22</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Development maintains and improves the environmental values of waterway ecosystems.</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No example provided.</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PO23</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Constructed waterbodies proposed to be dedicated as public assets are to be avoided.</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No example provided.</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0847DE" w:rsidRPr="00246D60" w:rsidTr="00CD3498">
        <w:trPr>
          <w:tblCellSpacing w:w="15" w:type="dxa"/>
        </w:trPr>
        <w:tc>
          <w:tcPr>
            <w:tcW w:w="3271" w:type="pct"/>
            <w:gridSpan w:val="2"/>
            <w:shd w:val="clear" w:color="auto" w:fill="CCCCCC"/>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Stormwater management system</w:t>
            </w:r>
          </w:p>
        </w:tc>
        <w:tc>
          <w:tcPr>
            <w:tcW w:w="574"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PO24</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The major drainage system has the capacity to safely convey stormwater flows for the defined flood event (DFE).</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E24</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The roads, drainage pathways, drainage features and waterways safely convey the stormwater flows for the defined flood event (DFE) without allowing flows to encroach upon private lots. </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PO25</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Overland flow paths (for any storm event) from roads and public open space areas do not pass through private lots.</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E25</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Drainage pathways are provided to accommodate overland flows from roads and public open space areas</w:t>
            </w:r>
            <w:r w:rsidRPr="00246D60">
              <w:rPr>
                <w:rFonts w:ascii="Arial" w:eastAsia="Times New Roman" w:hAnsi="Arial" w:cs="Arial"/>
                <w:i/>
                <w:iCs/>
                <w:color w:val="000000"/>
                <w:sz w:val="20"/>
                <w:szCs w:val="20"/>
                <w:lang w:eastAsia="en-AU"/>
              </w:rPr>
              <w:t>.</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D3498" w:rsidRPr="00246D60" w:rsidTr="00CD3498">
        <w:trPr>
          <w:trHeight w:val="1530"/>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PO26</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Development achieves design objectives in Tables A and B in Appendix 2 of the SPP.</w:t>
            </w:r>
          </w:p>
          <w:tbl>
            <w:tblPr>
              <w:tblW w:w="505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58"/>
            </w:tblGrid>
            <w:tr w:rsidR="00246D60" w:rsidRPr="00246D60" w:rsidTr="000847DE">
              <w:trPr>
                <w:tblCellSpacing w:w="15" w:type="dxa"/>
              </w:trPr>
              <w:tc>
                <w:tcPr>
                  <w:tcW w:w="4998" w:type="dxa"/>
                  <w:vAlign w:val="cente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Note - To demonstrate achievement of this performance outcome, a stormwater quality management is prepared by a suitably qualified person in accordance with Planning scheme policy - Stormwater management. </w:t>
                  </w:r>
                </w:p>
              </w:tc>
            </w:tr>
          </w:tbl>
          <w:p w:rsidR="00246D60" w:rsidRPr="00246D60" w:rsidRDefault="00246D60" w:rsidP="00246D60">
            <w:pPr>
              <w:spacing w:before="100" w:beforeAutospacing="1" w:after="100" w:afterAutospacing="1" w:line="240" w:lineRule="auto"/>
              <w:rPr>
                <w:rFonts w:ascii="Arial" w:eastAsia="Times New Roman" w:hAnsi="Arial" w:cs="Arial"/>
                <w:color w:val="000000"/>
                <w:sz w:val="20"/>
                <w:szCs w:val="20"/>
                <w:lang w:eastAsia="en-AU"/>
              </w:rPr>
            </w:pP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No example provided.</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lastRenderedPageBreak/>
              <w:t>PO27</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The stormwater management system is designed to:</w:t>
            </w:r>
          </w:p>
          <w:p w:rsidR="00246D60" w:rsidRPr="00246D60" w:rsidRDefault="00246D60" w:rsidP="00246D60">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protect the environmental values in downstream waterways;</w:t>
            </w:r>
          </w:p>
          <w:p w:rsidR="00246D60" w:rsidRPr="00246D60" w:rsidRDefault="00246D60" w:rsidP="00246D60">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maintain ground water recharge areas;</w:t>
            </w:r>
          </w:p>
          <w:p w:rsidR="00246D60" w:rsidRPr="00246D60" w:rsidRDefault="00246D60" w:rsidP="00246D60">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preserve existing natural wetlands and associated buffers;</w:t>
            </w:r>
          </w:p>
          <w:p w:rsidR="00246D60" w:rsidRPr="00246D60" w:rsidRDefault="00246D60" w:rsidP="00246D60">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avoid disturbing soils or sediments;</w:t>
            </w:r>
          </w:p>
          <w:p w:rsidR="00246D60" w:rsidRPr="00246D60" w:rsidRDefault="00246D60" w:rsidP="00246D60">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avoid altering the natural hydrologic regime in acid sulphate soil and nutrient hazardous areas;</w:t>
            </w:r>
          </w:p>
          <w:p w:rsidR="00246D60" w:rsidRPr="00246D60" w:rsidRDefault="00246D60" w:rsidP="00246D60">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maintain and improve receiving water quality;</w:t>
            </w:r>
          </w:p>
          <w:p w:rsidR="00246D60" w:rsidRPr="00246D60" w:rsidRDefault="00246D60" w:rsidP="00246D60">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protect natural waterway configuration;</w:t>
            </w:r>
          </w:p>
          <w:p w:rsidR="00246D60" w:rsidRPr="00246D60" w:rsidRDefault="00246D60" w:rsidP="00246D60">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protect natural wetlands and vegetation;</w:t>
            </w:r>
          </w:p>
          <w:p w:rsidR="00246D60" w:rsidRPr="00246D60" w:rsidRDefault="00246D60" w:rsidP="00246D60">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protect downstream and adjacent properties;</w:t>
            </w:r>
          </w:p>
          <w:p w:rsidR="00246D60" w:rsidRPr="00246D60" w:rsidRDefault="00246D60" w:rsidP="00246D60">
            <w:pPr>
              <w:numPr>
                <w:ilvl w:val="0"/>
                <w:numId w:val="10"/>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protect and enhance riparian areas.</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No example provided.</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PO28</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Design and construction of the stormwater management system:</w:t>
            </w:r>
          </w:p>
          <w:p w:rsidR="00246D60" w:rsidRPr="00246D60" w:rsidRDefault="00246D60" w:rsidP="00246D60">
            <w:pPr>
              <w:numPr>
                <w:ilvl w:val="0"/>
                <w:numId w:val="1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utilise methods and materials to minimise the whole of lifecycle costs of the stormwater management system;</w:t>
            </w:r>
          </w:p>
          <w:p w:rsidR="00246D60" w:rsidRPr="00246D60" w:rsidRDefault="00246D60" w:rsidP="00246D60">
            <w:pPr>
              <w:numPr>
                <w:ilvl w:val="0"/>
                <w:numId w:val="1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are coordinated with civil and </w:t>
            </w:r>
            <w:proofErr w:type="gramStart"/>
            <w:r w:rsidRPr="00246D60">
              <w:rPr>
                <w:rFonts w:ascii="Arial" w:eastAsia="Times New Roman" w:hAnsi="Arial" w:cs="Arial"/>
                <w:color w:val="000000"/>
                <w:sz w:val="20"/>
                <w:szCs w:val="20"/>
                <w:lang w:eastAsia="en-AU"/>
              </w:rPr>
              <w:t>other</w:t>
            </w:r>
            <w:proofErr w:type="gramEnd"/>
            <w:r w:rsidRPr="00246D60">
              <w:rPr>
                <w:rFonts w:ascii="Arial" w:eastAsia="Times New Roman" w:hAnsi="Arial" w:cs="Arial"/>
                <w:color w:val="000000"/>
                <w:sz w:val="20"/>
                <w:szCs w:val="20"/>
                <w:lang w:eastAsia="en-AU"/>
              </w:rPr>
              <w:t xml:space="preserve"> landscaping works.</w:t>
            </w:r>
          </w:p>
          <w:tbl>
            <w:tblPr>
              <w:tblW w:w="505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58"/>
            </w:tblGrid>
            <w:tr w:rsidR="00246D60" w:rsidRPr="00246D60" w:rsidTr="000847DE">
              <w:trPr>
                <w:tblCellSpacing w:w="15" w:type="dxa"/>
              </w:trPr>
              <w:tc>
                <w:tcPr>
                  <w:tcW w:w="4998" w:type="dxa"/>
                  <w:vAlign w:val="cente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Note - Refer to Planning scheme policy - Integrated design for guidance on how to demonstrate achievement of this performance outcome. </w:t>
                  </w:r>
                </w:p>
              </w:tc>
            </w:tr>
          </w:tbl>
          <w:p w:rsidR="00246D60" w:rsidRPr="00246D60" w:rsidRDefault="00246D60" w:rsidP="00246D60">
            <w:pPr>
              <w:spacing w:before="100" w:beforeAutospacing="1" w:after="100" w:afterAutospacing="1" w:line="240" w:lineRule="auto"/>
              <w:rPr>
                <w:rFonts w:ascii="Arial" w:eastAsia="Times New Roman" w:hAnsi="Arial" w:cs="Arial"/>
                <w:color w:val="000000"/>
                <w:sz w:val="20"/>
                <w:szCs w:val="20"/>
                <w:lang w:eastAsia="en-AU"/>
              </w:rPr>
            </w:pP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No example provided.</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CD3498" w:rsidRPr="00246D60" w:rsidTr="00CD3498">
        <w:trPr>
          <w:trHeight w:val="2640"/>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lastRenderedPageBreak/>
              <w:t>PO29</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Where associated with a minor green corridor (refer Figure 7.2.3.4 - Green network and open space</w:t>
            </w:r>
            <w:proofErr w:type="gramStart"/>
            <w:r w:rsidRPr="00246D60">
              <w:rPr>
                <w:rFonts w:ascii="Arial" w:eastAsia="Times New Roman" w:hAnsi="Arial" w:cs="Arial"/>
                <w:color w:val="000000"/>
                <w:sz w:val="20"/>
                <w:szCs w:val="20"/>
                <w:lang w:eastAsia="en-AU"/>
              </w:rPr>
              <w:t>),development</w:t>
            </w:r>
            <w:proofErr w:type="gramEnd"/>
            <w:r w:rsidRPr="00246D60">
              <w:rPr>
                <w:rFonts w:ascii="Arial" w:eastAsia="Times New Roman" w:hAnsi="Arial" w:cs="Arial"/>
                <w:color w:val="000000"/>
                <w:sz w:val="20"/>
                <w:szCs w:val="20"/>
                <w:lang w:eastAsia="en-AU"/>
              </w:rPr>
              <w:t xml:space="preserve"> will adopt bio-retention systems for stormwater treatment that recognises and promotes Councils Total Water Cycle Management policy and the efficient use of water resources. </w:t>
            </w:r>
          </w:p>
          <w:tbl>
            <w:tblPr>
              <w:tblW w:w="505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58"/>
            </w:tblGrid>
            <w:tr w:rsidR="00246D60" w:rsidRPr="00246D60" w:rsidTr="000847DE">
              <w:trPr>
                <w:tblCellSpacing w:w="15" w:type="dxa"/>
              </w:trPr>
              <w:tc>
                <w:tcPr>
                  <w:tcW w:w="4998" w:type="dxa"/>
                  <w:vAlign w:val="cente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Note - To determine the standards for stormwater management system construction refer to Planning scheme policy - Integrated design. </w:t>
                  </w:r>
                </w:p>
              </w:tc>
            </w:tr>
          </w:tbl>
          <w:p w:rsidR="00246D60" w:rsidRPr="00246D60" w:rsidRDefault="00246D60" w:rsidP="00246D60">
            <w:pPr>
              <w:spacing w:before="100" w:beforeAutospacing="1" w:after="100" w:afterAutospacing="1" w:line="240" w:lineRule="auto"/>
              <w:rPr>
                <w:rFonts w:ascii="Arial" w:eastAsia="Times New Roman" w:hAnsi="Arial" w:cs="Arial"/>
                <w:color w:val="000000"/>
                <w:sz w:val="20"/>
                <w:szCs w:val="20"/>
                <w:lang w:eastAsia="en-AU"/>
              </w:rPr>
            </w:pP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No example provided.</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0847DE" w:rsidRPr="00246D60" w:rsidTr="00CD3498">
        <w:trPr>
          <w:tblCellSpacing w:w="15" w:type="dxa"/>
        </w:trPr>
        <w:tc>
          <w:tcPr>
            <w:tcW w:w="3271" w:type="pct"/>
            <w:gridSpan w:val="2"/>
            <w:shd w:val="clear" w:color="auto" w:fill="CCCCCC"/>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Boundary realignment</w:t>
            </w:r>
          </w:p>
        </w:tc>
        <w:tc>
          <w:tcPr>
            <w:tcW w:w="574"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PO30</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Boundaries </w:t>
            </w:r>
            <w:proofErr w:type="gramStart"/>
            <w:r w:rsidRPr="00246D60">
              <w:rPr>
                <w:rFonts w:ascii="Arial" w:eastAsia="Times New Roman" w:hAnsi="Arial" w:cs="Arial"/>
                <w:color w:val="000000"/>
                <w:sz w:val="20"/>
                <w:szCs w:val="20"/>
                <w:lang w:eastAsia="en-AU"/>
              </w:rPr>
              <w:t>realignment:-</w:t>
            </w:r>
            <w:proofErr w:type="gramEnd"/>
          </w:p>
          <w:p w:rsidR="00246D60" w:rsidRPr="00246D60" w:rsidRDefault="00246D60" w:rsidP="00246D60">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does not result in the creation, or in the potential creation of, additional lots;</w:t>
            </w:r>
          </w:p>
          <w:p w:rsidR="00246D60" w:rsidRPr="00246D60" w:rsidRDefault="00246D60" w:rsidP="00246D60">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is an improvement on the existing land use situation;</w:t>
            </w:r>
          </w:p>
          <w:p w:rsidR="00246D60" w:rsidRPr="00246D60" w:rsidRDefault="00246D60" w:rsidP="00246D60">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do not result in existing land uses on-site becoming non-compliant with planning scheme criteria;</w:t>
            </w:r>
          </w:p>
          <w:p w:rsidR="00246D60" w:rsidRPr="00246D60" w:rsidRDefault="00246D60" w:rsidP="00246D60">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results in lots which have appropriate size, dimensions and access to cater for uses consistent with the precinct, sub-precinct and any other relevant other precinct; </w:t>
            </w:r>
          </w:p>
          <w:p w:rsidR="00246D60" w:rsidRPr="00246D60" w:rsidRDefault="00246D60" w:rsidP="00246D60">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infrastructure and services are wholly contained within the lot they serve;</w:t>
            </w:r>
          </w:p>
          <w:p w:rsidR="00246D60" w:rsidRPr="00246D60" w:rsidRDefault="00246D60" w:rsidP="00246D60">
            <w:pPr>
              <w:numPr>
                <w:ilvl w:val="0"/>
                <w:numId w:val="12"/>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ensures the uninterrupted continuation of lots providing for their own private servicing.</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No example provided.</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0847DE" w:rsidRPr="00246D60" w:rsidTr="00CD3498">
        <w:trPr>
          <w:tblCellSpacing w:w="15" w:type="dxa"/>
        </w:trPr>
        <w:tc>
          <w:tcPr>
            <w:tcW w:w="3271" w:type="pct"/>
            <w:gridSpan w:val="2"/>
            <w:shd w:val="clear" w:color="auto" w:fill="CCCCCC"/>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Reconfiguring a lot other than creating freehold lots</w:t>
            </w:r>
          </w:p>
        </w:tc>
        <w:tc>
          <w:tcPr>
            <w:tcW w:w="574"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PO31</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Reconfiguring a lot which creates or amends a community title scheme as described in the </w:t>
            </w:r>
            <w:r w:rsidRPr="00246D60">
              <w:rPr>
                <w:rFonts w:ascii="Arial" w:eastAsia="Times New Roman" w:hAnsi="Arial" w:cs="Arial"/>
                <w:i/>
                <w:iCs/>
                <w:color w:val="000000"/>
                <w:sz w:val="20"/>
                <w:szCs w:val="20"/>
                <w:lang w:eastAsia="en-AU"/>
              </w:rPr>
              <w:t>Body Corporate and Community Management Act 199</w:t>
            </w:r>
            <w:r w:rsidRPr="00246D60">
              <w:rPr>
                <w:rFonts w:ascii="Arial" w:eastAsia="Times New Roman" w:hAnsi="Arial" w:cs="Arial"/>
                <w:color w:val="000000"/>
                <w:sz w:val="20"/>
                <w:szCs w:val="20"/>
                <w:lang w:eastAsia="en-AU"/>
              </w:rPr>
              <w:t xml:space="preserve">7 is undertaken in a way that does not result in existing </w:t>
            </w:r>
            <w:r w:rsidRPr="00246D60">
              <w:rPr>
                <w:rFonts w:ascii="Arial" w:eastAsia="Times New Roman" w:hAnsi="Arial" w:cs="Arial"/>
                <w:color w:val="000000"/>
                <w:sz w:val="20"/>
                <w:szCs w:val="20"/>
                <w:lang w:eastAsia="en-AU"/>
              </w:rPr>
              <w:lastRenderedPageBreak/>
              <w:t xml:space="preserve">uses on the land becoming unlawful or otherwise operating in a manner that is: </w:t>
            </w:r>
          </w:p>
          <w:p w:rsidR="00246D60" w:rsidRPr="00246D60" w:rsidRDefault="00246D60" w:rsidP="00246D60">
            <w:pPr>
              <w:numPr>
                <w:ilvl w:val="0"/>
                <w:numId w:val="13"/>
              </w:numPr>
              <w:spacing w:before="100" w:beforeAutospacing="1" w:after="100" w:afterAutospacing="1" w:line="240" w:lineRule="auto"/>
              <w:ind w:left="4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inconsistent with any approvals on which those uses rely; or</w:t>
            </w:r>
          </w:p>
          <w:p w:rsidR="00246D60" w:rsidRPr="00246D60" w:rsidRDefault="00246D60" w:rsidP="00246D60">
            <w:pPr>
              <w:numPr>
                <w:ilvl w:val="0"/>
                <w:numId w:val="13"/>
              </w:numPr>
              <w:spacing w:before="100" w:beforeAutospacing="1" w:after="100" w:afterAutospacing="1" w:line="240" w:lineRule="auto"/>
              <w:ind w:left="4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inconsistent with the requirements for accepted development applying to those uses at the time that they were established.</w:t>
            </w:r>
          </w:p>
          <w:tbl>
            <w:tblPr>
              <w:tblW w:w="505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58"/>
            </w:tblGrid>
            <w:tr w:rsidR="00246D60" w:rsidRPr="00246D60" w:rsidTr="000847DE">
              <w:trPr>
                <w:trHeight w:val="1125"/>
                <w:tblCellSpacing w:w="15" w:type="dxa"/>
              </w:trPr>
              <w:tc>
                <w:tcPr>
                  <w:tcW w:w="4998" w:type="dxa"/>
                  <w:vAlign w:val="cente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Note -An examples of land uses becoming unlawful includes, but are not limited to the following land on which a building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 </w:t>
                  </w:r>
                </w:p>
              </w:tc>
            </w:tr>
            <w:tr w:rsidR="00246D60" w:rsidRPr="00246D60" w:rsidTr="000847DE">
              <w:trPr>
                <w:tblCellSpacing w:w="15" w:type="dxa"/>
              </w:trPr>
              <w:tc>
                <w:tcPr>
                  <w:tcW w:w="4998" w:type="dxa"/>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Editor's note - To satisfy this performance outcome, the development application may need to be a combined application for reconfiguring a lot and a material change of use or otherwise be supported by details that confirm that the land use still satisfies all relevant land use requirements. </w:t>
                  </w:r>
                </w:p>
              </w:tc>
            </w:tr>
          </w:tbl>
          <w:p w:rsidR="00246D60" w:rsidRPr="00246D60" w:rsidRDefault="00246D60" w:rsidP="00246D60">
            <w:pPr>
              <w:spacing w:before="100" w:beforeAutospacing="1" w:after="100" w:afterAutospacing="1" w:line="240" w:lineRule="auto"/>
              <w:rPr>
                <w:rFonts w:ascii="Arial" w:eastAsia="Times New Roman" w:hAnsi="Arial" w:cs="Arial"/>
                <w:color w:val="000000"/>
                <w:sz w:val="20"/>
                <w:szCs w:val="20"/>
                <w:lang w:eastAsia="en-AU"/>
              </w:rPr>
            </w:pP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lastRenderedPageBreak/>
              <w:t>No example provided.</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0847DE" w:rsidRPr="00246D60" w:rsidTr="00CD3498">
        <w:trPr>
          <w:tblCellSpacing w:w="15" w:type="dxa"/>
        </w:trPr>
        <w:tc>
          <w:tcPr>
            <w:tcW w:w="3271" w:type="pct"/>
            <w:gridSpan w:val="2"/>
            <w:shd w:val="clear" w:color="auto" w:fill="CCCCCC"/>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Reconfiguring by Lease</w:t>
            </w:r>
          </w:p>
        </w:tc>
        <w:tc>
          <w:tcPr>
            <w:tcW w:w="574"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PO32</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Reconfiguring a lot which divides land or buildings by lease in a way that allows separate occupation or use of those facilities is undertaken in a way that does not result in existing uses on the land becoming unlawful or otherwise operating in a manner that is: </w:t>
            </w:r>
          </w:p>
          <w:p w:rsidR="00246D60" w:rsidRPr="00246D60" w:rsidRDefault="00246D60" w:rsidP="00246D60">
            <w:pPr>
              <w:numPr>
                <w:ilvl w:val="0"/>
                <w:numId w:val="14"/>
              </w:numPr>
              <w:spacing w:before="100" w:beforeAutospacing="1" w:after="100" w:afterAutospacing="1" w:line="240" w:lineRule="auto"/>
              <w:ind w:left="4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inconsistent with any approvals on which those uses rely; or</w:t>
            </w:r>
          </w:p>
          <w:p w:rsidR="00246D60" w:rsidRPr="00246D60" w:rsidRDefault="00246D60" w:rsidP="00246D60">
            <w:pPr>
              <w:numPr>
                <w:ilvl w:val="0"/>
                <w:numId w:val="14"/>
              </w:numPr>
              <w:spacing w:before="100" w:beforeAutospacing="1" w:after="100" w:afterAutospacing="1" w:line="240" w:lineRule="auto"/>
              <w:ind w:left="4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inconsistent with the requirements for accepted development applying to those uses at the time that they were established.</w:t>
            </w:r>
          </w:p>
          <w:tbl>
            <w:tblPr>
              <w:tblW w:w="505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58"/>
            </w:tblGrid>
            <w:tr w:rsidR="00246D60" w:rsidRPr="00246D60" w:rsidTr="000847DE">
              <w:trPr>
                <w:tblCellSpacing w:w="15" w:type="dxa"/>
              </w:trPr>
              <w:tc>
                <w:tcPr>
                  <w:tcW w:w="4998" w:type="dxa"/>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r w:rsidRPr="00246D60">
                    <w:rPr>
                      <w:rFonts w:ascii="Arial" w:eastAsia="Times New Roman" w:hAnsi="Arial" w:cs="Arial"/>
                      <w:sz w:val="20"/>
                      <w:szCs w:val="20"/>
                      <w:lang w:eastAsia="en-AU"/>
                    </w:rPr>
                    <w:lastRenderedPageBreak/>
                    <w:t xml:space="preserve">Note - An example of a land use becoming unlawful is a building over which one or more leases have been created in a way that precludes lawful access to some of the required communal facilities. Some of the communal car parking facilities have been incorporated into lease areas while other leases </w:t>
                  </w:r>
                  <w:proofErr w:type="gramStart"/>
                  <w:r w:rsidRPr="00246D60">
                    <w:rPr>
                      <w:rFonts w:ascii="Arial" w:eastAsia="Times New Roman" w:hAnsi="Arial" w:cs="Arial"/>
                      <w:sz w:val="20"/>
                      <w:szCs w:val="20"/>
                      <w:lang w:eastAsia="en-AU"/>
                    </w:rPr>
                    <w:t>are located in</w:t>
                  </w:r>
                  <w:proofErr w:type="gramEnd"/>
                  <w:r w:rsidRPr="00246D60">
                    <w:rPr>
                      <w:rFonts w:ascii="Arial" w:eastAsia="Times New Roman" w:hAnsi="Arial" w:cs="Arial"/>
                      <w:sz w:val="20"/>
                      <w:szCs w:val="20"/>
                      <w:lang w:eastAsia="en-AU"/>
                    </w:rPr>
                    <w:t xml:space="preserve">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building. </w:t>
                  </w:r>
                </w:p>
              </w:tc>
            </w:tr>
          </w:tbl>
          <w:p w:rsidR="000847DE" w:rsidRDefault="000847DE"/>
          <w:tbl>
            <w:tblPr>
              <w:tblW w:w="505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58"/>
            </w:tblGrid>
            <w:tr w:rsidR="00246D60" w:rsidRPr="00246D60" w:rsidTr="000847DE">
              <w:trPr>
                <w:tblCellSpacing w:w="15" w:type="dxa"/>
              </w:trPr>
              <w:tc>
                <w:tcPr>
                  <w:tcW w:w="4998" w:type="dxa"/>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Editor's note -To satisfy this performance outcome, the development application may need to be supported by details that confirm that the land use still satisfies all relevant land use requirements. </w:t>
                  </w:r>
                </w:p>
              </w:tc>
            </w:tr>
          </w:tbl>
          <w:p w:rsidR="00246D60" w:rsidRPr="00246D60" w:rsidRDefault="00246D60" w:rsidP="00246D60">
            <w:pPr>
              <w:spacing w:before="100" w:beforeAutospacing="1" w:after="100" w:afterAutospacing="1" w:line="240" w:lineRule="auto"/>
              <w:rPr>
                <w:rFonts w:ascii="Arial" w:eastAsia="Times New Roman" w:hAnsi="Arial" w:cs="Arial"/>
                <w:vanish/>
                <w:color w:val="000000"/>
                <w:sz w:val="20"/>
                <w:szCs w:val="20"/>
                <w:lang w:eastAsia="en-AU"/>
              </w:rPr>
            </w:pPr>
          </w:p>
          <w:p w:rsidR="000847DE" w:rsidRDefault="000847DE"/>
          <w:tbl>
            <w:tblPr>
              <w:tblW w:w="505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58"/>
            </w:tblGrid>
            <w:tr w:rsidR="00246D60" w:rsidRPr="00246D60" w:rsidTr="000847DE">
              <w:trPr>
                <w:tblCellSpacing w:w="15" w:type="dxa"/>
              </w:trPr>
              <w:tc>
                <w:tcPr>
                  <w:tcW w:w="4998" w:type="dxa"/>
                  <w:vAlign w:val="cente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Editor’s note – Under the definition in Schedule 2 of the Act, the following do not constitute reconfiguring a lot and are not subject to this performance outcome: </w:t>
                  </w:r>
                </w:p>
                <w:p w:rsidR="00246D60" w:rsidRPr="00246D60" w:rsidRDefault="00246D60" w:rsidP="00246D6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a lease for a term, including renewal options, not exceeding 10 years; and</w:t>
                  </w:r>
                </w:p>
                <w:p w:rsidR="00246D60" w:rsidRPr="00246D60" w:rsidRDefault="00246D60" w:rsidP="00246D6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an agreement for the exclusive use of part of the common property for a community titles scheme under the </w:t>
                  </w:r>
                  <w:r w:rsidRPr="00246D60">
                    <w:rPr>
                      <w:rFonts w:ascii="Arial" w:eastAsia="Times New Roman" w:hAnsi="Arial" w:cs="Arial"/>
                      <w:i/>
                      <w:iCs/>
                      <w:sz w:val="20"/>
                      <w:szCs w:val="20"/>
                      <w:lang w:eastAsia="en-AU"/>
                    </w:rPr>
                    <w:t>Body Corporate and Community Management Act 1997</w:t>
                  </w:r>
                  <w:r w:rsidRPr="00246D60">
                    <w:rPr>
                      <w:rFonts w:ascii="Arial" w:eastAsia="Times New Roman" w:hAnsi="Arial" w:cs="Arial"/>
                      <w:sz w:val="20"/>
                      <w:szCs w:val="20"/>
                      <w:lang w:eastAsia="en-AU"/>
                    </w:rPr>
                    <w:t xml:space="preserve">. </w:t>
                  </w:r>
                </w:p>
              </w:tc>
            </w:tr>
          </w:tbl>
          <w:p w:rsidR="00246D60" w:rsidRPr="00246D60" w:rsidRDefault="00246D60" w:rsidP="00246D60">
            <w:pPr>
              <w:spacing w:before="100" w:beforeAutospacing="1" w:after="100" w:afterAutospacing="1" w:line="240" w:lineRule="auto"/>
              <w:rPr>
                <w:rFonts w:ascii="Arial" w:eastAsia="Times New Roman" w:hAnsi="Arial" w:cs="Arial"/>
                <w:color w:val="000000"/>
                <w:sz w:val="20"/>
                <w:szCs w:val="20"/>
                <w:lang w:eastAsia="en-AU"/>
              </w:rPr>
            </w:pP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lastRenderedPageBreak/>
              <w:t>No example provided.</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0847DE" w:rsidRPr="00246D60" w:rsidTr="00CD3498">
        <w:trPr>
          <w:tblCellSpacing w:w="15" w:type="dxa"/>
        </w:trPr>
        <w:tc>
          <w:tcPr>
            <w:tcW w:w="3271" w:type="pct"/>
            <w:gridSpan w:val="2"/>
            <w:shd w:val="clear" w:color="auto" w:fill="CCCCCC"/>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Volumetric subdivision</w:t>
            </w:r>
          </w:p>
        </w:tc>
        <w:tc>
          <w:tcPr>
            <w:tcW w:w="574"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PO33</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The reconfiguring of the space above or below the surface of the land ensures appropriate area, dimensions and access arrangements to cater for uses consistent with the zone and does not result in existing land uses on site becoming non-compliant. </w:t>
            </w:r>
          </w:p>
          <w:tbl>
            <w:tblPr>
              <w:tblW w:w="505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58"/>
            </w:tblGrid>
            <w:tr w:rsidR="00246D60" w:rsidRPr="00246D60" w:rsidTr="000847DE">
              <w:trPr>
                <w:tblCellSpacing w:w="15" w:type="dxa"/>
              </w:trPr>
              <w:tc>
                <w:tcPr>
                  <w:tcW w:w="4998" w:type="dxa"/>
                  <w:vAlign w:val="cente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lastRenderedPageBreak/>
                    <w:t>Note - Example include but are not limited to:</w:t>
                  </w:r>
                </w:p>
                <w:p w:rsidR="00246D60" w:rsidRPr="00246D60" w:rsidRDefault="00246D60" w:rsidP="00246D6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Where a commercial or industrial land use contains an ancillary office, the office cannot be separately titled as it is considered part of the commercial or industrial use. </w:t>
                  </w:r>
                </w:p>
              </w:tc>
            </w:tr>
          </w:tbl>
          <w:p w:rsidR="00246D60" w:rsidRPr="00246D60" w:rsidRDefault="00246D60" w:rsidP="00246D60">
            <w:pPr>
              <w:spacing w:before="100" w:beforeAutospacing="1" w:after="100" w:afterAutospacing="1" w:line="240" w:lineRule="auto"/>
              <w:rPr>
                <w:rFonts w:ascii="Arial" w:eastAsia="Times New Roman" w:hAnsi="Arial" w:cs="Arial"/>
                <w:color w:val="000000"/>
                <w:sz w:val="20"/>
                <w:szCs w:val="20"/>
                <w:lang w:eastAsia="en-AU"/>
              </w:rPr>
            </w:pP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lastRenderedPageBreak/>
              <w:t>No example provided.</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0847DE" w:rsidRPr="00246D60" w:rsidTr="00CD3498">
        <w:trPr>
          <w:tblCellSpacing w:w="15" w:type="dxa"/>
        </w:trPr>
        <w:tc>
          <w:tcPr>
            <w:tcW w:w="3271" w:type="pct"/>
            <w:gridSpan w:val="2"/>
            <w:shd w:val="clear" w:color="auto" w:fill="CCCCCC"/>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Clearing of native vegetation</w:t>
            </w:r>
          </w:p>
        </w:tc>
        <w:tc>
          <w:tcPr>
            <w:tcW w:w="574"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PO34</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Reconfiguring a lot facilitates the retention of native vegetation by:</w:t>
            </w:r>
          </w:p>
          <w:p w:rsidR="00246D60" w:rsidRPr="00246D60" w:rsidRDefault="00246D60" w:rsidP="00246D60">
            <w:pPr>
              <w:numPr>
                <w:ilvl w:val="0"/>
                <w:numId w:val="17"/>
              </w:numPr>
              <w:spacing w:before="100" w:beforeAutospacing="1" w:after="100" w:afterAutospacing="1" w:line="240" w:lineRule="auto"/>
              <w:ind w:left="4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incorporating native vegetation and habitat trees into the overall subdivision design, development layout, on-street amenity and landscaping where practicable; </w:t>
            </w:r>
          </w:p>
          <w:p w:rsidR="00246D60" w:rsidRPr="00246D60" w:rsidRDefault="00246D60" w:rsidP="00246D60">
            <w:pPr>
              <w:numPr>
                <w:ilvl w:val="0"/>
                <w:numId w:val="17"/>
              </w:numPr>
              <w:spacing w:before="100" w:beforeAutospacing="1" w:after="100" w:afterAutospacing="1" w:line="240" w:lineRule="auto"/>
              <w:ind w:left="4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rsidR="00246D60" w:rsidRPr="00246D60" w:rsidRDefault="00246D60" w:rsidP="00246D60">
            <w:pPr>
              <w:numPr>
                <w:ilvl w:val="0"/>
                <w:numId w:val="17"/>
              </w:numPr>
              <w:spacing w:before="100" w:beforeAutospacing="1" w:after="100" w:afterAutospacing="1" w:line="240" w:lineRule="auto"/>
              <w:ind w:left="4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providing safe, unimpeded, convenient and ongoing wildlife movement;</w:t>
            </w:r>
          </w:p>
          <w:p w:rsidR="00246D60" w:rsidRPr="00246D60" w:rsidRDefault="00246D60" w:rsidP="00246D60">
            <w:pPr>
              <w:numPr>
                <w:ilvl w:val="0"/>
                <w:numId w:val="17"/>
              </w:numPr>
              <w:spacing w:before="100" w:beforeAutospacing="1" w:after="100" w:afterAutospacing="1" w:line="240" w:lineRule="auto"/>
              <w:ind w:left="4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avoiding creating fragmented and isolated patches of native vegetation.</w:t>
            </w:r>
          </w:p>
          <w:p w:rsidR="00246D60" w:rsidRPr="00246D60" w:rsidRDefault="00246D60" w:rsidP="00246D60">
            <w:pPr>
              <w:numPr>
                <w:ilvl w:val="0"/>
                <w:numId w:val="17"/>
              </w:numPr>
              <w:spacing w:before="100" w:beforeAutospacing="1" w:after="100" w:afterAutospacing="1" w:line="240" w:lineRule="auto"/>
              <w:ind w:left="4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ensuring that biodiversity quality and integrity of habitats is not adversely impacted upon but are maintained and protected;</w:t>
            </w:r>
          </w:p>
          <w:p w:rsidR="00246D60" w:rsidRPr="00246D60" w:rsidRDefault="00246D60" w:rsidP="00246D60">
            <w:pPr>
              <w:numPr>
                <w:ilvl w:val="0"/>
                <w:numId w:val="17"/>
              </w:numPr>
              <w:spacing w:before="100" w:beforeAutospacing="1" w:after="100" w:afterAutospacing="1" w:line="240" w:lineRule="auto"/>
              <w:ind w:left="4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ensuring that soil erosion and land degradation does not occur;</w:t>
            </w:r>
          </w:p>
          <w:p w:rsidR="00246D60" w:rsidRPr="00246D60" w:rsidRDefault="00246D60" w:rsidP="00246D60">
            <w:pPr>
              <w:numPr>
                <w:ilvl w:val="0"/>
                <w:numId w:val="17"/>
              </w:numPr>
              <w:spacing w:before="100" w:beforeAutospacing="1" w:after="100" w:afterAutospacing="1" w:line="240" w:lineRule="auto"/>
              <w:ind w:left="4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ensuring that quality of surface water is not adversely impacted upon by providing effective vegetated buffers to water bodies. </w:t>
            </w: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E34</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Development is in accordance with a Neighbourhood development plan.</w:t>
            </w: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0847DE" w:rsidRPr="00246D60" w:rsidTr="00CD3498">
        <w:trPr>
          <w:tblCellSpacing w:w="15" w:type="dxa"/>
        </w:trPr>
        <w:tc>
          <w:tcPr>
            <w:tcW w:w="3271" w:type="pct"/>
            <w:gridSpan w:val="2"/>
            <w:shd w:val="clear" w:color="auto" w:fill="CCCCCC"/>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Noise</w:t>
            </w:r>
          </w:p>
        </w:tc>
        <w:tc>
          <w:tcPr>
            <w:tcW w:w="574"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shd w:val="clear" w:color="auto" w:fill="CCCCCC"/>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D3498" w:rsidRPr="00246D60" w:rsidTr="00CD3498">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t>PO35</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lastRenderedPageBreak/>
              <w:t>Noise attenuation structure (e.g. walls, barriers or fences):</w:t>
            </w:r>
          </w:p>
          <w:p w:rsidR="00246D60" w:rsidRPr="00246D60" w:rsidRDefault="00246D60" w:rsidP="00246D60">
            <w:pPr>
              <w:numPr>
                <w:ilvl w:val="0"/>
                <w:numId w:val="18"/>
              </w:numPr>
              <w:spacing w:before="100" w:beforeAutospacing="1" w:after="100" w:afterAutospacing="1" w:line="240" w:lineRule="auto"/>
              <w:ind w:left="4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contribute to safe and usable public spaces, through maintaining high levels of surveillance of parks, streets and roads that serve active transport purposes (e.g. existing or future pedestrian paths or cycle lanes </w:t>
            </w:r>
            <w:proofErr w:type="spellStart"/>
            <w:r w:rsidRPr="00246D60">
              <w:rPr>
                <w:rFonts w:ascii="Arial" w:eastAsia="Times New Roman" w:hAnsi="Arial" w:cs="Arial"/>
                <w:color w:val="000000"/>
                <w:sz w:val="20"/>
                <w:szCs w:val="20"/>
                <w:lang w:eastAsia="en-AU"/>
              </w:rPr>
              <w:t>etc</w:t>
            </w:r>
            <w:proofErr w:type="spellEnd"/>
            <w:r w:rsidRPr="00246D60">
              <w:rPr>
                <w:rFonts w:ascii="Arial" w:eastAsia="Times New Roman" w:hAnsi="Arial" w:cs="Arial"/>
                <w:color w:val="000000"/>
                <w:sz w:val="20"/>
                <w:szCs w:val="20"/>
                <w:lang w:eastAsia="en-AU"/>
              </w:rPr>
              <w:t xml:space="preserve">); </w:t>
            </w:r>
          </w:p>
          <w:p w:rsidR="00246D60" w:rsidRPr="00246D60" w:rsidRDefault="00246D60" w:rsidP="00246D60">
            <w:pPr>
              <w:numPr>
                <w:ilvl w:val="0"/>
                <w:numId w:val="18"/>
              </w:numPr>
              <w:spacing w:before="100" w:beforeAutospacing="1" w:after="100" w:afterAutospacing="1" w:line="240" w:lineRule="auto"/>
              <w:ind w:left="4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maintain the amenity of the streetscape.</w:t>
            </w:r>
          </w:p>
          <w:tbl>
            <w:tblPr>
              <w:tblW w:w="49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7"/>
            </w:tblGrid>
            <w:tr w:rsidR="00246D60" w:rsidRPr="00246D60" w:rsidTr="000847DE">
              <w:trPr>
                <w:tblCellSpacing w:w="15" w:type="dxa"/>
              </w:trPr>
              <w:tc>
                <w:tcPr>
                  <w:tcW w:w="4857" w:type="dxa"/>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246D60" w:rsidRPr="00246D60" w:rsidTr="000847DE">
              <w:trPr>
                <w:tblCellSpacing w:w="15" w:type="dxa"/>
              </w:trPr>
              <w:tc>
                <w:tcPr>
                  <w:tcW w:w="4857" w:type="dxa"/>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r w:rsidRPr="00246D60">
                    <w:rPr>
                      <w:rFonts w:ascii="Arial" w:eastAsia="Times New Roman" w:hAnsi="Arial" w:cs="Arial"/>
                      <w:sz w:val="20"/>
                      <w:szCs w:val="20"/>
                      <w:lang w:eastAsia="en-AU"/>
                    </w:rPr>
                    <w:t>Note - Refer to Planning Scheme Policy – Integrated design for details and examples of noise attenuation structures.</w:t>
                  </w:r>
                </w:p>
              </w:tc>
            </w:tr>
          </w:tbl>
          <w:p w:rsidR="00246D60" w:rsidRPr="00246D60" w:rsidRDefault="00246D60" w:rsidP="00246D60">
            <w:pPr>
              <w:spacing w:before="100" w:beforeAutospacing="1" w:after="100" w:afterAutospacing="1" w:line="240" w:lineRule="auto"/>
              <w:rPr>
                <w:rFonts w:ascii="Arial" w:eastAsia="Times New Roman" w:hAnsi="Arial" w:cs="Arial"/>
                <w:color w:val="000000"/>
                <w:sz w:val="20"/>
                <w:szCs w:val="20"/>
                <w:lang w:eastAsia="en-AU"/>
              </w:rPr>
            </w:pPr>
          </w:p>
        </w:tc>
        <w:tc>
          <w:tcPr>
            <w:tcW w:w="1564"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b/>
                <w:bCs/>
                <w:color w:val="000000"/>
                <w:sz w:val="20"/>
                <w:szCs w:val="20"/>
                <w:lang w:eastAsia="en-AU"/>
              </w:rPr>
              <w:lastRenderedPageBreak/>
              <w:t>E35</w:t>
            </w:r>
          </w:p>
          <w:p w:rsidR="00246D60" w:rsidRPr="00246D60" w:rsidRDefault="00246D60" w:rsidP="00246D60">
            <w:pPr>
              <w:spacing w:before="100" w:beforeAutospacing="1" w:after="100" w:afterAutospacing="1" w:line="240" w:lineRule="auto"/>
              <w:ind w:left="150" w:right="1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lastRenderedPageBreak/>
              <w:t>Noise attenuation structures (e.g. walls, barriers or fences):</w:t>
            </w:r>
          </w:p>
          <w:p w:rsidR="00246D60" w:rsidRPr="00246D60" w:rsidRDefault="00246D60" w:rsidP="00246D60">
            <w:pPr>
              <w:numPr>
                <w:ilvl w:val="0"/>
                <w:numId w:val="19"/>
              </w:numPr>
              <w:spacing w:before="100" w:beforeAutospacing="1" w:after="100" w:afterAutospacing="1" w:line="240" w:lineRule="auto"/>
              <w:ind w:left="4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are not visible from an adjoining road or public area unless;</w:t>
            </w:r>
          </w:p>
          <w:p w:rsidR="00246D60" w:rsidRPr="00246D60" w:rsidRDefault="00246D60" w:rsidP="000847DE">
            <w:pPr>
              <w:numPr>
                <w:ilvl w:val="0"/>
                <w:numId w:val="20"/>
              </w:numPr>
              <w:spacing w:before="100" w:beforeAutospacing="1" w:after="100" w:afterAutospacing="1" w:line="240" w:lineRule="auto"/>
              <w:ind w:left="689"/>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adjoining a motorway or rail line; or</w:t>
            </w:r>
          </w:p>
          <w:p w:rsidR="00246D60" w:rsidRPr="00246D60" w:rsidRDefault="00246D60" w:rsidP="000847DE">
            <w:pPr>
              <w:numPr>
                <w:ilvl w:val="0"/>
                <w:numId w:val="20"/>
              </w:numPr>
              <w:spacing w:before="100" w:beforeAutospacing="1" w:after="100" w:afterAutospacing="1" w:line="240" w:lineRule="auto"/>
              <w:ind w:left="689"/>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246D60" w:rsidRPr="00246D60" w:rsidRDefault="00246D60" w:rsidP="00246D60">
            <w:pPr>
              <w:numPr>
                <w:ilvl w:val="0"/>
                <w:numId w:val="21"/>
              </w:numPr>
              <w:spacing w:before="100" w:beforeAutospacing="1" w:after="100" w:afterAutospacing="1" w:line="240" w:lineRule="auto"/>
              <w:ind w:left="4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do not remove existing or prevent future active transport routes or connections to the street network;</w:t>
            </w:r>
          </w:p>
          <w:p w:rsidR="00246D60" w:rsidRPr="00246D60" w:rsidRDefault="00246D60" w:rsidP="00246D60">
            <w:pPr>
              <w:numPr>
                <w:ilvl w:val="0"/>
                <w:numId w:val="21"/>
              </w:numPr>
              <w:spacing w:before="100" w:beforeAutospacing="1" w:after="100" w:afterAutospacing="1" w:line="240" w:lineRule="auto"/>
              <w:ind w:left="450"/>
              <w:rPr>
                <w:rFonts w:ascii="Arial" w:eastAsia="Times New Roman" w:hAnsi="Arial" w:cs="Arial"/>
                <w:color w:val="000000"/>
                <w:sz w:val="20"/>
                <w:szCs w:val="20"/>
                <w:lang w:eastAsia="en-AU"/>
              </w:rPr>
            </w:pPr>
            <w:r w:rsidRPr="00246D60">
              <w:rPr>
                <w:rFonts w:ascii="Arial" w:eastAsia="Times New Roman" w:hAnsi="Arial" w:cs="Arial"/>
                <w:color w:val="000000"/>
                <w:sz w:val="20"/>
                <w:szCs w:val="20"/>
                <w:lang w:eastAsia="en-AU"/>
              </w:rPr>
              <w:t>are located, constructed and landscaped in accordance with Planning scheme policy - Integrated design.</w:t>
            </w:r>
          </w:p>
          <w:tbl>
            <w:tblPr>
              <w:tblW w:w="4658"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658"/>
            </w:tblGrid>
            <w:tr w:rsidR="00246D60" w:rsidRPr="00246D60" w:rsidTr="000847DE">
              <w:trPr>
                <w:tblCellSpacing w:w="15" w:type="dxa"/>
              </w:trPr>
              <w:tc>
                <w:tcPr>
                  <w:tcW w:w="4598" w:type="dxa"/>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r w:rsidRPr="00246D60">
                    <w:rPr>
                      <w:rFonts w:ascii="Arial" w:eastAsia="Times New Roman" w:hAnsi="Arial" w:cs="Arial"/>
                      <w:sz w:val="20"/>
                      <w:szCs w:val="20"/>
                      <w:lang w:eastAsia="en-AU"/>
                    </w:rPr>
                    <w:t>Note - Refer to Planning Scheme Policy – Integrated design for details and examples of noise attenuation structures.</w:t>
                  </w:r>
                </w:p>
              </w:tc>
            </w:tr>
            <w:tr w:rsidR="00246D60" w:rsidRPr="00246D60" w:rsidTr="000847DE">
              <w:trPr>
                <w:tblCellSpacing w:w="15" w:type="dxa"/>
              </w:trPr>
              <w:tc>
                <w:tcPr>
                  <w:tcW w:w="4598" w:type="dxa"/>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r w:rsidRPr="00246D60">
                    <w:rPr>
                      <w:rFonts w:ascii="Arial" w:eastAsia="Times New Roman" w:hAnsi="Arial" w:cs="Arial"/>
                      <w:sz w:val="20"/>
                      <w:szCs w:val="20"/>
                      <w:lang w:eastAsia="en-AU"/>
                    </w:rPr>
                    <w:t>Note - Refer to Overlay map – Active transport for future active transport routes.</w:t>
                  </w:r>
                </w:p>
              </w:tc>
            </w:tr>
          </w:tbl>
          <w:p w:rsidR="00246D60" w:rsidRPr="00246D60" w:rsidRDefault="00246D60" w:rsidP="00246D60">
            <w:pPr>
              <w:spacing w:before="100" w:beforeAutospacing="1" w:after="100" w:afterAutospacing="1" w:line="240" w:lineRule="auto"/>
              <w:rPr>
                <w:rFonts w:ascii="Arial" w:eastAsia="Times New Roman" w:hAnsi="Arial" w:cs="Arial"/>
                <w:color w:val="000000"/>
                <w:sz w:val="20"/>
                <w:szCs w:val="20"/>
                <w:lang w:eastAsia="en-AU"/>
              </w:rPr>
            </w:pPr>
          </w:p>
        </w:tc>
        <w:tc>
          <w:tcPr>
            <w:tcW w:w="574"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116"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bl>
    <w:p w:rsidR="00AF057D" w:rsidRDefault="00AF057D"/>
    <w:tbl>
      <w:tblPr>
        <w:tblW w:w="4951"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5185"/>
        <w:gridCol w:w="4696"/>
        <w:gridCol w:w="1764"/>
        <w:gridCol w:w="3586"/>
      </w:tblGrid>
      <w:tr w:rsidR="000847DE" w:rsidRPr="00246D60" w:rsidTr="000847DE">
        <w:trPr>
          <w:tblCellSpacing w:w="15" w:type="dxa"/>
        </w:trPr>
        <w:tc>
          <w:tcPr>
            <w:tcW w:w="4980" w:type="pct"/>
            <w:gridSpan w:val="4"/>
            <w:shd w:val="clear" w:color="auto" w:fill="CCCCCC"/>
            <w:hideMark/>
          </w:tcPr>
          <w:p w:rsidR="000847DE" w:rsidRPr="00246D60" w:rsidRDefault="000847DE" w:rsidP="00246D60">
            <w:pPr>
              <w:spacing w:before="100" w:beforeAutospacing="1" w:after="100" w:afterAutospacing="1" w:line="240" w:lineRule="auto"/>
              <w:ind w:left="150" w:right="150"/>
              <w:jc w:val="center"/>
              <w:rPr>
                <w:rFonts w:ascii="Arial" w:eastAsia="Times New Roman" w:hAnsi="Arial" w:cs="Arial"/>
                <w:sz w:val="20"/>
                <w:szCs w:val="20"/>
                <w:lang w:eastAsia="en-AU"/>
              </w:rPr>
            </w:pPr>
            <w:r w:rsidRPr="00246D60">
              <w:rPr>
                <w:rFonts w:ascii="Arial" w:eastAsia="Times New Roman" w:hAnsi="Arial" w:cs="Arial"/>
                <w:b/>
                <w:bCs/>
                <w:sz w:val="20"/>
                <w:szCs w:val="20"/>
                <w:lang w:eastAsia="en-AU"/>
              </w:rPr>
              <w:t>Values and constraints</w:t>
            </w:r>
            <w:r w:rsidRPr="00246D60">
              <w:rPr>
                <w:rFonts w:ascii="Arial" w:eastAsia="Times New Roman" w:hAnsi="Arial" w:cs="Arial"/>
                <w:sz w:val="20"/>
                <w:szCs w:val="20"/>
                <w:lang w:eastAsia="en-AU"/>
              </w:rPr>
              <w:t xml:space="preserve"> </w:t>
            </w:r>
            <w:r w:rsidRPr="00246D60">
              <w:rPr>
                <w:rFonts w:ascii="Arial" w:eastAsia="Times New Roman" w:hAnsi="Arial" w:cs="Arial"/>
                <w:b/>
                <w:bCs/>
                <w:sz w:val="20"/>
                <w:szCs w:val="20"/>
                <w:lang w:eastAsia="en-AU"/>
              </w:rPr>
              <w:t>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41"/>
            </w:tblGrid>
            <w:tr w:rsidR="000847DE" w:rsidRPr="00246D60" w:rsidTr="00246D60">
              <w:trPr>
                <w:tblCellSpacing w:w="15" w:type="dxa"/>
              </w:trPr>
              <w:tc>
                <w:tcPr>
                  <w:tcW w:w="15248" w:type="dxa"/>
                  <w:shd w:val="clear" w:color="auto" w:fill="CCCCCC"/>
                  <w:vAlign w:val="center"/>
                  <w:hideMark/>
                </w:tcPr>
                <w:p w:rsidR="000847DE" w:rsidRPr="00246D60" w:rsidRDefault="000847DE"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0847DE" w:rsidRPr="00246D60" w:rsidRDefault="000847DE" w:rsidP="00246D6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0847DE" w:rsidRPr="00246D60" w:rsidTr="000847DE">
        <w:trPr>
          <w:tblCellSpacing w:w="15" w:type="dxa"/>
        </w:trPr>
        <w:tc>
          <w:tcPr>
            <w:tcW w:w="4980" w:type="pct"/>
            <w:gridSpan w:val="4"/>
            <w:shd w:val="clear" w:color="auto" w:fill="CCCCCC"/>
            <w:hideMark/>
          </w:tcPr>
          <w:p w:rsidR="000847DE" w:rsidRPr="00246D60" w:rsidRDefault="000847DE"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Bushfire hazard (refer Overlay map - Bushfire hazard to determine if the following assessment criteria apply) where on developable lots only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308"/>
            </w:tblGrid>
            <w:tr w:rsidR="000847DE" w:rsidRPr="00246D60" w:rsidTr="00246D60">
              <w:trPr>
                <w:tblCellSpacing w:w="15" w:type="dxa"/>
              </w:trPr>
              <w:tc>
                <w:tcPr>
                  <w:tcW w:w="15248" w:type="dxa"/>
                  <w:shd w:val="clear" w:color="auto" w:fill="CCCCCC"/>
                  <w:vAlign w:val="center"/>
                  <w:hideMark/>
                </w:tcPr>
                <w:p w:rsidR="000847DE" w:rsidRPr="00246D60" w:rsidRDefault="000847DE"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 </w:t>
                  </w:r>
                </w:p>
              </w:tc>
            </w:tr>
          </w:tbl>
          <w:p w:rsidR="000847DE" w:rsidRPr="00246D60" w:rsidRDefault="000847DE"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AF057D">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PO36</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lastRenderedPageBreak/>
              <w:t>Lots are designed to:</w:t>
            </w:r>
          </w:p>
          <w:p w:rsidR="00246D60" w:rsidRPr="00246D60" w:rsidRDefault="00246D60" w:rsidP="00246D6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minimise the risk from bushfire hazard to each lot and provide the safest possible siting for buildings and structures;</w:t>
            </w:r>
          </w:p>
          <w:p w:rsidR="00246D60" w:rsidRPr="00246D60" w:rsidRDefault="00246D60" w:rsidP="00246D6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limit the possible spread paths of bushfire within the reconfiguring;</w:t>
            </w:r>
          </w:p>
          <w:p w:rsidR="00246D60" w:rsidRPr="00246D60" w:rsidRDefault="00246D60" w:rsidP="00246D6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achieve sufficient separation distance between development and hazardous vegetation to minimise the risk to future buildings and structures during bushfire events; </w:t>
            </w:r>
          </w:p>
          <w:p w:rsidR="00246D60" w:rsidRPr="00246D60" w:rsidRDefault="00246D60" w:rsidP="00246D6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maintain the required level of functionality for emergency services and uses during and immediately after a natural hazard event. </w:t>
            </w:r>
          </w:p>
        </w:tc>
        <w:tc>
          <w:tcPr>
            <w:tcW w:w="1531"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lastRenderedPageBreak/>
              <w:t>E36</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lastRenderedPageBreak/>
              <w:t xml:space="preserve">Reconfiguring a lot ensures that all new lots are of an appropriate size, shape and layout to allow for the siting of future buildings being located: </w:t>
            </w:r>
          </w:p>
          <w:p w:rsidR="00246D60" w:rsidRPr="00246D60" w:rsidRDefault="00246D60" w:rsidP="00246D6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within an appropriate development footprint;</w:t>
            </w:r>
          </w:p>
          <w:p w:rsidR="00246D60" w:rsidRPr="00246D60" w:rsidRDefault="00246D60" w:rsidP="00246D6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within the lowest hazard locations on a lot;</w:t>
            </w:r>
          </w:p>
          <w:p w:rsidR="00246D60" w:rsidRPr="00246D60" w:rsidRDefault="00246D60" w:rsidP="00246D6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to achieve minimum separation from any source of bushfire hazard of 20m or the distance required to achieve a Bushfire Attack Level (BAL) of more than </w:t>
            </w:r>
            <w:proofErr w:type="gramStart"/>
            <w:r w:rsidRPr="00246D60">
              <w:rPr>
                <w:rFonts w:ascii="Arial" w:eastAsia="Times New Roman" w:hAnsi="Arial" w:cs="Arial"/>
                <w:sz w:val="20"/>
                <w:szCs w:val="20"/>
                <w:lang w:eastAsia="en-AU"/>
              </w:rPr>
              <w:t>29  (</w:t>
            </w:r>
            <w:proofErr w:type="gramEnd"/>
            <w:r w:rsidRPr="00246D60">
              <w:rPr>
                <w:rFonts w:ascii="Arial" w:eastAsia="Times New Roman" w:hAnsi="Arial" w:cs="Arial"/>
                <w:sz w:val="20"/>
                <w:szCs w:val="20"/>
                <w:lang w:eastAsia="en-AU"/>
              </w:rPr>
              <w:t xml:space="preserve">as identified under AS3959-2009), whichever is the greater; </w:t>
            </w:r>
          </w:p>
          <w:p w:rsidR="00246D60" w:rsidRPr="00246D60" w:rsidRDefault="00246D60" w:rsidP="00246D6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to achieve a minimum separation from any retained vegetation strips or small areas of vegetation of 10m or the distance required to achieve a Bushfire Attack Level (BAL) of more than 29 (as identified under AS3959-2009), whichever is the greater; </w:t>
            </w:r>
          </w:p>
          <w:p w:rsidR="00246D60" w:rsidRPr="00246D60" w:rsidRDefault="00246D60" w:rsidP="00246D6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away from ridgelines and hilltops;</w:t>
            </w:r>
          </w:p>
          <w:p w:rsidR="00246D60" w:rsidRPr="00246D60" w:rsidRDefault="00246D60" w:rsidP="00246D6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on land with a slope of less than 15%;</w:t>
            </w:r>
          </w:p>
          <w:p w:rsidR="00246D60" w:rsidRPr="00246D60" w:rsidRDefault="00246D60" w:rsidP="00246D6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away from north to west facing slopes.</w:t>
            </w: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AF057D">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PO37</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Lots provide adequate water supply and infrastructure to support fire-fighting.</w:t>
            </w:r>
          </w:p>
        </w:tc>
        <w:tc>
          <w:tcPr>
            <w:tcW w:w="1531"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E37</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For water supply purposes, reconfiguring a lot ensures that:</w:t>
            </w:r>
          </w:p>
          <w:p w:rsidR="00246D60" w:rsidRPr="00246D60" w:rsidRDefault="00246D60" w:rsidP="00246D6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lots have access to a reticulated water supply provided by a distributer-retailer for the area; or</w:t>
            </w:r>
          </w:p>
          <w:p w:rsidR="00246D60" w:rsidRPr="00246D60" w:rsidRDefault="00246D60" w:rsidP="00246D60">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where no reticulated water supply is available, on-site </w:t>
            </w:r>
            <w:proofErr w:type="spellStart"/>
            <w:r w:rsidRPr="00246D60">
              <w:rPr>
                <w:rFonts w:ascii="Arial" w:eastAsia="Times New Roman" w:hAnsi="Arial" w:cs="Arial"/>
                <w:sz w:val="20"/>
                <w:szCs w:val="20"/>
                <w:lang w:eastAsia="en-AU"/>
              </w:rPr>
              <w:t>fire fighting</w:t>
            </w:r>
            <w:proofErr w:type="spellEnd"/>
            <w:r w:rsidRPr="00246D60">
              <w:rPr>
                <w:rFonts w:ascii="Arial" w:eastAsia="Times New Roman" w:hAnsi="Arial" w:cs="Arial"/>
                <w:sz w:val="20"/>
                <w:szCs w:val="20"/>
                <w:lang w:eastAsia="en-AU"/>
              </w:rPr>
              <w:t xml:space="preserve"> water storage containing not less than 10,000 litres and located within a development footprint. </w:t>
            </w: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AF057D">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PO38</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Lots are designed </w:t>
            </w:r>
            <w:proofErr w:type="gramStart"/>
            <w:r w:rsidRPr="00246D60">
              <w:rPr>
                <w:rFonts w:ascii="Arial" w:eastAsia="Times New Roman" w:hAnsi="Arial" w:cs="Arial"/>
                <w:sz w:val="20"/>
                <w:szCs w:val="20"/>
                <w:lang w:eastAsia="en-AU"/>
              </w:rPr>
              <w:t>to :</w:t>
            </w:r>
            <w:proofErr w:type="gramEnd"/>
          </w:p>
          <w:p w:rsidR="00246D60" w:rsidRPr="00246D60" w:rsidRDefault="00246D60" w:rsidP="00246D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promote safe site access by avoiding potential entrapment situations;</w:t>
            </w:r>
          </w:p>
          <w:p w:rsidR="00246D60" w:rsidRPr="00246D60" w:rsidRDefault="00246D60" w:rsidP="00246D60">
            <w:pPr>
              <w:numPr>
                <w:ilvl w:val="0"/>
                <w:numId w:val="25"/>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lastRenderedPageBreak/>
              <w:t xml:space="preserve">promote accessibility and manoeuvring for </w:t>
            </w:r>
            <w:proofErr w:type="spellStart"/>
            <w:r w:rsidRPr="00246D60">
              <w:rPr>
                <w:rFonts w:ascii="Arial" w:eastAsia="Times New Roman" w:hAnsi="Arial" w:cs="Arial"/>
                <w:sz w:val="20"/>
                <w:szCs w:val="20"/>
                <w:lang w:eastAsia="en-AU"/>
              </w:rPr>
              <w:t>fire fighting</w:t>
            </w:r>
            <w:proofErr w:type="spellEnd"/>
            <w:r w:rsidRPr="00246D60">
              <w:rPr>
                <w:rFonts w:ascii="Arial" w:eastAsia="Times New Roman" w:hAnsi="Arial" w:cs="Arial"/>
                <w:sz w:val="20"/>
                <w:szCs w:val="20"/>
                <w:lang w:eastAsia="en-AU"/>
              </w:rPr>
              <w:t xml:space="preserve"> during bushfire.</w:t>
            </w:r>
          </w:p>
        </w:tc>
        <w:tc>
          <w:tcPr>
            <w:tcW w:w="1531"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lastRenderedPageBreak/>
              <w:t>E38</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Reconfiguring a lot ensures a new lot is provided with:</w:t>
            </w:r>
          </w:p>
          <w:p w:rsidR="00246D60" w:rsidRPr="00246D60" w:rsidRDefault="00246D60" w:rsidP="00246D6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direct road access and egress to public roads;</w:t>
            </w:r>
          </w:p>
          <w:p w:rsidR="00246D60" w:rsidRPr="00246D60" w:rsidRDefault="00246D60" w:rsidP="00246D6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lastRenderedPageBreak/>
              <w:t>an alternative access where the private driveway is longer than 100m to reach a public road;</w:t>
            </w:r>
          </w:p>
          <w:p w:rsidR="00246D60" w:rsidRPr="00246D60" w:rsidRDefault="00246D60" w:rsidP="00246D6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driveway access to a public road that has a gradient no greater than 12.5%;</w:t>
            </w:r>
          </w:p>
          <w:p w:rsidR="00246D60" w:rsidRPr="00246D60" w:rsidRDefault="00246D60" w:rsidP="00246D60">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minimum width of 3.5m.</w:t>
            </w: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AF057D">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PO39</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Lots ensure the road layout and design supports:</w:t>
            </w:r>
          </w:p>
          <w:p w:rsidR="00246D60" w:rsidRPr="00246D60" w:rsidRDefault="00246D60" w:rsidP="00246D6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safe and efficient emergency services access to sites; and manoeuvring within the subdivision;</w:t>
            </w:r>
          </w:p>
          <w:p w:rsidR="00246D60" w:rsidRPr="00246D60" w:rsidRDefault="00246D60" w:rsidP="00246D60">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availability and maintenance of access routes </w:t>
            </w:r>
            <w:proofErr w:type="gramStart"/>
            <w:r w:rsidRPr="00246D60">
              <w:rPr>
                <w:rFonts w:ascii="Arial" w:eastAsia="Times New Roman" w:hAnsi="Arial" w:cs="Arial"/>
                <w:sz w:val="20"/>
                <w:szCs w:val="20"/>
                <w:lang w:eastAsia="en-AU"/>
              </w:rPr>
              <w:t>for the purpose of</w:t>
            </w:r>
            <w:proofErr w:type="gramEnd"/>
            <w:r w:rsidRPr="00246D60">
              <w:rPr>
                <w:rFonts w:ascii="Arial" w:eastAsia="Times New Roman" w:hAnsi="Arial" w:cs="Arial"/>
                <w:sz w:val="20"/>
                <w:szCs w:val="20"/>
                <w:lang w:eastAsia="en-AU"/>
              </w:rPr>
              <w:t xml:space="preserve"> safe evacuation.</w:t>
            </w:r>
          </w:p>
        </w:tc>
        <w:tc>
          <w:tcPr>
            <w:tcW w:w="1531"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E39</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Reconfiguring a lot provides a road layout which:</w:t>
            </w:r>
          </w:p>
          <w:p w:rsidR="00246D60" w:rsidRPr="00246D60" w:rsidRDefault="00246D60" w:rsidP="00246D60">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includes a perimeter road that separating the new lots from hazardous vegetation on adjacent lots incorporating by:</w:t>
            </w:r>
          </w:p>
          <w:p w:rsidR="00246D60" w:rsidRPr="00246D60" w:rsidRDefault="00246D60" w:rsidP="00246D60">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a cleared width of 20m;</w:t>
            </w:r>
          </w:p>
          <w:p w:rsidR="00246D60" w:rsidRPr="00246D60" w:rsidRDefault="00246D60" w:rsidP="00246D60">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road gradients not exceeding 12.5%;</w:t>
            </w:r>
          </w:p>
          <w:p w:rsidR="00246D60" w:rsidRPr="00246D60" w:rsidRDefault="00246D60" w:rsidP="00246D60">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pavement and surface treatment capable of being used by emergency vehicles;</w:t>
            </w:r>
          </w:p>
          <w:p w:rsidR="00246D60" w:rsidRPr="00246D60" w:rsidRDefault="00246D60" w:rsidP="00246D60">
            <w:pPr>
              <w:numPr>
                <w:ilvl w:val="1"/>
                <w:numId w:val="28"/>
              </w:numPr>
              <w:spacing w:before="100" w:beforeAutospacing="1" w:after="100" w:afterAutospacing="1" w:line="240" w:lineRule="auto"/>
              <w:ind w:left="10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Turning areas for </w:t>
            </w:r>
            <w:proofErr w:type="spellStart"/>
            <w:r w:rsidRPr="00246D60">
              <w:rPr>
                <w:rFonts w:ascii="Arial" w:eastAsia="Times New Roman" w:hAnsi="Arial" w:cs="Arial"/>
                <w:sz w:val="20"/>
                <w:szCs w:val="20"/>
                <w:lang w:eastAsia="en-AU"/>
              </w:rPr>
              <w:t>fire fighting</w:t>
            </w:r>
            <w:proofErr w:type="spellEnd"/>
            <w:r w:rsidRPr="00246D60">
              <w:rPr>
                <w:rFonts w:ascii="Arial" w:eastAsia="Times New Roman" w:hAnsi="Arial" w:cs="Arial"/>
                <w:sz w:val="20"/>
                <w:szCs w:val="20"/>
                <w:lang w:eastAsia="en-AU"/>
              </w:rPr>
              <w:t xml:space="preserve"> appliances in accordance with Qld Fire and Emergency Services' Fire Hydrant and Vehicle Access Guidelines. </w:t>
            </w:r>
          </w:p>
          <w:p w:rsidR="00246D60" w:rsidRPr="00246D60" w:rsidRDefault="00246D60" w:rsidP="00246D60">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Or if the above is not practicable, a fire maintenance trail separates the lots from hazardous vegetation on adjacent lots incorporating: </w:t>
            </w:r>
          </w:p>
          <w:p w:rsidR="00246D60" w:rsidRPr="00246D60" w:rsidRDefault="00246D60" w:rsidP="00246D60">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a minimum cleared width of 6m and minimum formed width of 4m;</w:t>
            </w:r>
          </w:p>
          <w:p w:rsidR="00246D60" w:rsidRPr="00246D60" w:rsidRDefault="00246D60" w:rsidP="00246D60">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gradient not exceeding 12.5%;</w:t>
            </w:r>
          </w:p>
          <w:p w:rsidR="00246D60" w:rsidRPr="00246D60" w:rsidRDefault="00246D60" w:rsidP="00246D60">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cross slope not exceeding 10%;</w:t>
            </w:r>
          </w:p>
          <w:p w:rsidR="00246D60" w:rsidRPr="00246D60" w:rsidRDefault="00246D60" w:rsidP="00246D60">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a formed width and erosion control devices to the standards specified in Planning scheme policy - Integrated design;</w:t>
            </w:r>
          </w:p>
          <w:p w:rsidR="00246D60" w:rsidRPr="00246D60" w:rsidRDefault="00246D60" w:rsidP="00246D60">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a turning circle or turnaround area at the end of the trail to allow fire fighting vehicles to manoeuvre;</w:t>
            </w:r>
          </w:p>
          <w:p w:rsidR="00246D60" w:rsidRPr="00246D60" w:rsidRDefault="00246D60" w:rsidP="00246D60">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passing bays and turning/reversing bays every 200m;</w:t>
            </w:r>
          </w:p>
          <w:p w:rsidR="00246D60" w:rsidRPr="00246D60" w:rsidRDefault="00246D60" w:rsidP="00246D60">
            <w:pPr>
              <w:numPr>
                <w:ilvl w:val="1"/>
                <w:numId w:val="29"/>
              </w:numPr>
              <w:spacing w:before="100" w:beforeAutospacing="1" w:after="100" w:afterAutospacing="1" w:line="240" w:lineRule="auto"/>
              <w:ind w:left="10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 an access easement that is granted in favour of the Council and the </w:t>
            </w:r>
            <w:r w:rsidRPr="00246D60">
              <w:rPr>
                <w:rFonts w:ascii="Arial" w:eastAsia="Times New Roman" w:hAnsi="Arial" w:cs="Arial"/>
                <w:sz w:val="20"/>
                <w:szCs w:val="20"/>
                <w:lang w:eastAsia="en-AU"/>
              </w:rPr>
              <w:lastRenderedPageBreak/>
              <w:t xml:space="preserve">Queensland Fire and Rescue Service or located on public land. </w:t>
            </w:r>
          </w:p>
          <w:p w:rsidR="00246D60" w:rsidRPr="00246D60" w:rsidRDefault="00246D60" w:rsidP="00246D60">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excludes cul-de-sacs, except where a perimeter road with a cleared width of 20m isolates the lots from hazardous vegetation on adjacent lots; and </w:t>
            </w:r>
          </w:p>
          <w:p w:rsidR="00246D60" w:rsidRPr="00246D60" w:rsidRDefault="00246D60" w:rsidP="00246D60">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excludes dead-end roads.</w:t>
            </w: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0847DE">
        <w:trPr>
          <w:tblCellSpacing w:w="15" w:type="dxa"/>
        </w:trPr>
        <w:tc>
          <w:tcPr>
            <w:tcW w:w="4980" w:type="pct"/>
            <w:gridSpan w:val="4"/>
            <w:shd w:val="clear" w:color="auto" w:fill="CCCCCC"/>
            <w:hideMark/>
          </w:tcPr>
          <w:p w:rsidR="000847DE" w:rsidRPr="00246D60" w:rsidRDefault="000847DE"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High voltage electricity line buffer</w:t>
            </w:r>
            <w:r w:rsidRPr="00246D60">
              <w:rPr>
                <w:rFonts w:ascii="Arial" w:eastAsia="Times New Roman" w:hAnsi="Arial" w:cs="Arial"/>
                <w:sz w:val="20"/>
                <w:szCs w:val="20"/>
                <w:lang w:eastAsia="en-AU"/>
              </w:rPr>
              <w:t xml:space="preserve"> </w:t>
            </w:r>
            <w:r w:rsidRPr="00246D60">
              <w:rPr>
                <w:rFonts w:ascii="Arial" w:eastAsia="Times New Roman" w:hAnsi="Arial" w:cs="Arial"/>
                <w:b/>
                <w:bCs/>
                <w:sz w:val="20"/>
                <w:szCs w:val="20"/>
                <w:lang w:eastAsia="en-AU"/>
              </w:rPr>
              <w:t>(refer Overlay map - Infrastructure buffers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0847DE" w:rsidRPr="00246D60" w:rsidTr="00246D60">
              <w:trPr>
                <w:tblCellSpacing w:w="15" w:type="dxa"/>
              </w:trPr>
              <w:tc>
                <w:tcPr>
                  <w:tcW w:w="11810" w:type="dxa"/>
                  <w:vAlign w:val="center"/>
                  <w:hideMark/>
                </w:tcPr>
                <w:p w:rsidR="000847DE" w:rsidRPr="00246D60" w:rsidRDefault="000847DE"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0847DE" w:rsidRPr="00246D60" w:rsidRDefault="000847DE"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AF057D">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PO40</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Lots provide a development footprint outside of the buffer.</w:t>
            </w:r>
          </w:p>
        </w:tc>
        <w:tc>
          <w:tcPr>
            <w:tcW w:w="1531"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No example provided.</w:t>
            </w: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0847DE" w:rsidRPr="00246D60" w:rsidTr="00AF057D">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PO41</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The creation of lots does not compromise or adversely impact upon the efficiency and integrity of supply.</w:t>
            </w:r>
          </w:p>
        </w:tc>
        <w:tc>
          <w:tcPr>
            <w:tcW w:w="1531"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E41</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No new lots are created in the buffer area.</w:t>
            </w: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AF057D">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PO42</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The creation of new lots does not compromise or adversely impact upon access to the supply line for any required maintenance or upgrading work. </w:t>
            </w:r>
          </w:p>
        </w:tc>
        <w:tc>
          <w:tcPr>
            <w:tcW w:w="1531"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E42</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No new lots are created in the buffer area.</w:t>
            </w: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AF057D">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PO43</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Boundary realignments:</w:t>
            </w:r>
          </w:p>
          <w:p w:rsidR="00246D60" w:rsidRPr="00246D60" w:rsidRDefault="00246D60" w:rsidP="00246D6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do not result in the creation of additional building development within the buffer;</w:t>
            </w:r>
          </w:p>
          <w:p w:rsidR="00246D60" w:rsidRPr="00246D60" w:rsidRDefault="00246D60" w:rsidP="00246D60">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result in the reduction of building development opportunities within the buffer.</w:t>
            </w:r>
          </w:p>
        </w:tc>
        <w:tc>
          <w:tcPr>
            <w:tcW w:w="1531"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No example provided.</w:t>
            </w: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0847DE" w:rsidRPr="00246D60" w:rsidTr="000847DE">
        <w:trPr>
          <w:tblCellSpacing w:w="15" w:type="dxa"/>
        </w:trPr>
        <w:tc>
          <w:tcPr>
            <w:tcW w:w="4980" w:type="pct"/>
            <w:gridSpan w:val="4"/>
            <w:shd w:val="clear" w:color="auto" w:fill="CCCCCC"/>
            <w:vAlign w:val="center"/>
            <w:hideMark/>
          </w:tcPr>
          <w:p w:rsidR="000847DE" w:rsidRPr="00246D60" w:rsidRDefault="000847DE"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41"/>
            </w:tblGrid>
            <w:tr w:rsidR="000847DE" w:rsidRPr="00246D60" w:rsidTr="00246D60">
              <w:trPr>
                <w:tblCellSpacing w:w="15" w:type="dxa"/>
              </w:trPr>
              <w:tc>
                <w:tcPr>
                  <w:tcW w:w="15248" w:type="dxa"/>
                  <w:vAlign w:val="center"/>
                  <w:hideMark/>
                </w:tcPr>
                <w:p w:rsidR="000847DE" w:rsidRPr="00246D60" w:rsidRDefault="000847DE"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0847DE" w:rsidRPr="00246D60" w:rsidRDefault="000847DE"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AF057D">
        <w:trPr>
          <w:tblCellSpacing w:w="15" w:type="dxa"/>
        </w:trPr>
        <w:tc>
          <w:tcPr>
            <w:tcW w:w="1697" w:type="pct"/>
            <w:vAlign w:val="cente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lastRenderedPageBreak/>
              <w:t>PO44</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Development:</w:t>
            </w:r>
          </w:p>
          <w:p w:rsidR="00246D60" w:rsidRPr="00246D60" w:rsidRDefault="00246D60" w:rsidP="00246D6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minimises the risk to persons from overland flow;</w:t>
            </w:r>
          </w:p>
          <w:p w:rsidR="00246D60" w:rsidRPr="00246D60" w:rsidRDefault="00246D60" w:rsidP="00246D6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does not increase the potential for damage from overland flow either on the premises or on a surrounding property, public land, road or infrastructure. </w:t>
            </w:r>
          </w:p>
        </w:tc>
        <w:tc>
          <w:tcPr>
            <w:tcW w:w="1531"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No example provided.</w:t>
            </w: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0847DE" w:rsidRPr="00246D60" w:rsidTr="00AF057D">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PO45</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Development:</w:t>
            </w:r>
          </w:p>
          <w:p w:rsidR="00246D60" w:rsidRPr="00246D60" w:rsidRDefault="00246D60" w:rsidP="00246D6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246D60" w:rsidRPr="00246D60" w:rsidRDefault="00246D60" w:rsidP="00246D60">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10"/>
            </w:tblGrid>
            <w:tr w:rsidR="00246D60" w:rsidRPr="00246D60" w:rsidTr="00246D60">
              <w:trPr>
                <w:tblCellSpacing w:w="15" w:type="dxa"/>
              </w:trPr>
              <w:tc>
                <w:tcPr>
                  <w:tcW w:w="8820" w:type="dxa"/>
                  <w:vAlign w:val="cente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Note - Reporting to be prepared in accordance with Planning scheme policy – Flood hazard, Co</w:t>
                  </w:r>
                  <w:r w:rsidR="000847DE">
                    <w:rPr>
                      <w:rFonts w:ascii="Arial" w:eastAsia="Times New Roman" w:hAnsi="Arial" w:cs="Arial"/>
                      <w:sz w:val="20"/>
                      <w:szCs w:val="20"/>
                      <w:lang w:eastAsia="en-AU"/>
                    </w:rPr>
                    <w:t>astal hazard and Overland flow.</w:t>
                  </w:r>
                </w:p>
              </w:tc>
            </w:tr>
          </w:tbl>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p>
        </w:tc>
        <w:tc>
          <w:tcPr>
            <w:tcW w:w="1531"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E45</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Development ensures that any buildings are not located in an Overland flow path area.</w:t>
            </w:r>
          </w:p>
          <w:tbl>
            <w:tblPr>
              <w:tblW w:w="462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1"/>
            </w:tblGrid>
            <w:tr w:rsidR="00246D60" w:rsidRPr="00246D60" w:rsidTr="000847DE">
              <w:trPr>
                <w:tblCellSpacing w:w="15" w:type="dxa"/>
              </w:trPr>
              <w:tc>
                <w:tcPr>
                  <w:tcW w:w="4561" w:type="dxa"/>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AF057D">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PO46</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Development does not:</w:t>
            </w:r>
          </w:p>
          <w:p w:rsidR="00246D60" w:rsidRPr="00246D60" w:rsidRDefault="00246D60" w:rsidP="00246D60">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directly, indirectly or cumulatively cause any increase in overland flow velocity or level;</w:t>
            </w:r>
          </w:p>
          <w:p w:rsidR="00246D60" w:rsidRPr="00246D60" w:rsidRDefault="00246D60" w:rsidP="00246D60">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increase the potential for flood damage from overland flow either on the premises or on a surrounding property, public land, road or infrastructure. </w:t>
            </w:r>
          </w:p>
          <w:tbl>
            <w:tblPr>
              <w:tblW w:w="49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7"/>
            </w:tblGrid>
            <w:tr w:rsidR="00246D60" w:rsidRPr="00246D60" w:rsidTr="000847DE">
              <w:trPr>
                <w:tblCellSpacing w:w="15" w:type="dxa"/>
              </w:trPr>
              <w:tc>
                <w:tcPr>
                  <w:tcW w:w="4857" w:type="dxa"/>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r w:rsidR="00246D60" w:rsidRPr="00246D60" w:rsidTr="000847DE">
              <w:trPr>
                <w:tblCellSpacing w:w="15" w:type="dxa"/>
              </w:trPr>
              <w:tc>
                <w:tcPr>
                  <w:tcW w:w="4857" w:type="dxa"/>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r w:rsidRPr="00246D60">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rsidR="00246D60" w:rsidRPr="00246D60" w:rsidRDefault="00246D60" w:rsidP="00246D60">
            <w:pPr>
              <w:spacing w:before="100" w:beforeAutospacing="1" w:after="100" w:afterAutospacing="1" w:line="240" w:lineRule="auto"/>
              <w:rPr>
                <w:rFonts w:ascii="Arial" w:eastAsia="Times New Roman" w:hAnsi="Arial" w:cs="Arial"/>
                <w:vanish/>
                <w:sz w:val="20"/>
                <w:szCs w:val="20"/>
                <w:lang w:eastAsia="en-AU"/>
              </w:rPr>
            </w:pPr>
          </w:p>
          <w:p w:rsidR="00AF057D" w:rsidRDefault="00AF057D"/>
          <w:tbl>
            <w:tblPr>
              <w:tblW w:w="4811"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7"/>
            </w:tblGrid>
            <w:tr w:rsidR="00246D60" w:rsidRPr="00246D60" w:rsidTr="00AF057D">
              <w:trPr>
                <w:tblCellSpacing w:w="15" w:type="dxa"/>
              </w:trPr>
              <w:tc>
                <w:tcPr>
                  <w:tcW w:w="4857" w:type="dxa"/>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r w:rsidRPr="00246D60">
                    <w:rPr>
                      <w:rFonts w:ascii="Arial" w:eastAsia="Times New Roman" w:hAnsi="Arial" w:cs="Arial"/>
                      <w:sz w:val="20"/>
                      <w:szCs w:val="20"/>
                      <w:lang w:eastAsia="en-AU"/>
                    </w:rPr>
                    <w:t>Note - Reporting to be prepared in accordance with Planning scheme policy – Flood hazard, Coastal hazard and Overland flow</w:t>
                  </w:r>
                </w:p>
              </w:tc>
            </w:tr>
          </w:tbl>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p>
        </w:tc>
        <w:tc>
          <w:tcPr>
            <w:tcW w:w="1531"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lastRenderedPageBreak/>
              <w:t>No example provided.</w:t>
            </w: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0847DE" w:rsidRPr="00246D60" w:rsidTr="00AF057D">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PO47</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531"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E47</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Development ensures that overland flow paths and drainage infrastructure is provided to convey overland flow from a road or public open space area away from a private lot, unless the development is in the Rural zone. </w:t>
            </w: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AF057D">
        <w:trPr>
          <w:tblCellSpacing w:w="15" w:type="dxa"/>
        </w:trPr>
        <w:tc>
          <w:tcPr>
            <w:tcW w:w="1697" w:type="pct"/>
            <w:vMerge w:val="restar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PO48</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246D60">
              <w:rPr>
                <w:rFonts w:ascii="Arial" w:eastAsia="Times New Roman" w:hAnsi="Arial" w:cs="Arial"/>
                <w:sz w:val="20"/>
                <w:szCs w:val="20"/>
                <w:lang w:eastAsia="en-AU"/>
              </w:rPr>
              <w:t>are able to</w:t>
            </w:r>
            <w:proofErr w:type="gramEnd"/>
            <w:r w:rsidRPr="00246D60">
              <w:rPr>
                <w:rFonts w:ascii="Arial" w:eastAsia="Times New Roman" w:hAnsi="Arial" w:cs="Arial"/>
                <w:sz w:val="20"/>
                <w:szCs w:val="20"/>
                <w:lang w:eastAsia="en-AU"/>
              </w:rPr>
              <w:t xml:space="preserve"> be easily maintained. </w:t>
            </w:r>
          </w:p>
          <w:tbl>
            <w:tblPr>
              <w:tblW w:w="4869"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76"/>
            </w:tblGrid>
            <w:tr w:rsidR="00246D60" w:rsidRPr="00246D60" w:rsidTr="000847DE">
              <w:trPr>
                <w:tblCellSpacing w:w="15" w:type="dxa"/>
              </w:trPr>
              <w:tc>
                <w:tcPr>
                  <w:tcW w:w="4857" w:type="dxa"/>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246D60" w:rsidRPr="00246D60" w:rsidTr="000847DE">
              <w:trPr>
                <w:tblCellSpacing w:w="15" w:type="dxa"/>
              </w:trPr>
              <w:tc>
                <w:tcPr>
                  <w:tcW w:w="4857" w:type="dxa"/>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r w:rsidRPr="00246D60">
                    <w:rPr>
                      <w:rFonts w:ascii="Arial" w:eastAsia="Times New Roman" w:hAnsi="Arial" w:cs="Arial"/>
                      <w:sz w:val="20"/>
                      <w:szCs w:val="20"/>
                      <w:lang w:eastAsia="en-AU"/>
                    </w:rPr>
                    <w:t>Note - Reporting to be prepared in accordance with Planning scheme policy – Flood hazard, Coastal hazard and Overland flow</w:t>
                  </w:r>
                </w:p>
              </w:tc>
            </w:tr>
          </w:tbl>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p>
        </w:tc>
        <w:tc>
          <w:tcPr>
            <w:tcW w:w="1531"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E48.1</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246D60" w:rsidRPr="00246D60" w:rsidRDefault="00246D60" w:rsidP="00246D60">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Urban area – Level III;</w:t>
            </w:r>
          </w:p>
          <w:p w:rsidR="00246D60" w:rsidRPr="00246D60" w:rsidRDefault="00246D60" w:rsidP="00246D60">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Rural area – N/A;</w:t>
            </w:r>
          </w:p>
          <w:p w:rsidR="00246D60" w:rsidRPr="00246D60" w:rsidRDefault="00246D60" w:rsidP="00246D60">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Industrial area – Level V;</w:t>
            </w:r>
          </w:p>
          <w:p w:rsidR="00246D60" w:rsidRPr="00246D60" w:rsidRDefault="00246D60" w:rsidP="00246D60">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246D60">
              <w:rPr>
                <w:rFonts w:ascii="Arial" w:eastAsia="Times New Roman" w:hAnsi="Arial" w:cs="Arial"/>
                <w:sz w:val="20"/>
                <w:szCs w:val="20"/>
                <w:lang w:eastAsia="en-AU"/>
              </w:rPr>
              <w:t>Commercial area – Level V.</w:t>
            </w: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AF057D">
        <w:trPr>
          <w:tblCellSpacing w:w="15" w:type="dxa"/>
        </w:trPr>
        <w:tc>
          <w:tcPr>
            <w:tcW w:w="1697" w:type="pct"/>
            <w:vMerge/>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p>
        </w:tc>
        <w:tc>
          <w:tcPr>
            <w:tcW w:w="1531" w:type="pct"/>
            <w:vAlign w:val="cente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E48.2</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AF057D">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PO49</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lastRenderedPageBreak/>
              <w:t>Development protects the conveyance of overland flow such that easements for drainage purposes are provided over:</w:t>
            </w:r>
          </w:p>
          <w:p w:rsidR="00246D60" w:rsidRPr="00246D60" w:rsidRDefault="00246D60" w:rsidP="00246D60">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a stormwater pipe if the nominal pipe diameter exceeds 300mm;</w:t>
            </w:r>
          </w:p>
          <w:p w:rsidR="00246D60" w:rsidRPr="00246D60" w:rsidRDefault="00246D60" w:rsidP="00246D60">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an overland flow path where it crosses more than one property; and</w:t>
            </w:r>
          </w:p>
          <w:p w:rsidR="00246D60" w:rsidRPr="00246D60" w:rsidRDefault="00246D60" w:rsidP="00246D60">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inter-allotment drainage infrastructure.</w:t>
            </w:r>
          </w:p>
          <w:tbl>
            <w:tblPr>
              <w:tblW w:w="49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7"/>
            </w:tblGrid>
            <w:tr w:rsidR="00246D60" w:rsidRPr="00246D60" w:rsidTr="000847DE">
              <w:trPr>
                <w:tblCellSpacing w:w="15" w:type="dxa"/>
              </w:trPr>
              <w:tc>
                <w:tcPr>
                  <w:tcW w:w="4857" w:type="dxa"/>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r w:rsidRPr="00246D60">
                    <w:rPr>
                      <w:rFonts w:ascii="Arial" w:eastAsia="Times New Roman" w:hAnsi="Arial" w:cs="Arial"/>
                      <w:sz w:val="20"/>
                      <w:szCs w:val="20"/>
                      <w:lang w:eastAsia="en-AU"/>
                    </w:rPr>
                    <w:t>Note - Refer to Planning scheme policy - Integrated design for details and examples.</w:t>
                  </w:r>
                </w:p>
              </w:tc>
            </w:tr>
            <w:tr w:rsidR="00246D60" w:rsidRPr="00246D60" w:rsidTr="000847DE">
              <w:trPr>
                <w:tblCellSpacing w:w="15" w:type="dxa"/>
              </w:trPr>
              <w:tc>
                <w:tcPr>
                  <w:tcW w:w="4857" w:type="dxa"/>
                  <w:vAlign w:val="center"/>
                  <w:hideMark/>
                </w:tcPr>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r w:rsidRPr="00246D60">
                    <w:rPr>
                      <w:rFonts w:ascii="Arial" w:eastAsia="Times New Roman" w:hAnsi="Arial" w:cs="Arial"/>
                      <w:sz w:val="20"/>
                      <w:szCs w:val="20"/>
                      <w:lang w:eastAsia="en-AU"/>
                    </w:rPr>
                    <w:t>Note - Stormwater drainage easement dimensions are provided in accordance with Section 3.8.5 of QUDM.</w:t>
                  </w:r>
                </w:p>
              </w:tc>
            </w:tr>
          </w:tbl>
          <w:p w:rsidR="00246D60" w:rsidRPr="00246D60" w:rsidRDefault="00246D60" w:rsidP="00246D60">
            <w:pPr>
              <w:spacing w:before="100" w:beforeAutospacing="1" w:after="100" w:afterAutospacing="1" w:line="240" w:lineRule="auto"/>
              <w:rPr>
                <w:rFonts w:ascii="Arial" w:eastAsia="Times New Roman" w:hAnsi="Arial" w:cs="Arial"/>
                <w:sz w:val="20"/>
                <w:szCs w:val="20"/>
                <w:lang w:eastAsia="en-AU"/>
              </w:rPr>
            </w:pPr>
          </w:p>
        </w:tc>
        <w:tc>
          <w:tcPr>
            <w:tcW w:w="1531"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lastRenderedPageBreak/>
              <w:t>No example provided</w:t>
            </w: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p>
        </w:tc>
      </w:tr>
      <w:tr w:rsidR="000847DE" w:rsidRPr="00246D60" w:rsidTr="00AF057D">
        <w:trPr>
          <w:tblCellSpacing w:w="15" w:type="dxa"/>
        </w:trPr>
        <w:tc>
          <w:tcPr>
            <w:tcW w:w="3238" w:type="pct"/>
            <w:gridSpan w:val="2"/>
            <w:vAlign w:val="center"/>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Additional criteria for development for a Park</w:t>
            </w:r>
            <w:r w:rsidRPr="00246D60">
              <w:rPr>
                <w:rFonts w:ascii="Arial" w:eastAsia="Times New Roman" w:hAnsi="Arial" w:cs="Arial"/>
                <w:b/>
                <w:bCs/>
                <w:sz w:val="20"/>
                <w:szCs w:val="20"/>
                <w:vertAlign w:val="superscript"/>
                <w:lang w:eastAsia="en-AU"/>
              </w:rPr>
              <w:t>(</w:t>
            </w:r>
            <w:hyperlink r:id="rId7"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46D60">
                <w:rPr>
                  <w:rFonts w:ascii="Arial" w:eastAsia="Times New Roman" w:hAnsi="Arial" w:cs="Arial"/>
                  <w:color w:val="0000FF"/>
                  <w:sz w:val="20"/>
                  <w:szCs w:val="20"/>
                  <w:vertAlign w:val="superscript"/>
                  <w:lang w:eastAsia="en-AU"/>
                </w:rPr>
                <w:t>57</w:t>
              </w:r>
            </w:hyperlink>
            <w:r w:rsidRPr="00246D60">
              <w:rPr>
                <w:rFonts w:ascii="Arial" w:eastAsia="Times New Roman" w:hAnsi="Arial" w:cs="Arial"/>
                <w:b/>
                <w:bCs/>
                <w:sz w:val="20"/>
                <w:szCs w:val="20"/>
                <w:vertAlign w:val="superscript"/>
                <w:lang w:eastAsia="en-AU"/>
              </w:rPr>
              <w:t>)</w:t>
            </w: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r w:rsidR="000847DE" w:rsidRPr="00246D60" w:rsidTr="00AF057D">
        <w:trPr>
          <w:tblCellSpacing w:w="15" w:type="dxa"/>
        </w:trPr>
        <w:tc>
          <w:tcPr>
            <w:tcW w:w="1697"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PO50</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Development for a Park</w:t>
            </w:r>
            <w:r w:rsidRPr="00246D60">
              <w:rPr>
                <w:rFonts w:ascii="Arial" w:eastAsia="Times New Roman" w:hAnsi="Arial" w:cs="Arial"/>
                <w:sz w:val="20"/>
                <w:szCs w:val="20"/>
                <w:vertAlign w:val="superscript"/>
                <w:lang w:eastAsia="en-AU"/>
              </w:rPr>
              <w:t>(</w:t>
            </w:r>
            <w:hyperlink r:id="rId8"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46D60">
                <w:rPr>
                  <w:rFonts w:ascii="Arial" w:eastAsia="Times New Roman" w:hAnsi="Arial" w:cs="Arial"/>
                  <w:color w:val="0000FF"/>
                  <w:sz w:val="20"/>
                  <w:szCs w:val="20"/>
                  <w:vertAlign w:val="superscript"/>
                  <w:lang w:eastAsia="en-AU"/>
                </w:rPr>
                <w:t>57</w:t>
              </w:r>
            </w:hyperlink>
            <w:r w:rsidRPr="00246D60">
              <w:rPr>
                <w:rFonts w:ascii="Arial" w:eastAsia="Times New Roman" w:hAnsi="Arial" w:cs="Arial"/>
                <w:sz w:val="20"/>
                <w:szCs w:val="20"/>
                <w:vertAlign w:val="superscript"/>
                <w:lang w:eastAsia="en-AU"/>
              </w:rPr>
              <w:t>)</w:t>
            </w:r>
            <w:r w:rsidRPr="00246D60">
              <w:rPr>
                <w:rFonts w:ascii="Arial" w:eastAsia="Times New Roman" w:hAnsi="Arial" w:cs="Arial"/>
                <w:sz w:val="20"/>
                <w:szCs w:val="20"/>
                <w:lang w:eastAsia="en-AU"/>
              </w:rPr>
              <w:t xml:space="preserve"> ensures that the design and layout responds to the nature of the overland flow affecting the premises such that: </w:t>
            </w:r>
          </w:p>
          <w:p w:rsidR="00246D60" w:rsidRPr="00246D60" w:rsidRDefault="00246D60" w:rsidP="00246D60">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public benefit and enjoyment is maximised;</w:t>
            </w:r>
          </w:p>
          <w:p w:rsidR="00246D60" w:rsidRPr="00246D60" w:rsidRDefault="00246D60" w:rsidP="00246D60">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impacts on the asset life and integrity of park structures is minimised;</w:t>
            </w:r>
          </w:p>
          <w:p w:rsidR="00246D60" w:rsidRPr="00246D60" w:rsidRDefault="00246D60" w:rsidP="00246D60">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246D60">
              <w:rPr>
                <w:rFonts w:ascii="Arial" w:eastAsia="Times New Roman" w:hAnsi="Arial" w:cs="Arial"/>
                <w:sz w:val="20"/>
                <w:szCs w:val="20"/>
                <w:lang w:eastAsia="en-AU"/>
              </w:rPr>
              <w:t>maintenance and replacement costs are minimised.</w:t>
            </w:r>
          </w:p>
        </w:tc>
        <w:tc>
          <w:tcPr>
            <w:tcW w:w="1531" w:type="pct"/>
            <w:hideMark/>
          </w:tcPr>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b/>
                <w:bCs/>
                <w:sz w:val="20"/>
                <w:szCs w:val="20"/>
                <w:lang w:eastAsia="en-AU"/>
              </w:rPr>
              <w:t>E50</w:t>
            </w:r>
          </w:p>
          <w:p w:rsidR="00246D60" w:rsidRPr="00246D60" w:rsidRDefault="00246D60" w:rsidP="00246D60">
            <w:pPr>
              <w:spacing w:before="100" w:beforeAutospacing="1" w:after="100" w:afterAutospacing="1" w:line="240" w:lineRule="auto"/>
              <w:ind w:left="150" w:right="150"/>
              <w:rPr>
                <w:rFonts w:ascii="Arial" w:eastAsia="Times New Roman" w:hAnsi="Arial" w:cs="Arial"/>
                <w:sz w:val="20"/>
                <w:szCs w:val="20"/>
                <w:lang w:eastAsia="en-AU"/>
              </w:rPr>
            </w:pPr>
            <w:r w:rsidRPr="00246D60">
              <w:rPr>
                <w:rFonts w:ascii="Arial" w:eastAsia="Times New Roman" w:hAnsi="Arial" w:cs="Arial"/>
                <w:sz w:val="20"/>
                <w:szCs w:val="20"/>
                <w:lang w:eastAsia="en-AU"/>
              </w:rPr>
              <w:t>Development for a Park</w:t>
            </w:r>
            <w:r w:rsidRPr="00246D60">
              <w:rPr>
                <w:rFonts w:ascii="Arial" w:eastAsia="Times New Roman" w:hAnsi="Arial" w:cs="Arial"/>
                <w:sz w:val="20"/>
                <w:szCs w:val="20"/>
                <w:vertAlign w:val="superscript"/>
                <w:lang w:eastAsia="en-AU"/>
              </w:rPr>
              <w:t>(</w:t>
            </w:r>
            <w:hyperlink r:id="rId9"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246D60">
                <w:rPr>
                  <w:rFonts w:ascii="Arial" w:eastAsia="Times New Roman" w:hAnsi="Arial" w:cs="Arial"/>
                  <w:color w:val="0000FF"/>
                  <w:sz w:val="20"/>
                  <w:szCs w:val="20"/>
                  <w:vertAlign w:val="superscript"/>
                  <w:lang w:eastAsia="en-AU"/>
                </w:rPr>
                <w:t>57</w:t>
              </w:r>
            </w:hyperlink>
            <w:r w:rsidRPr="00246D60">
              <w:rPr>
                <w:rFonts w:ascii="Arial" w:eastAsia="Times New Roman" w:hAnsi="Arial" w:cs="Arial"/>
                <w:sz w:val="20"/>
                <w:szCs w:val="20"/>
                <w:vertAlign w:val="superscript"/>
                <w:lang w:eastAsia="en-AU"/>
              </w:rPr>
              <w:t>)</w:t>
            </w:r>
            <w:r w:rsidRPr="00246D60">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73"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246D60" w:rsidRPr="00246D60" w:rsidRDefault="00246D60" w:rsidP="00246D6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Pr="00246D60" w:rsidRDefault="00641E2E" w:rsidP="00246D60">
      <w:pPr>
        <w:spacing w:before="100" w:beforeAutospacing="1" w:after="100" w:afterAutospacing="1" w:line="240" w:lineRule="auto"/>
        <w:rPr>
          <w:rFonts w:ascii="Arial" w:hAnsi="Arial" w:cs="Arial"/>
          <w:sz w:val="20"/>
          <w:szCs w:val="20"/>
        </w:rPr>
      </w:pPr>
    </w:p>
    <w:sectPr w:rsidR="00641E2E" w:rsidRPr="00246D60" w:rsidSect="00246D60">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129" w:rsidRDefault="005E0129" w:rsidP="00246D60">
      <w:pPr>
        <w:spacing w:after="0" w:line="240" w:lineRule="auto"/>
      </w:pPr>
      <w:r>
        <w:separator/>
      </w:r>
    </w:p>
  </w:endnote>
  <w:endnote w:type="continuationSeparator" w:id="0">
    <w:p w:rsidR="005E0129" w:rsidRDefault="005E0129" w:rsidP="0024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45235C" w:rsidRPr="00246D60" w:rsidRDefault="0045235C">
        <w:pPr>
          <w:pStyle w:val="Footer"/>
          <w:rPr>
            <w:rFonts w:ascii="Arial" w:hAnsi="Arial" w:cs="Arial"/>
            <w:i/>
            <w:sz w:val="20"/>
            <w:szCs w:val="20"/>
          </w:rPr>
        </w:pPr>
        <w:r w:rsidRPr="00F65D35">
          <w:rPr>
            <w:rFonts w:ascii="Arial" w:hAnsi="Arial" w:cs="Arial"/>
            <w:i/>
            <w:sz w:val="20"/>
            <w:szCs w:val="20"/>
          </w:rPr>
          <w:t xml:space="preserve">MBRC Planning Scheme - </w:t>
        </w:r>
        <w:r>
          <w:rPr>
            <w:rFonts w:ascii="Arial" w:hAnsi="Arial" w:cs="Arial"/>
            <w:i/>
            <w:sz w:val="20"/>
            <w:szCs w:val="20"/>
          </w:rPr>
          <w:t>Caboolture West local plan</w:t>
        </w:r>
        <w:r w:rsidRPr="00F65D35">
          <w:rPr>
            <w:rFonts w:ascii="Arial" w:hAnsi="Arial" w:cs="Arial"/>
            <w:i/>
            <w:sz w:val="20"/>
            <w:szCs w:val="20"/>
          </w:rPr>
          <w:t xml:space="preserve"> -</w:t>
        </w:r>
        <w:r>
          <w:rPr>
            <w:rFonts w:ascii="Arial" w:hAnsi="Arial" w:cs="Arial"/>
            <w:i/>
            <w:sz w:val="20"/>
            <w:szCs w:val="20"/>
          </w:rPr>
          <w:t xml:space="preserve"> Reconfiguring a lot code - Enterprise and employment precinct</w:t>
        </w:r>
        <w:r w:rsidRPr="00F65D35">
          <w:rPr>
            <w:rFonts w:ascii="Arial" w:hAnsi="Arial" w:cs="Arial"/>
            <w:i/>
            <w:sz w:val="20"/>
            <w:szCs w:val="20"/>
          </w:rPr>
          <w:t xml:space="preserve"> - </w:t>
        </w:r>
        <w:r>
          <w:rPr>
            <w:rFonts w:ascii="Arial" w:hAnsi="Arial" w:cs="Arial"/>
            <w:i/>
            <w:sz w:val="20"/>
            <w:szCs w:val="20"/>
          </w:rPr>
          <w:t>Assessable</w:t>
        </w:r>
        <w:r w:rsidRPr="00F65D35">
          <w:rPr>
            <w:rFonts w:ascii="Arial" w:hAnsi="Arial" w:cs="Arial"/>
            <w:i/>
            <w:sz w:val="20"/>
            <w:szCs w:val="20"/>
          </w:rPr>
          <w:t xml:space="preserve"> -</w:t>
        </w:r>
        <w:r>
          <w:rPr>
            <w:rFonts w:ascii="Arial" w:hAnsi="Arial" w:cs="Arial"/>
            <w:i/>
            <w:sz w:val="20"/>
            <w:szCs w:val="20"/>
          </w:rPr>
          <w:t xml:space="preserve"> 3 July 2017</w:t>
        </w:r>
        <w:r w:rsidRPr="00F65D35">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sidR="00CD3498">
          <w:rPr>
            <w:rFonts w:ascii="Arial" w:hAnsi="Arial" w:cs="Arial"/>
            <w:noProof/>
            <w:sz w:val="20"/>
            <w:szCs w:val="20"/>
          </w:rPr>
          <w:t>18</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129" w:rsidRDefault="005E0129" w:rsidP="00246D60">
      <w:pPr>
        <w:spacing w:after="0" w:line="240" w:lineRule="auto"/>
      </w:pPr>
      <w:r>
        <w:separator/>
      </w:r>
    </w:p>
  </w:footnote>
  <w:footnote w:type="continuationSeparator" w:id="0">
    <w:p w:rsidR="005E0129" w:rsidRDefault="005E0129" w:rsidP="00246D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00FD"/>
    <w:multiLevelType w:val="multilevel"/>
    <w:tmpl w:val="52305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2D7BD3"/>
    <w:multiLevelType w:val="multilevel"/>
    <w:tmpl w:val="62F836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500B1D"/>
    <w:multiLevelType w:val="multilevel"/>
    <w:tmpl w:val="1966B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920434"/>
    <w:multiLevelType w:val="multilevel"/>
    <w:tmpl w:val="D77433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FE3B6B"/>
    <w:multiLevelType w:val="multilevel"/>
    <w:tmpl w:val="6B24B0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5365E2"/>
    <w:multiLevelType w:val="multilevel"/>
    <w:tmpl w:val="9F02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7" w15:restartNumberingAfterBreak="0">
    <w:nsid w:val="1AE03502"/>
    <w:multiLevelType w:val="multilevel"/>
    <w:tmpl w:val="809EB5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D86C40"/>
    <w:multiLevelType w:val="multilevel"/>
    <w:tmpl w:val="5218CE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E73380"/>
    <w:multiLevelType w:val="multilevel"/>
    <w:tmpl w:val="F20E96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C0313A"/>
    <w:multiLevelType w:val="multilevel"/>
    <w:tmpl w:val="56267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1060CF4"/>
    <w:multiLevelType w:val="multilevel"/>
    <w:tmpl w:val="5680B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1E765ED"/>
    <w:multiLevelType w:val="multilevel"/>
    <w:tmpl w:val="DF6AA3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42D0F6A"/>
    <w:multiLevelType w:val="multilevel"/>
    <w:tmpl w:val="1D129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486548F"/>
    <w:multiLevelType w:val="multilevel"/>
    <w:tmpl w:val="63702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8CB78B8"/>
    <w:multiLevelType w:val="multilevel"/>
    <w:tmpl w:val="D50231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A423BBE"/>
    <w:multiLevelType w:val="multilevel"/>
    <w:tmpl w:val="529A74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A9115C7"/>
    <w:multiLevelType w:val="multilevel"/>
    <w:tmpl w:val="35BA80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D8C6B64"/>
    <w:multiLevelType w:val="multilevel"/>
    <w:tmpl w:val="6B38B1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14249AC"/>
    <w:multiLevelType w:val="multilevel"/>
    <w:tmpl w:val="0E2E7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9AD3151"/>
    <w:multiLevelType w:val="multilevel"/>
    <w:tmpl w:val="568A4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2085498"/>
    <w:multiLevelType w:val="multilevel"/>
    <w:tmpl w:val="2CF4EE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6333269"/>
    <w:multiLevelType w:val="multilevel"/>
    <w:tmpl w:val="3E64E2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72E3A4D"/>
    <w:multiLevelType w:val="multilevel"/>
    <w:tmpl w:val="BE600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72E4789"/>
    <w:multiLevelType w:val="multilevel"/>
    <w:tmpl w:val="24D677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9170801"/>
    <w:multiLevelType w:val="multilevel"/>
    <w:tmpl w:val="98660B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9FB3D64"/>
    <w:multiLevelType w:val="multilevel"/>
    <w:tmpl w:val="B3B23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2A80AA9"/>
    <w:multiLevelType w:val="multilevel"/>
    <w:tmpl w:val="36B2C2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3BE40D2"/>
    <w:multiLevelType w:val="multilevel"/>
    <w:tmpl w:val="017649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7352C36"/>
    <w:multiLevelType w:val="multilevel"/>
    <w:tmpl w:val="C38A29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D3A11A1"/>
    <w:multiLevelType w:val="multilevel"/>
    <w:tmpl w:val="035C58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FCC2936"/>
    <w:multiLevelType w:val="multilevel"/>
    <w:tmpl w:val="65387E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08B43ED"/>
    <w:multiLevelType w:val="multilevel"/>
    <w:tmpl w:val="3DEAA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2E4750F"/>
    <w:multiLevelType w:val="multilevel"/>
    <w:tmpl w:val="121E56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43C6E87"/>
    <w:multiLevelType w:val="multilevel"/>
    <w:tmpl w:val="DFD82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9684F62"/>
    <w:multiLevelType w:val="multilevel"/>
    <w:tmpl w:val="76FC27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7CE07347"/>
    <w:multiLevelType w:val="multilevel"/>
    <w:tmpl w:val="70E453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8"/>
  </w:num>
  <w:num w:numId="2">
    <w:abstractNumId w:val="23"/>
  </w:num>
  <w:num w:numId="3">
    <w:abstractNumId w:val="0"/>
  </w:num>
  <w:num w:numId="4">
    <w:abstractNumId w:val="10"/>
  </w:num>
  <w:num w:numId="5">
    <w:abstractNumId w:val="29"/>
  </w:num>
  <w:num w:numId="6">
    <w:abstractNumId w:val="1"/>
  </w:num>
  <w:num w:numId="7">
    <w:abstractNumId w:val="25"/>
  </w:num>
  <w:num w:numId="8">
    <w:abstractNumId w:val="9"/>
  </w:num>
  <w:num w:numId="9">
    <w:abstractNumId w:val="2"/>
  </w:num>
  <w:num w:numId="10">
    <w:abstractNumId w:val="4"/>
  </w:num>
  <w:num w:numId="11">
    <w:abstractNumId w:val="35"/>
  </w:num>
  <w:num w:numId="12">
    <w:abstractNumId w:val="16"/>
  </w:num>
  <w:num w:numId="13">
    <w:abstractNumId w:val="11"/>
  </w:num>
  <w:num w:numId="14">
    <w:abstractNumId w:val="15"/>
  </w:num>
  <w:num w:numId="15">
    <w:abstractNumId w:val="20"/>
  </w:num>
  <w:num w:numId="16">
    <w:abstractNumId w:val="30"/>
  </w:num>
  <w:num w:numId="17">
    <w:abstractNumId w:val="26"/>
  </w:num>
  <w:num w:numId="18">
    <w:abstractNumId w:val="13"/>
  </w:num>
  <w:num w:numId="19">
    <w:abstractNumId w:val="32"/>
  </w:num>
  <w:num w:numId="20">
    <w:abstractNumId w:val="36"/>
  </w:num>
  <w:num w:numId="21">
    <w:abstractNumId w:val="31"/>
  </w:num>
  <w:num w:numId="22">
    <w:abstractNumId w:val="22"/>
  </w:num>
  <w:num w:numId="23">
    <w:abstractNumId w:val="21"/>
  </w:num>
  <w:num w:numId="24">
    <w:abstractNumId w:val="34"/>
  </w:num>
  <w:num w:numId="25">
    <w:abstractNumId w:val="3"/>
  </w:num>
  <w:num w:numId="26">
    <w:abstractNumId w:val="12"/>
  </w:num>
  <w:num w:numId="27">
    <w:abstractNumId w:val="33"/>
  </w:num>
  <w:num w:numId="28">
    <w:abstractNumId w:val="17"/>
  </w:num>
  <w:num w:numId="29">
    <w:abstractNumId w:val="17"/>
    <w:lvlOverride w:ilvl="1">
      <w:startOverride w:val="1"/>
    </w:lvlOverride>
  </w:num>
  <w:num w:numId="30">
    <w:abstractNumId w:val="24"/>
  </w:num>
  <w:num w:numId="31">
    <w:abstractNumId w:val="19"/>
  </w:num>
  <w:num w:numId="32">
    <w:abstractNumId w:val="28"/>
  </w:num>
  <w:num w:numId="33">
    <w:abstractNumId w:val="27"/>
  </w:num>
  <w:num w:numId="34">
    <w:abstractNumId w:val="8"/>
  </w:num>
  <w:num w:numId="35">
    <w:abstractNumId w:val="14"/>
  </w:num>
  <w:num w:numId="36">
    <w:abstractNumId w:val="7"/>
  </w:num>
  <w:num w:numId="37">
    <w:abstractNumId w:val="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D60"/>
    <w:rsid w:val="000847DE"/>
    <w:rsid w:val="00246D60"/>
    <w:rsid w:val="0045235C"/>
    <w:rsid w:val="004E0E41"/>
    <w:rsid w:val="005E0129"/>
    <w:rsid w:val="00641E2E"/>
    <w:rsid w:val="00AF057D"/>
    <w:rsid w:val="00CD3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B5339"/>
  <w15:chartTrackingRefBased/>
  <w15:docId w15:val="{E217D4EB-7D95-47CA-A063-3CF5F8B5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46D60"/>
    <w:rPr>
      <w:i/>
      <w:iCs/>
    </w:rPr>
  </w:style>
  <w:style w:type="character" w:styleId="Strong">
    <w:name w:val="Strong"/>
    <w:basedOn w:val="DefaultParagraphFont"/>
    <w:uiPriority w:val="22"/>
    <w:qFormat/>
    <w:rsid w:val="00246D60"/>
    <w:rPr>
      <w:b/>
      <w:bCs/>
    </w:rPr>
  </w:style>
  <w:style w:type="paragraph" w:styleId="ListParagraph">
    <w:name w:val="List Paragraph"/>
    <w:basedOn w:val="Normal"/>
    <w:uiPriority w:val="34"/>
    <w:qFormat/>
    <w:rsid w:val="00246D60"/>
    <w:pPr>
      <w:spacing w:after="200" w:line="276" w:lineRule="auto"/>
      <w:ind w:left="720"/>
      <w:contextualSpacing/>
    </w:pPr>
    <w:rPr>
      <w:rFonts w:ascii="Arial" w:hAnsi="Arial"/>
    </w:rPr>
  </w:style>
  <w:style w:type="paragraph" w:styleId="Header">
    <w:name w:val="header"/>
    <w:basedOn w:val="Normal"/>
    <w:link w:val="HeaderChar"/>
    <w:uiPriority w:val="99"/>
    <w:unhideWhenUsed/>
    <w:rsid w:val="00246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D60"/>
  </w:style>
  <w:style w:type="paragraph" w:styleId="Footer">
    <w:name w:val="footer"/>
    <w:basedOn w:val="Normal"/>
    <w:link w:val="FooterChar"/>
    <w:uiPriority w:val="99"/>
    <w:unhideWhenUsed/>
    <w:rsid w:val="00246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41797">
      <w:bodyDiv w:val="1"/>
      <w:marLeft w:val="0"/>
      <w:marRight w:val="0"/>
      <w:marTop w:val="0"/>
      <w:marBottom w:val="0"/>
      <w:divBdr>
        <w:top w:val="none" w:sz="0" w:space="0" w:color="auto"/>
        <w:left w:val="none" w:sz="0" w:space="0" w:color="auto"/>
        <w:bottom w:val="none" w:sz="0" w:space="0" w:color="auto"/>
        <w:right w:val="none" w:sz="0" w:space="0" w:color="auto"/>
      </w:divBdr>
      <w:divsChild>
        <w:div w:id="40717945">
          <w:marLeft w:val="0"/>
          <w:marRight w:val="0"/>
          <w:marTop w:val="0"/>
          <w:marBottom w:val="0"/>
          <w:divBdr>
            <w:top w:val="none" w:sz="0" w:space="0" w:color="auto"/>
            <w:left w:val="none" w:sz="0" w:space="0" w:color="auto"/>
            <w:bottom w:val="none" w:sz="0" w:space="0" w:color="auto"/>
            <w:right w:val="none" w:sz="0" w:space="0" w:color="auto"/>
          </w:divBdr>
          <w:divsChild>
            <w:div w:id="1922789507">
              <w:marLeft w:val="0"/>
              <w:marRight w:val="0"/>
              <w:marTop w:val="150"/>
              <w:marBottom w:val="0"/>
              <w:divBdr>
                <w:top w:val="none" w:sz="0" w:space="0" w:color="auto"/>
                <w:left w:val="none" w:sz="0" w:space="0" w:color="auto"/>
                <w:bottom w:val="none" w:sz="0" w:space="0" w:color="auto"/>
                <w:right w:val="none" w:sz="0" w:space="0" w:color="auto"/>
              </w:divBdr>
              <w:divsChild>
                <w:div w:id="1327322899">
                  <w:marLeft w:val="3300"/>
                  <w:marRight w:val="0"/>
                  <w:marTop w:val="0"/>
                  <w:marBottom w:val="0"/>
                  <w:divBdr>
                    <w:top w:val="none" w:sz="0" w:space="0" w:color="auto"/>
                    <w:left w:val="none" w:sz="0" w:space="0" w:color="auto"/>
                    <w:bottom w:val="none" w:sz="0" w:space="0" w:color="auto"/>
                    <w:right w:val="none" w:sz="0" w:space="0" w:color="auto"/>
                  </w:divBdr>
                  <w:divsChild>
                    <w:div w:id="1441946489">
                      <w:marLeft w:val="0"/>
                      <w:marRight w:val="0"/>
                      <w:marTop w:val="0"/>
                      <w:marBottom w:val="0"/>
                      <w:divBdr>
                        <w:top w:val="single" w:sz="6" w:space="7" w:color="A8A8A8"/>
                        <w:left w:val="single" w:sz="2" w:space="14" w:color="A8A8A8"/>
                        <w:bottom w:val="single" w:sz="6" w:space="7" w:color="A8A8A8"/>
                        <w:right w:val="single" w:sz="2" w:space="14" w:color="A8A8A8"/>
                      </w:divBdr>
                      <w:divsChild>
                        <w:div w:id="565342218">
                          <w:marLeft w:val="0"/>
                          <w:marRight w:val="0"/>
                          <w:marTop w:val="0"/>
                          <w:marBottom w:val="0"/>
                          <w:divBdr>
                            <w:top w:val="none" w:sz="0" w:space="0" w:color="auto"/>
                            <w:left w:val="none" w:sz="0" w:space="0" w:color="auto"/>
                            <w:bottom w:val="none" w:sz="0" w:space="0" w:color="auto"/>
                            <w:right w:val="none" w:sz="0" w:space="0" w:color="auto"/>
                          </w:divBdr>
                          <w:divsChild>
                            <w:div w:id="2138058196">
                              <w:marLeft w:val="0"/>
                              <w:marRight w:val="0"/>
                              <w:marTop w:val="0"/>
                              <w:marBottom w:val="0"/>
                              <w:divBdr>
                                <w:top w:val="none" w:sz="0" w:space="0" w:color="auto"/>
                                <w:left w:val="none" w:sz="0" w:space="0" w:color="auto"/>
                                <w:bottom w:val="none" w:sz="0" w:space="0" w:color="auto"/>
                                <w:right w:val="none" w:sz="0" w:space="0" w:color="auto"/>
                              </w:divBdr>
                              <w:divsChild>
                                <w:div w:id="1310866122">
                                  <w:marLeft w:val="0"/>
                                  <w:marRight w:val="0"/>
                                  <w:marTop w:val="0"/>
                                  <w:marBottom w:val="0"/>
                                  <w:divBdr>
                                    <w:top w:val="none" w:sz="0" w:space="0" w:color="auto"/>
                                    <w:left w:val="none" w:sz="0" w:space="0" w:color="auto"/>
                                    <w:bottom w:val="none" w:sz="0" w:space="0" w:color="auto"/>
                                    <w:right w:val="none" w:sz="0" w:space="0" w:color="auto"/>
                                  </w:divBdr>
                                  <w:divsChild>
                                    <w:div w:id="1719932998">
                                      <w:marLeft w:val="0"/>
                                      <w:marRight w:val="0"/>
                                      <w:marTop w:val="0"/>
                                      <w:marBottom w:val="0"/>
                                      <w:divBdr>
                                        <w:top w:val="none" w:sz="0" w:space="0" w:color="auto"/>
                                        <w:left w:val="none" w:sz="0" w:space="0" w:color="auto"/>
                                        <w:bottom w:val="none" w:sz="0" w:space="0" w:color="auto"/>
                                        <w:right w:val="none" w:sz="0" w:space="0" w:color="auto"/>
                                      </w:divBdr>
                                      <w:divsChild>
                                        <w:div w:id="739450935">
                                          <w:marLeft w:val="0"/>
                                          <w:marRight w:val="0"/>
                                          <w:marTop w:val="0"/>
                                          <w:marBottom w:val="0"/>
                                          <w:divBdr>
                                            <w:top w:val="none" w:sz="0" w:space="0" w:color="auto"/>
                                            <w:left w:val="none" w:sz="0" w:space="0" w:color="auto"/>
                                            <w:bottom w:val="none" w:sz="0" w:space="0" w:color="auto"/>
                                            <w:right w:val="none" w:sz="0" w:space="0" w:color="auto"/>
                                          </w:divBdr>
                                          <w:divsChild>
                                            <w:div w:id="93944244">
                                              <w:marLeft w:val="0"/>
                                              <w:marRight w:val="0"/>
                                              <w:marTop w:val="0"/>
                                              <w:marBottom w:val="0"/>
                                              <w:divBdr>
                                                <w:top w:val="none" w:sz="0" w:space="0" w:color="auto"/>
                                                <w:left w:val="none" w:sz="0" w:space="0" w:color="auto"/>
                                                <w:bottom w:val="none" w:sz="0" w:space="0" w:color="auto"/>
                                                <w:right w:val="none" w:sz="0" w:space="0" w:color="auto"/>
                                              </w:divBdr>
                                              <w:divsChild>
                                                <w:div w:id="562716886">
                                                  <w:marLeft w:val="0"/>
                                                  <w:marRight w:val="0"/>
                                                  <w:marTop w:val="0"/>
                                                  <w:marBottom w:val="0"/>
                                                  <w:divBdr>
                                                    <w:top w:val="none" w:sz="0" w:space="0" w:color="auto"/>
                                                    <w:left w:val="none" w:sz="0" w:space="0" w:color="auto"/>
                                                    <w:bottom w:val="none" w:sz="0" w:space="0" w:color="auto"/>
                                                    <w:right w:val="none" w:sz="0" w:space="0" w:color="auto"/>
                                                  </w:divBdr>
                                                  <w:divsChild>
                                                    <w:div w:id="309404615">
                                                      <w:marLeft w:val="0"/>
                                                      <w:marRight w:val="0"/>
                                                      <w:marTop w:val="0"/>
                                                      <w:marBottom w:val="0"/>
                                                      <w:divBdr>
                                                        <w:top w:val="none" w:sz="0" w:space="0" w:color="auto"/>
                                                        <w:left w:val="none" w:sz="0" w:space="0" w:color="auto"/>
                                                        <w:bottom w:val="none" w:sz="0" w:space="0" w:color="auto"/>
                                                        <w:right w:val="none" w:sz="0" w:space="0" w:color="auto"/>
                                                      </w:divBdr>
                                                    </w:div>
                                                  </w:divsChild>
                                                </w:div>
                                                <w:div w:id="1476337883">
                                                  <w:marLeft w:val="0"/>
                                                  <w:marRight w:val="0"/>
                                                  <w:marTop w:val="0"/>
                                                  <w:marBottom w:val="0"/>
                                                  <w:divBdr>
                                                    <w:top w:val="none" w:sz="0" w:space="0" w:color="auto"/>
                                                    <w:left w:val="none" w:sz="0" w:space="0" w:color="auto"/>
                                                    <w:bottom w:val="none" w:sz="0" w:space="0" w:color="auto"/>
                                                    <w:right w:val="none" w:sz="0" w:space="0" w:color="auto"/>
                                                  </w:divBdr>
                                                  <w:divsChild>
                                                    <w:div w:id="1966543986">
                                                      <w:marLeft w:val="0"/>
                                                      <w:marRight w:val="0"/>
                                                      <w:marTop w:val="0"/>
                                                      <w:marBottom w:val="0"/>
                                                      <w:divBdr>
                                                        <w:top w:val="none" w:sz="0" w:space="0" w:color="auto"/>
                                                        <w:left w:val="none" w:sz="0" w:space="0" w:color="auto"/>
                                                        <w:bottom w:val="none" w:sz="0" w:space="0" w:color="auto"/>
                                                        <w:right w:val="none" w:sz="0" w:space="0" w:color="auto"/>
                                                      </w:divBdr>
                                                    </w:div>
                                                  </w:divsChild>
                                                </w:div>
                                                <w:div w:id="1477914962">
                                                  <w:marLeft w:val="0"/>
                                                  <w:marRight w:val="0"/>
                                                  <w:marTop w:val="0"/>
                                                  <w:marBottom w:val="0"/>
                                                  <w:divBdr>
                                                    <w:top w:val="none" w:sz="0" w:space="0" w:color="auto"/>
                                                    <w:left w:val="none" w:sz="0" w:space="0" w:color="auto"/>
                                                    <w:bottom w:val="none" w:sz="0" w:space="0" w:color="auto"/>
                                                    <w:right w:val="none" w:sz="0" w:space="0" w:color="auto"/>
                                                  </w:divBdr>
                                                  <w:divsChild>
                                                    <w:div w:id="404955401">
                                                      <w:marLeft w:val="0"/>
                                                      <w:marRight w:val="0"/>
                                                      <w:marTop w:val="0"/>
                                                      <w:marBottom w:val="0"/>
                                                      <w:divBdr>
                                                        <w:top w:val="none" w:sz="0" w:space="0" w:color="auto"/>
                                                        <w:left w:val="none" w:sz="0" w:space="0" w:color="auto"/>
                                                        <w:bottom w:val="none" w:sz="0" w:space="0" w:color="auto"/>
                                                        <w:right w:val="none" w:sz="0" w:space="0" w:color="auto"/>
                                                      </w:divBdr>
                                                    </w:div>
                                                  </w:divsChild>
                                                </w:div>
                                                <w:div w:id="1677422922">
                                                  <w:marLeft w:val="0"/>
                                                  <w:marRight w:val="0"/>
                                                  <w:marTop w:val="0"/>
                                                  <w:marBottom w:val="0"/>
                                                  <w:divBdr>
                                                    <w:top w:val="none" w:sz="0" w:space="0" w:color="auto"/>
                                                    <w:left w:val="none" w:sz="0" w:space="0" w:color="auto"/>
                                                    <w:bottom w:val="none" w:sz="0" w:space="0" w:color="auto"/>
                                                    <w:right w:val="none" w:sz="0" w:space="0" w:color="auto"/>
                                                  </w:divBdr>
                                                  <w:divsChild>
                                                    <w:div w:id="2031563869">
                                                      <w:marLeft w:val="0"/>
                                                      <w:marRight w:val="0"/>
                                                      <w:marTop w:val="0"/>
                                                      <w:marBottom w:val="0"/>
                                                      <w:divBdr>
                                                        <w:top w:val="none" w:sz="0" w:space="0" w:color="auto"/>
                                                        <w:left w:val="none" w:sz="0" w:space="0" w:color="auto"/>
                                                        <w:bottom w:val="none" w:sz="0" w:space="0" w:color="auto"/>
                                                        <w:right w:val="none" w:sz="0" w:space="0" w:color="auto"/>
                                                      </w:divBdr>
                                                    </w:div>
                                                  </w:divsChild>
                                                </w:div>
                                                <w:div w:id="279848119">
                                                  <w:marLeft w:val="0"/>
                                                  <w:marRight w:val="0"/>
                                                  <w:marTop w:val="0"/>
                                                  <w:marBottom w:val="0"/>
                                                  <w:divBdr>
                                                    <w:top w:val="none" w:sz="0" w:space="0" w:color="auto"/>
                                                    <w:left w:val="none" w:sz="0" w:space="0" w:color="auto"/>
                                                    <w:bottom w:val="none" w:sz="0" w:space="0" w:color="auto"/>
                                                    <w:right w:val="none" w:sz="0" w:space="0" w:color="auto"/>
                                                  </w:divBdr>
                                                  <w:divsChild>
                                                    <w:div w:id="1588270262">
                                                      <w:marLeft w:val="0"/>
                                                      <w:marRight w:val="0"/>
                                                      <w:marTop w:val="0"/>
                                                      <w:marBottom w:val="0"/>
                                                      <w:divBdr>
                                                        <w:top w:val="none" w:sz="0" w:space="0" w:color="auto"/>
                                                        <w:left w:val="none" w:sz="0" w:space="0" w:color="auto"/>
                                                        <w:bottom w:val="none" w:sz="0" w:space="0" w:color="auto"/>
                                                        <w:right w:val="none" w:sz="0" w:space="0" w:color="auto"/>
                                                      </w:divBdr>
                                                    </w:div>
                                                  </w:divsChild>
                                                </w:div>
                                                <w:div w:id="202523971">
                                                  <w:marLeft w:val="0"/>
                                                  <w:marRight w:val="0"/>
                                                  <w:marTop w:val="0"/>
                                                  <w:marBottom w:val="0"/>
                                                  <w:divBdr>
                                                    <w:top w:val="none" w:sz="0" w:space="0" w:color="auto"/>
                                                    <w:left w:val="none" w:sz="0" w:space="0" w:color="auto"/>
                                                    <w:bottom w:val="none" w:sz="0" w:space="0" w:color="auto"/>
                                                    <w:right w:val="none" w:sz="0" w:space="0" w:color="auto"/>
                                                  </w:divBdr>
                                                  <w:divsChild>
                                                    <w:div w:id="1982618043">
                                                      <w:marLeft w:val="0"/>
                                                      <w:marRight w:val="0"/>
                                                      <w:marTop w:val="0"/>
                                                      <w:marBottom w:val="0"/>
                                                      <w:divBdr>
                                                        <w:top w:val="none" w:sz="0" w:space="0" w:color="auto"/>
                                                        <w:left w:val="none" w:sz="0" w:space="0" w:color="auto"/>
                                                        <w:bottom w:val="none" w:sz="0" w:space="0" w:color="auto"/>
                                                        <w:right w:val="none" w:sz="0" w:space="0" w:color="auto"/>
                                                      </w:divBdr>
                                                    </w:div>
                                                  </w:divsChild>
                                                </w:div>
                                                <w:div w:id="2142309437">
                                                  <w:marLeft w:val="0"/>
                                                  <w:marRight w:val="0"/>
                                                  <w:marTop w:val="0"/>
                                                  <w:marBottom w:val="0"/>
                                                  <w:divBdr>
                                                    <w:top w:val="none" w:sz="0" w:space="0" w:color="auto"/>
                                                    <w:left w:val="none" w:sz="0" w:space="0" w:color="auto"/>
                                                    <w:bottom w:val="none" w:sz="0" w:space="0" w:color="auto"/>
                                                    <w:right w:val="none" w:sz="0" w:space="0" w:color="auto"/>
                                                  </w:divBdr>
                                                  <w:divsChild>
                                                    <w:div w:id="2080784415">
                                                      <w:marLeft w:val="0"/>
                                                      <w:marRight w:val="0"/>
                                                      <w:marTop w:val="0"/>
                                                      <w:marBottom w:val="0"/>
                                                      <w:divBdr>
                                                        <w:top w:val="none" w:sz="0" w:space="0" w:color="auto"/>
                                                        <w:left w:val="none" w:sz="0" w:space="0" w:color="auto"/>
                                                        <w:bottom w:val="none" w:sz="0" w:space="0" w:color="auto"/>
                                                        <w:right w:val="none" w:sz="0" w:space="0" w:color="auto"/>
                                                      </w:divBdr>
                                                    </w:div>
                                                  </w:divsChild>
                                                </w:div>
                                                <w:div w:id="1049718483">
                                                  <w:marLeft w:val="0"/>
                                                  <w:marRight w:val="0"/>
                                                  <w:marTop w:val="0"/>
                                                  <w:marBottom w:val="0"/>
                                                  <w:divBdr>
                                                    <w:top w:val="none" w:sz="0" w:space="0" w:color="auto"/>
                                                    <w:left w:val="none" w:sz="0" w:space="0" w:color="auto"/>
                                                    <w:bottom w:val="none" w:sz="0" w:space="0" w:color="auto"/>
                                                    <w:right w:val="none" w:sz="0" w:space="0" w:color="auto"/>
                                                  </w:divBdr>
                                                  <w:divsChild>
                                                    <w:div w:id="1262254053">
                                                      <w:marLeft w:val="0"/>
                                                      <w:marRight w:val="0"/>
                                                      <w:marTop w:val="0"/>
                                                      <w:marBottom w:val="0"/>
                                                      <w:divBdr>
                                                        <w:top w:val="none" w:sz="0" w:space="0" w:color="auto"/>
                                                        <w:left w:val="none" w:sz="0" w:space="0" w:color="auto"/>
                                                        <w:bottom w:val="none" w:sz="0" w:space="0" w:color="auto"/>
                                                        <w:right w:val="none" w:sz="0" w:space="0" w:color="auto"/>
                                                      </w:divBdr>
                                                    </w:div>
                                                  </w:divsChild>
                                                </w:div>
                                                <w:div w:id="1628118023">
                                                  <w:marLeft w:val="0"/>
                                                  <w:marRight w:val="0"/>
                                                  <w:marTop w:val="0"/>
                                                  <w:marBottom w:val="0"/>
                                                  <w:divBdr>
                                                    <w:top w:val="none" w:sz="0" w:space="0" w:color="auto"/>
                                                    <w:left w:val="none" w:sz="0" w:space="0" w:color="auto"/>
                                                    <w:bottom w:val="none" w:sz="0" w:space="0" w:color="auto"/>
                                                    <w:right w:val="none" w:sz="0" w:space="0" w:color="auto"/>
                                                  </w:divBdr>
                                                  <w:divsChild>
                                                    <w:div w:id="1474635578">
                                                      <w:marLeft w:val="0"/>
                                                      <w:marRight w:val="0"/>
                                                      <w:marTop w:val="0"/>
                                                      <w:marBottom w:val="0"/>
                                                      <w:divBdr>
                                                        <w:top w:val="none" w:sz="0" w:space="0" w:color="auto"/>
                                                        <w:left w:val="none" w:sz="0" w:space="0" w:color="auto"/>
                                                        <w:bottom w:val="none" w:sz="0" w:space="0" w:color="auto"/>
                                                        <w:right w:val="none" w:sz="0" w:space="0" w:color="auto"/>
                                                      </w:divBdr>
                                                    </w:div>
                                                  </w:divsChild>
                                                </w:div>
                                                <w:div w:id="1297294782">
                                                  <w:marLeft w:val="0"/>
                                                  <w:marRight w:val="0"/>
                                                  <w:marTop w:val="0"/>
                                                  <w:marBottom w:val="0"/>
                                                  <w:divBdr>
                                                    <w:top w:val="none" w:sz="0" w:space="0" w:color="auto"/>
                                                    <w:left w:val="none" w:sz="0" w:space="0" w:color="auto"/>
                                                    <w:bottom w:val="none" w:sz="0" w:space="0" w:color="auto"/>
                                                    <w:right w:val="none" w:sz="0" w:space="0" w:color="auto"/>
                                                  </w:divBdr>
                                                  <w:divsChild>
                                                    <w:div w:id="624116232">
                                                      <w:marLeft w:val="0"/>
                                                      <w:marRight w:val="0"/>
                                                      <w:marTop w:val="0"/>
                                                      <w:marBottom w:val="0"/>
                                                      <w:divBdr>
                                                        <w:top w:val="none" w:sz="0" w:space="0" w:color="auto"/>
                                                        <w:left w:val="none" w:sz="0" w:space="0" w:color="auto"/>
                                                        <w:bottom w:val="none" w:sz="0" w:space="0" w:color="auto"/>
                                                        <w:right w:val="none" w:sz="0" w:space="0" w:color="auto"/>
                                                      </w:divBdr>
                                                    </w:div>
                                                  </w:divsChild>
                                                </w:div>
                                                <w:div w:id="2041929291">
                                                  <w:marLeft w:val="0"/>
                                                  <w:marRight w:val="0"/>
                                                  <w:marTop w:val="0"/>
                                                  <w:marBottom w:val="0"/>
                                                  <w:divBdr>
                                                    <w:top w:val="none" w:sz="0" w:space="0" w:color="auto"/>
                                                    <w:left w:val="none" w:sz="0" w:space="0" w:color="auto"/>
                                                    <w:bottom w:val="none" w:sz="0" w:space="0" w:color="auto"/>
                                                    <w:right w:val="none" w:sz="0" w:space="0" w:color="auto"/>
                                                  </w:divBdr>
                                                  <w:divsChild>
                                                    <w:div w:id="244389362">
                                                      <w:marLeft w:val="0"/>
                                                      <w:marRight w:val="0"/>
                                                      <w:marTop w:val="0"/>
                                                      <w:marBottom w:val="0"/>
                                                      <w:divBdr>
                                                        <w:top w:val="none" w:sz="0" w:space="0" w:color="auto"/>
                                                        <w:left w:val="none" w:sz="0" w:space="0" w:color="auto"/>
                                                        <w:bottom w:val="none" w:sz="0" w:space="0" w:color="auto"/>
                                                        <w:right w:val="none" w:sz="0" w:space="0" w:color="auto"/>
                                                      </w:divBdr>
                                                    </w:div>
                                                  </w:divsChild>
                                                </w:div>
                                                <w:div w:id="1475871720">
                                                  <w:marLeft w:val="0"/>
                                                  <w:marRight w:val="0"/>
                                                  <w:marTop w:val="0"/>
                                                  <w:marBottom w:val="0"/>
                                                  <w:divBdr>
                                                    <w:top w:val="none" w:sz="0" w:space="0" w:color="auto"/>
                                                    <w:left w:val="none" w:sz="0" w:space="0" w:color="auto"/>
                                                    <w:bottom w:val="none" w:sz="0" w:space="0" w:color="auto"/>
                                                    <w:right w:val="none" w:sz="0" w:space="0" w:color="auto"/>
                                                  </w:divBdr>
                                                  <w:divsChild>
                                                    <w:div w:id="1017996964">
                                                      <w:marLeft w:val="0"/>
                                                      <w:marRight w:val="0"/>
                                                      <w:marTop w:val="0"/>
                                                      <w:marBottom w:val="0"/>
                                                      <w:divBdr>
                                                        <w:top w:val="none" w:sz="0" w:space="0" w:color="auto"/>
                                                        <w:left w:val="none" w:sz="0" w:space="0" w:color="auto"/>
                                                        <w:bottom w:val="none" w:sz="0" w:space="0" w:color="auto"/>
                                                        <w:right w:val="none" w:sz="0" w:space="0" w:color="auto"/>
                                                      </w:divBdr>
                                                    </w:div>
                                                  </w:divsChild>
                                                </w:div>
                                                <w:div w:id="2058963815">
                                                  <w:marLeft w:val="0"/>
                                                  <w:marRight w:val="0"/>
                                                  <w:marTop w:val="0"/>
                                                  <w:marBottom w:val="0"/>
                                                  <w:divBdr>
                                                    <w:top w:val="none" w:sz="0" w:space="0" w:color="auto"/>
                                                    <w:left w:val="none" w:sz="0" w:space="0" w:color="auto"/>
                                                    <w:bottom w:val="none" w:sz="0" w:space="0" w:color="auto"/>
                                                    <w:right w:val="none" w:sz="0" w:space="0" w:color="auto"/>
                                                  </w:divBdr>
                                                  <w:divsChild>
                                                    <w:div w:id="521162193">
                                                      <w:marLeft w:val="0"/>
                                                      <w:marRight w:val="0"/>
                                                      <w:marTop w:val="0"/>
                                                      <w:marBottom w:val="0"/>
                                                      <w:divBdr>
                                                        <w:top w:val="none" w:sz="0" w:space="0" w:color="auto"/>
                                                        <w:left w:val="none" w:sz="0" w:space="0" w:color="auto"/>
                                                        <w:bottom w:val="none" w:sz="0" w:space="0" w:color="auto"/>
                                                        <w:right w:val="none" w:sz="0" w:space="0" w:color="auto"/>
                                                      </w:divBdr>
                                                    </w:div>
                                                  </w:divsChild>
                                                </w:div>
                                                <w:div w:id="1351370119">
                                                  <w:marLeft w:val="0"/>
                                                  <w:marRight w:val="0"/>
                                                  <w:marTop w:val="0"/>
                                                  <w:marBottom w:val="0"/>
                                                  <w:divBdr>
                                                    <w:top w:val="none" w:sz="0" w:space="0" w:color="auto"/>
                                                    <w:left w:val="none" w:sz="0" w:space="0" w:color="auto"/>
                                                    <w:bottom w:val="none" w:sz="0" w:space="0" w:color="auto"/>
                                                    <w:right w:val="none" w:sz="0" w:space="0" w:color="auto"/>
                                                  </w:divBdr>
                                                  <w:divsChild>
                                                    <w:div w:id="1554002643">
                                                      <w:marLeft w:val="0"/>
                                                      <w:marRight w:val="0"/>
                                                      <w:marTop w:val="0"/>
                                                      <w:marBottom w:val="0"/>
                                                      <w:divBdr>
                                                        <w:top w:val="none" w:sz="0" w:space="0" w:color="auto"/>
                                                        <w:left w:val="none" w:sz="0" w:space="0" w:color="auto"/>
                                                        <w:bottom w:val="none" w:sz="0" w:space="0" w:color="auto"/>
                                                        <w:right w:val="none" w:sz="0" w:space="0" w:color="auto"/>
                                                      </w:divBdr>
                                                    </w:div>
                                                  </w:divsChild>
                                                </w:div>
                                                <w:div w:id="1227642083">
                                                  <w:marLeft w:val="0"/>
                                                  <w:marRight w:val="0"/>
                                                  <w:marTop w:val="0"/>
                                                  <w:marBottom w:val="0"/>
                                                  <w:divBdr>
                                                    <w:top w:val="none" w:sz="0" w:space="0" w:color="auto"/>
                                                    <w:left w:val="none" w:sz="0" w:space="0" w:color="auto"/>
                                                    <w:bottom w:val="none" w:sz="0" w:space="0" w:color="auto"/>
                                                    <w:right w:val="none" w:sz="0" w:space="0" w:color="auto"/>
                                                  </w:divBdr>
                                                  <w:divsChild>
                                                    <w:div w:id="1048722014">
                                                      <w:marLeft w:val="0"/>
                                                      <w:marRight w:val="0"/>
                                                      <w:marTop w:val="0"/>
                                                      <w:marBottom w:val="0"/>
                                                      <w:divBdr>
                                                        <w:top w:val="none" w:sz="0" w:space="0" w:color="auto"/>
                                                        <w:left w:val="none" w:sz="0" w:space="0" w:color="auto"/>
                                                        <w:bottom w:val="none" w:sz="0" w:space="0" w:color="auto"/>
                                                        <w:right w:val="none" w:sz="0" w:space="0" w:color="auto"/>
                                                      </w:divBdr>
                                                    </w:div>
                                                  </w:divsChild>
                                                </w:div>
                                                <w:div w:id="1058943573">
                                                  <w:marLeft w:val="0"/>
                                                  <w:marRight w:val="0"/>
                                                  <w:marTop w:val="0"/>
                                                  <w:marBottom w:val="0"/>
                                                  <w:divBdr>
                                                    <w:top w:val="none" w:sz="0" w:space="0" w:color="auto"/>
                                                    <w:left w:val="none" w:sz="0" w:space="0" w:color="auto"/>
                                                    <w:bottom w:val="none" w:sz="0" w:space="0" w:color="auto"/>
                                                    <w:right w:val="none" w:sz="0" w:space="0" w:color="auto"/>
                                                  </w:divBdr>
                                                  <w:divsChild>
                                                    <w:div w:id="658466328">
                                                      <w:marLeft w:val="0"/>
                                                      <w:marRight w:val="0"/>
                                                      <w:marTop w:val="0"/>
                                                      <w:marBottom w:val="0"/>
                                                      <w:divBdr>
                                                        <w:top w:val="none" w:sz="0" w:space="0" w:color="auto"/>
                                                        <w:left w:val="none" w:sz="0" w:space="0" w:color="auto"/>
                                                        <w:bottom w:val="none" w:sz="0" w:space="0" w:color="auto"/>
                                                        <w:right w:val="none" w:sz="0" w:space="0" w:color="auto"/>
                                                      </w:divBdr>
                                                    </w:div>
                                                  </w:divsChild>
                                                </w:div>
                                                <w:div w:id="1242716792">
                                                  <w:marLeft w:val="0"/>
                                                  <w:marRight w:val="0"/>
                                                  <w:marTop w:val="0"/>
                                                  <w:marBottom w:val="0"/>
                                                  <w:divBdr>
                                                    <w:top w:val="none" w:sz="0" w:space="0" w:color="auto"/>
                                                    <w:left w:val="none" w:sz="0" w:space="0" w:color="auto"/>
                                                    <w:bottom w:val="none" w:sz="0" w:space="0" w:color="auto"/>
                                                    <w:right w:val="none" w:sz="0" w:space="0" w:color="auto"/>
                                                  </w:divBdr>
                                                  <w:divsChild>
                                                    <w:div w:id="2072844195">
                                                      <w:marLeft w:val="0"/>
                                                      <w:marRight w:val="0"/>
                                                      <w:marTop w:val="0"/>
                                                      <w:marBottom w:val="0"/>
                                                      <w:divBdr>
                                                        <w:top w:val="none" w:sz="0" w:space="0" w:color="auto"/>
                                                        <w:left w:val="none" w:sz="0" w:space="0" w:color="auto"/>
                                                        <w:bottom w:val="none" w:sz="0" w:space="0" w:color="auto"/>
                                                        <w:right w:val="none" w:sz="0" w:space="0" w:color="auto"/>
                                                      </w:divBdr>
                                                    </w:div>
                                                  </w:divsChild>
                                                </w:div>
                                                <w:div w:id="1282151321">
                                                  <w:marLeft w:val="0"/>
                                                  <w:marRight w:val="0"/>
                                                  <w:marTop w:val="0"/>
                                                  <w:marBottom w:val="0"/>
                                                  <w:divBdr>
                                                    <w:top w:val="none" w:sz="0" w:space="0" w:color="auto"/>
                                                    <w:left w:val="none" w:sz="0" w:space="0" w:color="auto"/>
                                                    <w:bottom w:val="none" w:sz="0" w:space="0" w:color="auto"/>
                                                    <w:right w:val="none" w:sz="0" w:space="0" w:color="auto"/>
                                                  </w:divBdr>
                                                  <w:divsChild>
                                                    <w:div w:id="1686856389">
                                                      <w:marLeft w:val="0"/>
                                                      <w:marRight w:val="0"/>
                                                      <w:marTop w:val="0"/>
                                                      <w:marBottom w:val="0"/>
                                                      <w:divBdr>
                                                        <w:top w:val="none" w:sz="0" w:space="0" w:color="auto"/>
                                                        <w:left w:val="none" w:sz="0" w:space="0" w:color="auto"/>
                                                        <w:bottom w:val="none" w:sz="0" w:space="0" w:color="auto"/>
                                                        <w:right w:val="none" w:sz="0" w:space="0" w:color="auto"/>
                                                      </w:divBdr>
                                                    </w:div>
                                                  </w:divsChild>
                                                </w:div>
                                                <w:div w:id="48308441">
                                                  <w:marLeft w:val="0"/>
                                                  <w:marRight w:val="0"/>
                                                  <w:marTop w:val="0"/>
                                                  <w:marBottom w:val="0"/>
                                                  <w:divBdr>
                                                    <w:top w:val="none" w:sz="0" w:space="0" w:color="auto"/>
                                                    <w:left w:val="none" w:sz="0" w:space="0" w:color="auto"/>
                                                    <w:bottom w:val="none" w:sz="0" w:space="0" w:color="auto"/>
                                                    <w:right w:val="none" w:sz="0" w:space="0" w:color="auto"/>
                                                  </w:divBdr>
                                                  <w:divsChild>
                                                    <w:div w:id="904685675">
                                                      <w:marLeft w:val="0"/>
                                                      <w:marRight w:val="0"/>
                                                      <w:marTop w:val="0"/>
                                                      <w:marBottom w:val="0"/>
                                                      <w:divBdr>
                                                        <w:top w:val="none" w:sz="0" w:space="0" w:color="auto"/>
                                                        <w:left w:val="none" w:sz="0" w:space="0" w:color="auto"/>
                                                        <w:bottom w:val="none" w:sz="0" w:space="0" w:color="auto"/>
                                                        <w:right w:val="none" w:sz="0" w:space="0" w:color="auto"/>
                                                      </w:divBdr>
                                                    </w:div>
                                                  </w:divsChild>
                                                </w:div>
                                                <w:div w:id="159005186">
                                                  <w:marLeft w:val="0"/>
                                                  <w:marRight w:val="0"/>
                                                  <w:marTop w:val="0"/>
                                                  <w:marBottom w:val="0"/>
                                                  <w:divBdr>
                                                    <w:top w:val="none" w:sz="0" w:space="0" w:color="auto"/>
                                                    <w:left w:val="none" w:sz="0" w:space="0" w:color="auto"/>
                                                    <w:bottom w:val="none" w:sz="0" w:space="0" w:color="auto"/>
                                                    <w:right w:val="none" w:sz="0" w:space="0" w:color="auto"/>
                                                  </w:divBdr>
                                                  <w:divsChild>
                                                    <w:div w:id="2054846216">
                                                      <w:marLeft w:val="0"/>
                                                      <w:marRight w:val="0"/>
                                                      <w:marTop w:val="0"/>
                                                      <w:marBottom w:val="0"/>
                                                      <w:divBdr>
                                                        <w:top w:val="none" w:sz="0" w:space="0" w:color="auto"/>
                                                        <w:left w:val="none" w:sz="0" w:space="0" w:color="auto"/>
                                                        <w:bottom w:val="none" w:sz="0" w:space="0" w:color="auto"/>
                                                        <w:right w:val="none" w:sz="0" w:space="0" w:color="auto"/>
                                                      </w:divBdr>
                                                    </w:div>
                                                  </w:divsChild>
                                                </w:div>
                                                <w:div w:id="834537318">
                                                  <w:marLeft w:val="0"/>
                                                  <w:marRight w:val="0"/>
                                                  <w:marTop w:val="0"/>
                                                  <w:marBottom w:val="0"/>
                                                  <w:divBdr>
                                                    <w:top w:val="none" w:sz="0" w:space="0" w:color="auto"/>
                                                    <w:left w:val="none" w:sz="0" w:space="0" w:color="auto"/>
                                                    <w:bottom w:val="none" w:sz="0" w:space="0" w:color="auto"/>
                                                    <w:right w:val="none" w:sz="0" w:space="0" w:color="auto"/>
                                                  </w:divBdr>
                                                  <w:divsChild>
                                                    <w:div w:id="1646660273">
                                                      <w:marLeft w:val="0"/>
                                                      <w:marRight w:val="0"/>
                                                      <w:marTop w:val="0"/>
                                                      <w:marBottom w:val="0"/>
                                                      <w:divBdr>
                                                        <w:top w:val="none" w:sz="0" w:space="0" w:color="auto"/>
                                                        <w:left w:val="none" w:sz="0" w:space="0" w:color="auto"/>
                                                        <w:bottom w:val="none" w:sz="0" w:space="0" w:color="auto"/>
                                                        <w:right w:val="none" w:sz="0" w:space="0" w:color="auto"/>
                                                      </w:divBdr>
                                                    </w:div>
                                                  </w:divsChild>
                                                </w:div>
                                                <w:div w:id="1079719354">
                                                  <w:marLeft w:val="0"/>
                                                  <w:marRight w:val="0"/>
                                                  <w:marTop w:val="0"/>
                                                  <w:marBottom w:val="0"/>
                                                  <w:divBdr>
                                                    <w:top w:val="none" w:sz="0" w:space="0" w:color="auto"/>
                                                    <w:left w:val="none" w:sz="0" w:space="0" w:color="auto"/>
                                                    <w:bottom w:val="none" w:sz="0" w:space="0" w:color="auto"/>
                                                    <w:right w:val="none" w:sz="0" w:space="0" w:color="auto"/>
                                                  </w:divBdr>
                                                  <w:divsChild>
                                                    <w:div w:id="1182627096">
                                                      <w:marLeft w:val="0"/>
                                                      <w:marRight w:val="0"/>
                                                      <w:marTop w:val="0"/>
                                                      <w:marBottom w:val="0"/>
                                                      <w:divBdr>
                                                        <w:top w:val="none" w:sz="0" w:space="0" w:color="auto"/>
                                                        <w:left w:val="none" w:sz="0" w:space="0" w:color="auto"/>
                                                        <w:bottom w:val="none" w:sz="0" w:space="0" w:color="auto"/>
                                                        <w:right w:val="none" w:sz="0" w:space="0" w:color="auto"/>
                                                      </w:divBdr>
                                                    </w:div>
                                                  </w:divsChild>
                                                </w:div>
                                                <w:div w:id="351104968">
                                                  <w:marLeft w:val="0"/>
                                                  <w:marRight w:val="0"/>
                                                  <w:marTop w:val="0"/>
                                                  <w:marBottom w:val="0"/>
                                                  <w:divBdr>
                                                    <w:top w:val="none" w:sz="0" w:space="0" w:color="auto"/>
                                                    <w:left w:val="none" w:sz="0" w:space="0" w:color="auto"/>
                                                    <w:bottom w:val="none" w:sz="0" w:space="0" w:color="auto"/>
                                                    <w:right w:val="none" w:sz="0" w:space="0" w:color="auto"/>
                                                  </w:divBdr>
                                                  <w:divsChild>
                                                    <w:div w:id="1398281001">
                                                      <w:marLeft w:val="0"/>
                                                      <w:marRight w:val="0"/>
                                                      <w:marTop w:val="0"/>
                                                      <w:marBottom w:val="0"/>
                                                      <w:divBdr>
                                                        <w:top w:val="none" w:sz="0" w:space="0" w:color="auto"/>
                                                        <w:left w:val="none" w:sz="0" w:space="0" w:color="auto"/>
                                                        <w:bottom w:val="none" w:sz="0" w:space="0" w:color="auto"/>
                                                        <w:right w:val="none" w:sz="0" w:space="0" w:color="auto"/>
                                                      </w:divBdr>
                                                    </w:div>
                                                  </w:divsChild>
                                                </w:div>
                                                <w:div w:id="1085372206">
                                                  <w:marLeft w:val="0"/>
                                                  <w:marRight w:val="0"/>
                                                  <w:marTop w:val="0"/>
                                                  <w:marBottom w:val="0"/>
                                                  <w:divBdr>
                                                    <w:top w:val="none" w:sz="0" w:space="0" w:color="auto"/>
                                                    <w:left w:val="none" w:sz="0" w:space="0" w:color="auto"/>
                                                    <w:bottom w:val="none" w:sz="0" w:space="0" w:color="auto"/>
                                                    <w:right w:val="none" w:sz="0" w:space="0" w:color="auto"/>
                                                  </w:divBdr>
                                                  <w:divsChild>
                                                    <w:div w:id="12147109">
                                                      <w:marLeft w:val="0"/>
                                                      <w:marRight w:val="0"/>
                                                      <w:marTop w:val="0"/>
                                                      <w:marBottom w:val="0"/>
                                                      <w:divBdr>
                                                        <w:top w:val="none" w:sz="0" w:space="0" w:color="auto"/>
                                                        <w:left w:val="none" w:sz="0" w:space="0" w:color="auto"/>
                                                        <w:bottom w:val="none" w:sz="0" w:space="0" w:color="auto"/>
                                                        <w:right w:val="none" w:sz="0" w:space="0" w:color="auto"/>
                                                      </w:divBdr>
                                                    </w:div>
                                                  </w:divsChild>
                                                </w:div>
                                                <w:div w:id="1989937883">
                                                  <w:marLeft w:val="0"/>
                                                  <w:marRight w:val="0"/>
                                                  <w:marTop w:val="0"/>
                                                  <w:marBottom w:val="0"/>
                                                  <w:divBdr>
                                                    <w:top w:val="none" w:sz="0" w:space="0" w:color="auto"/>
                                                    <w:left w:val="none" w:sz="0" w:space="0" w:color="auto"/>
                                                    <w:bottom w:val="none" w:sz="0" w:space="0" w:color="auto"/>
                                                    <w:right w:val="none" w:sz="0" w:space="0" w:color="auto"/>
                                                  </w:divBdr>
                                                  <w:divsChild>
                                                    <w:div w:id="18913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349097">
                  <w:marLeft w:val="3300"/>
                  <w:marRight w:val="0"/>
                  <w:marTop w:val="0"/>
                  <w:marBottom w:val="0"/>
                  <w:divBdr>
                    <w:top w:val="single" w:sz="2" w:space="0" w:color="A8A8A8"/>
                    <w:left w:val="single" w:sz="6" w:space="0" w:color="A8A8A8"/>
                    <w:bottom w:val="single" w:sz="2" w:space="0" w:color="A8A8A8"/>
                    <w:right w:val="single" w:sz="6" w:space="0" w:color="A8A8A8"/>
                  </w:divBdr>
                  <w:divsChild>
                    <w:div w:id="959845744">
                      <w:marLeft w:val="-15"/>
                      <w:marRight w:val="-15"/>
                      <w:marTop w:val="0"/>
                      <w:marBottom w:val="0"/>
                      <w:divBdr>
                        <w:top w:val="none" w:sz="0" w:space="0" w:color="auto"/>
                        <w:left w:val="none" w:sz="0" w:space="0" w:color="auto"/>
                        <w:bottom w:val="none" w:sz="0" w:space="0" w:color="auto"/>
                        <w:right w:val="none" w:sz="0" w:space="0" w:color="auto"/>
                      </w:divBdr>
                      <w:divsChild>
                        <w:div w:id="5862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7" Type="http://schemas.openxmlformats.org/officeDocument/2006/relationships/hyperlink" Target="http://consult.moretonbay.qld.gov.au/portal/mbrcpsv3?pointId=s13327436581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4424</Words>
  <Characters>25217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4</cp:revision>
  <dcterms:created xsi:type="dcterms:W3CDTF">2017-08-22T01:08:00Z</dcterms:created>
  <dcterms:modified xsi:type="dcterms:W3CDTF">2017-08-22T01:20:00Z</dcterms:modified>
</cp:coreProperties>
</file>