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5006"/>
        <w:gridCol w:w="5328"/>
        <w:gridCol w:w="1857"/>
        <w:gridCol w:w="3182"/>
      </w:tblGrid>
      <w:tr w:rsidR="007E6B9F" w:rsidRPr="007E6B9F" w:rsidTr="00D26B10">
        <w:trPr>
          <w:tblCellSpacing w:w="15" w:type="dxa"/>
        </w:trPr>
        <w:tc>
          <w:tcPr>
            <w:tcW w:w="0" w:type="auto"/>
            <w:gridSpan w:val="4"/>
            <w:tcBorders>
              <w:top w:val="nil"/>
              <w:left w:val="nil"/>
              <w:bottom w:val="nil"/>
              <w:right w:val="nil"/>
            </w:tcBorders>
            <w:shd w:val="clear" w:color="auto" w:fill="CCCCCC"/>
            <w:tcMar>
              <w:top w:w="30" w:type="dxa"/>
              <w:left w:w="30" w:type="dxa"/>
              <w:bottom w:w="30" w:type="dxa"/>
              <w:right w:w="30" w:type="dxa"/>
            </w:tcMar>
            <w:vAlign w:val="center"/>
            <w:hideMark/>
          </w:tcPr>
          <w:p w:rsidR="007E6B9F" w:rsidRPr="007E6B9F" w:rsidRDefault="007E6B9F" w:rsidP="007E6B9F">
            <w:pPr>
              <w:spacing w:before="100" w:beforeAutospacing="1" w:after="100" w:afterAutospacing="1" w:line="240" w:lineRule="auto"/>
              <w:jc w:val="center"/>
              <w:rPr>
                <w:rFonts w:ascii="Arial" w:eastAsia="Times New Roman" w:hAnsi="Arial" w:cs="Arial"/>
                <w:sz w:val="20"/>
                <w:szCs w:val="20"/>
                <w:lang w:eastAsia="en-AU"/>
              </w:rPr>
            </w:pPr>
            <w:r w:rsidRPr="007E6B9F">
              <w:rPr>
                <w:rFonts w:ascii="Arial" w:eastAsia="Times New Roman" w:hAnsi="Arial" w:cs="Arial"/>
                <w:b/>
                <w:bCs/>
                <w:sz w:val="20"/>
                <w:szCs w:val="20"/>
                <w:lang w:eastAsia="en-AU"/>
              </w:rPr>
              <w:t>Table 9.4.1.3.1.1 Assessable development - Emerging community zone - Interim precinct and Interim residential precinct (Redcliffe Kippa-Ring Local Plan)</w:t>
            </w:r>
          </w:p>
        </w:tc>
      </w:tr>
      <w:tr w:rsidR="00C94709" w:rsidRPr="007E6B9F" w:rsidTr="00D26B10">
        <w:trPr>
          <w:tblCellSpacing w:w="15" w:type="dxa"/>
        </w:trPr>
        <w:tc>
          <w:tcPr>
            <w:tcW w:w="1615"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Performance outcomes</w:t>
            </w:r>
          </w:p>
        </w:tc>
        <w:tc>
          <w:tcPr>
            <w:tcW w:w="1718"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Examples that achieve aspects of the Performance Outcomes</w:t>
            </w:r>
          </w:p>
        </w:tc>
        <w:tc>
          <w:tcPr>
            <w:tcW w:w="596" w:type="pct"/>
            <w:tcBorders>
              <w:top w:val="outset" w:sz="6" w:space="0" w:color="auto"/>
              <w:left w:val="outset" w:sz="6" w:space="0" w:color="auto"/>
              <w:bottom w:val="outset" w:sz="6" w:space="0" w:color="auto"/>
              <w:right w:val="outset" w:sz="6" w:space="0" w:color="auto"/>
            </w:tcBorders>
            <w:shd w:val="clear" w:color="auto" w:fill="CCCCCC"/>
          </w:tcPr>
          <w:p w:rsidR="007E6B9F" w:rsidRPr="002A3213" w:rsidRDefault="007E6B9F" w:rsidP="007E6B9F">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7E6B9F" w:rsidRPr="008B6E1B" w:rsidRDefault="007E6B9F" w:rsidP="007E6B9F">
            <w:pPr>
              <w:pStyle w:val="ListParagraph"/>
              <w:numPr>
                <w:ilvl w:val="0"/>
                <w:numId w:val="31"/>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7E6B9F" w:rsidRPr="007E6B9F" w:rsidRDefault="007E6B9F" w:rsidP="007E6B9F">
            <w:pPr>
              <w:pStyle w:val="ListParagraph"/>
              <w:numPr>
                <w:ilvl w:val="0"/>
                <w:numId w:val="31"/>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7E6B9F" w:rsidRPr="007E6B9F" w:rsidRDefault="007E6B9F" w:rsidP="007E6B9F">
            <w:pPr>
              <w:pStyle w:val="ListParagraph"/>
              <w:numPr>
                <w:ilvl w:val="0"/>
                <w:numId w:val="31"/>
              </w:numPr>
              <w:spacing w:after="0" w:line="240" w:lineRule="auto"/>
              <w:ind w:left="373" w:hanging="284"/>
              <w:rPr>
                <w:rFonts w:eastAsia="Times New Roman" w:cs="Arial"/>
                <w:b/>
                <w:bCs/>
                <w:sz w:val="20"/>
                <w:szCs w:val="20"/>
                <w:lang w:eastAsia="en-AU"/>
              </w:rPr>
            </w:pPr>
            <w:r>
              <w:rPr>
                <w:rFonts w:eastAsia="Times New Roman" w:cs="Arial"/>
                <w:b/>
                <w:bCs/>
                <w:sz w:val="18"/>
                <w:szCs w:val="18"/>
                <w:lang w:eastAsia="en-AU"/>
              </w:rPr>
              <w:t>N</w:t>
            </w:r>
            <w:r w:rsidRPr="008B6E1B">
              <w:rPr>
                <w:rFonts w:eastAsia="Times New Roman" w:cs="Arial"/>
                <w:b/>
                <w:bCs/>
                <w:sz w:val="18"/>
                <w:szCs w:val="18"/>
                <w:lang w:eastAsia="en-AU"/>
              </w:rPr>
              <w:t>A</w:t>
            </w:r>
          </w:p>
        </w:tc>
        <w:tc>
          <w:tcPr>
            <w:tcW w:w="1023" w:type="pct"/>
            <w:tcBorders>
              <w:top w:val="outset" w:sz="6" w:space="0" w:color="auto"/>
              <w:left w:val="outset" w:sz="6" w:space="0" w:color="auto"/>
              <w:bottom w:val="outset" w:sz="6" w:space="0" w:color="auto"/>
              <w:right w:val="outset" w:sz="6" w:space="0" w:color="auto"/>
            </w:tcBorders>
            <w:shd w:val="clear" w:color="auto" w:fill="CCCCCC"/>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C94709" w:rsidRPr="007E6B9F" w:rsidTr="00D26B10">
        <w:trPr>
          <w:tblCellSpacing w:w="15" w:type="dxa"/>
        </w:trPr>
        <w:tc>
          <w:tcPr>
            <w:tcW w:w="3342"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Lot size and design</w:t>
            </w:r>
          </w:p>
        </w:tc>
        <w:tc>
          <w:tcPr>
            <w:tcW w:w="596" w:type="pct"/>
            <w:tcBorders>
              <w:top w:val="outset" w:sz="6" w:space="0" w:color="auto"/>
              <w:left w:val="outset" w:sz="6" w:space="0" w:color="auto"/>
              <w:bottom w:val="outset" w:sz="6" w:space="0" w:color="auto"/>
              <w:right w:val="outset" w:sz="6" w:space="0" w:color="auto"/>
            </w:tcBorders>
            <w:shd w:val="clear" w:color="auto" w:fill="CCCCCC"/>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shd w:val="clear" w:color="auto" w:fill="CCCCCC"/>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D26B10">
        <w:trPr>
          <w:tblCellSpacing w:w="15" w:type="dxa"/>
        </w:trPr>
        <w:tc>
          <w:tcPr>
            <w:tcW w:w="16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PO1</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Reconfiguring a lot does not result in additional lots.</w:t>
            </w:r>
          </w:p>
        </w:tc>
        <w:tc>
          <w:tcPr>
            <w:tcW w:w="171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r>
      <w:tr w:rsidR="00C94709" w:rsidRPr="007E6B9F" w:rsidTr="00D26B10">
        <w:trPr>
          <w:tblCellSpacing w:w="15" w:type="dxa"/>
        </w:trPr>
        <w:tc>
          <w:tcPr>
            <w:tcW w:w="3342"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color w:val="000000"/>
                <w:sz w:val="20"/>
                <w:szCs w:val="20"/>
                <w:lang w:eastAsia="en-AU"/>
              </w:rPr>
            </w:pPr>
            <w:r w:rsidRPr="007E6B9F">
              <w:rPr>
                <w:rFonts w:ascii="Arial" w:eastAsia="Times New Roman" w:hAnsi="Arial" w:cs="Arial"/>
                <w:b/>
                <w:bCs/>
                <w:color w:val="000000"/>
                <w:sz w:val="20"/>
                <w:szCs w:val="20"/>
                <w:lang w:eastAsia="en-AU"/>
              </w:rPr>
              <w:t>Boundary realignment</w:t>
            </w:r>
          </w:p>
        </w:tc>
        <w:tc>
          <w:tcPr>
            <w:tcW w:w="596" w:type="pct"/>
            <w:tcBorders>
              <w:top w:val="outset" w:sz="6" w:space="0" w:color="auto"/>
              <w:left w:val="outset" w:sz="6" w:space="0" w:color="auto"/>
              <w:bottom w:val="outset" w:sz="6" w:space="0" w:color="auto"/>
              <w:right w:val="outset" w:sz="6" w:space="0" w:color="auto"/>
            </w:tcBorders>
            <w:shd w:val="clear" w:color="auto" w:fill="CCCCCC"/>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shd w:val="clear" w:color="auto" w:fill="CCCCCC"/>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C94709" w:rsidRPr="007E6B9F" w:rsidTr="00D26B10">
        <w:trPr>
          <w:tblCellSpacing w:w="15" w:type="dxa"/>
        </w:trPr>
        <w:tc>
          <w:tcPr>
            <w:tcW w:w="16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color w:val="000000"/>
                <w:sz w:val="20"/>
                <w:szCs w:val="20"/>
                <w:lang w:eastAsia="en-AU"/>
              </w:rPr>
            </w:pPr>
            <w:r w:rsidRPr="007E6B9F">
              <w:rPr>
                <w:rFonts w:ascii="Arial" w:eastAsia="Times New Roman" w:hAnsi="Arial" w:cs="Arial"/>
                <w:b/>
                <w:bCs/>
                <w:color w:val="000000"/>
                <w:sz w:val="20"/>
                <w:szCs w:val="20"/>
                <w:lang w:eastAsia="en-AU"/>
              </w:rPr>
              <w:t>PO2</w:t>
            </w:r>
          </w:p>
          <w:p w:rsidR="007E6B9F" w:rsidRPr="007E6B9F" w:rsidRDefault="007E6B9F" w:rsidP="007E6B9F">
            <w:pPr>
              <w:spacing w:before="100" w:beforeAutospacing="1" w:after="100" w:afterAutospacing="1" w:line="240" w:lineRule="auto"/>
              <w:ind w:left="150" w:right="150"/>
              <w:rPr>
                <w:rFonts w:ascii="Arial" w:eastAsia="Times New Roman" w:hAnsi="Arial" w:cs="Arial"/>
                <w:color w:val="000000"/>
                <w:sz w:val="20"/>
                <w:szCs w:val="20"/>
                <w:lang w:eastAsia="en-AU"/>
              </w:rPr>
            </w:pPr>
            <w:r w:rsidRPr="007E6B9F">
              <w:rPr>
                <w:rFonts w:ascii="Arial" w:eastAsia="Times New Roman" w:hAnsi="Arial" w:cs="Arial"/>
                <w:color w:val="000000"/>
                <w:sz w:val="20"/>
                <w:szCs w:val="20"/>
                <w:lang w:eastAsia="en-AU"/>
              </w:rPr>
              <w:t>Boundary realignments do not result in the:</w:t>
            </w:r>
          </w:p>
          <w:p w:rsidR="007E6B9F" w:rsidRPr="007E6B9F" w:rsidRDefault="007E6B9F" w:rsidP="007E6B9F">
            <w:pPr>
              <w:numPr>
                <w:ilvl w:val="0"/>
                <w:numId w:val="1"/>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7E6B9F">
              <w:rPr>
                <w:rFonts w:ascii="Arial" w:eastAsia="Times New Roman" w:hAnsi="Arial" w:cs="Arial"/>
                <w:color w:val="000000"/>
                <w:sz w:val="20"/>
                <w:szCs w:val="20"/>
                <w:lang w:eastAsia="en-AU"/>
              </w:rPr>
              <w:t>fragmentation or alienation of the land or result in the loss of land for future urban purposes;</w:t>
            </w:r>
          </w:p>
          <w:p w:rsidR="007E6B9F" w:rsidRPr="007E6B9F" w:rsidRDefault="007E6B9F" w:rsidP="007E6B9F">
            <w:pPr>
              <w:numPr>
                <w:ilvl w:val="0"/>
                <w:numId w:val="1"/>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7E6B9F">
              <w:rPr>
                <w:rFonts w:ascii="Arial" w:eastAsia="Times New Roman" w:hAnsi="Arial" w:cs="Arial"/>
                <w:color w:val="000000"/>
                <w:sz w:val="20"/>
                <w:szCs w:val="20"/>
                <w:lang w:eastAsia="en-AU"/>
              </w:rPr>
              <w:t>delay the use of the land for urban purposes;</w:t>
            </w:r>
          </w:p>
          <w:p w:rsidR="007E6B9F" w:rsidRPr="007E6B9F" w:rsidRDefault="007E6B9F" w:rsidP="007E6B9F">
            <w:pPr>
              <w:numPr>
                <w:ilvl w:val="0"/>
                <w:numId w:val="1"/>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7E6B9F">
              <w:rPr>
                <w:rFonts w:ascii="Arial" w:eastAsia="Times New Roman" w:hAnsi="Arial" w:cs="Arial"/>
                <w:color w:val="000000"/>
                <w:sz w:val="20"/>
                <w:szCs w:val="20"/>
                <w:lang w:eastAsia="en-AU"/>
              </w:rPr>
              <w:t>existing land uses on-site becoming non-compliant due to:</w:t>
            </w:r>
          </w:p>
          <w:p w:rsidR="007E6B9F" w:rsidRPr="007E6B9F" w:rsidRDefault="007E6B9F" w:rsidP="007E6B9F">
            <w:pPr>
              <w:numPr>
                <w:ilvl w:val="1"/>
                <w:numId w:val="1"/>
              </w:numPr>
              <w:spacing w:before="100" w:beforeAutospacing="1" w:after="100" w:afterAutospacing="1" w:line="240" w:lineRule="auto"/>
              <w:ind w:left="1050" w:right="150"/>
              <w:rPr>
                <w:rFonts w:ascii="Arial" w:eastAsia="Times New Roman" w:hAnsi="Arial" w:cs="Arial"/>
                <w:color w:val="000000"/>
                <w:sz w:val="20"/>
                <w:szCs w:val="20"/>
                <w:lang w:eastAsia="en-AU"/>
              </w:rPr>
            </w:pPr>
            <w:r w:rsidRPr="007E6B9F">
              <w:rPr>
                <w:rFonts w:ascii="Arial" w:eastAsia="Times New Roman" w:hAnsi="Arial" w:cs="Arial"/>
                <w:color w:val="000000"/>
                <w:sz w:val="20"/>
                <w:szCs w:val="20"/>
                <w:lang w:eastAsia="en-AU"/>
              </w:rPr>
              <w:t>lot size;</w:t>
            </w:r>
          </w:p>
          <w:p w:rsidR="007E6B9F" w:rsidRPr="007E6B9F" w:rsidRDefault="007E6B9F" w:rsidP="007E6B9F">
            <w:pPr>
              <w:numPr>
                <w:ilvl w:val="1"/>
                <w:numId w:val="1"/>
              </w:numPr>
              <w:spacing w:before="100" w:beforeAutospacing="1" w:after="100" w:afterAutospacing="1" w:line="240" w:lineRule="auto"/>
              <w:ind w:left="1050" w:right="150"/>
              <w:rPr>
                <w:rFonts w:ascii="Arial" w:eastAsia="Times New Roman" w:hAnsi="Arial" w:cs="Arial"/>
                <w:color w:val="000000"/>
                <w:sz w:val="20"/>
                <w:szCs w:val="20"/>
                <w:lang w:eastAsia="en-AU"/>
              </w:rPr>
            </w:pPr>
            <w:r w:rsidRPr="007E6B9F">
              <w:rPr>
                <w:rFonts w:ascii="Arial" w:eastAsia="Times New Roman" w:hAnsi="Arial" w:cs="Arial"/>
                <w:color w:val="000000"/>
                <w:sz w:val="20"/>
                <w:szCs w:val="20"/>
                <w:lang w:eastAsia="en-AU"/>
              </w:rPr>
              <w:t>parking requirements;</w:t>
            </w:r>
          </w:p>
          <w:p w:rsidR="007E6B9F" w:rsidRPr="007E6B9F" w:rsidRDefault="007E6B9F" w:rsidP="007E6B9F">
            <w:pPr>
              <w:numPr>
                <w:ilvl w:val="1"/>
                <w:numId w:val="1"/>
              </w:numPr>
              <w:spacing w:before="100" w:beforeAutospacing="1" w:after="100" w:afterAutospacing="1" w:line="240" w:lineRule="auto"/>
              <w:ind w:left="1050" w:right="150"/>
              <w:rPr>
                <w:rFonts w:ascii="Arial" w:eastAsia="Times New Roman" w:hAnsi="Arial" w:cs="Arial"/>
                <w:color w:val="000000"/>
                <w:sz w:val="20"/>
                <w:szCs w:val="20"/>
                <w:lang w:eastAsia="en-AU"/>
              </w:rPr>
            </w:pPr>
            <w:r w:rsidRPr="007E6B9F">
              <w:rPr>
                <w:rFonts w:ascii="Arial" w:eastAsia="Times New Roman" w:hAnsi="Arial" w:cs="Arial"/>
                <w:color w:val="000000"/>
                <w:sz w:val="20"/>
                <w:szCs w:val="20"/>
                <w:lang w:eastAsia="en-AU"/>
              </w:rPr>
              <w:t>servicing;</w:t>
            </w:r>
          </w:p>
          <w:p w:rsidR="007E6B9F" w:rsidRPr="007E6B9F" w:rsidRDefault="007E6B9F" w:rsidP="007E6B9F">
            <w:pPr>
              <w:numPr>
                <w:ilvl w:val="1"/>
                <w:numId w:val="1"/>
              </w:numPr>
              <w:spacing w:before="100" w:beforeAutospacing="1" w:after="100" w:afterAutospacing="1" w:line="240" w:lineRule="auto"/>
              <w:ind w:left="1050" w:right="150"/>
              <w:rPr>
                <w:rFonts w:ascii="Arial" w:eastAsia="Times New Roman" w:hAnsi="Arial" w:cs="Arial"/>
                <w:color w:val="000000"/>
                <w:sz w:val="20"/>
                <w:szCs w:val="20"/>
                <w:lang w:eastAsia="en-AU"/>
              </w:rPr>
            </w:pPr>
            <w:r w:rsidRPr="007E6B9F">
              <w:rPr>
                <w:rFonts w:ascii="Arial" w:eastAsia="Times New Roman" w:hAnsi="Arial" w:cs="Arial"/>
                <w:color w:val="000000"/>
                <w:sz w:val="20"/>
                <w:szCs w:val="20"/>
                <w:lang w:eastAsia="en-AU"/>
              </w:rPr>
              <w:t>dependant elements of an existing or approved land use being separately titled.</w:t>
            </w:r>
          </w:p>
          <w:tbl>
            <w:tblPr>
              <w:tblW w:w="4871"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871"/>
            </w:tblGrid>
            <w:tr w:rsidR="007E6B9F" w:rsidRPr="007E6B9F" w:rsidTr="00C94709">
              <w:trPr>
                <w:tblCellSpacing w:w="15" w:type="dxa"/>
              </w:trPr>
              <w:tc>
                <w:tcPr>
                  <w:tcW w:w="4811" w:type="dxa"/>
                  <w:vAlign w:val="center"/>
                  <w:hideMark/>
                </w:tcPr>
                <w:p w:rsidR="007E6B9F" w:rsidRPr="00D26B10" w:rsidRDefault="007E6B9F" w:rsidP="007E6B9F">
                  <w:pPr>
                    <w:spacing w:before="100" w:beforeAutospacing="1" w:after="100" w:afterAutospacing="1" w:line="240" w:lineRule="auto"/>
                    <w:ind w:left="150" w:right="150"/>
                    <w:rPr>
                      <w:rFonts w:ascii="Arial" w:eastAsia="Times New Roman" w:hAnsi="Arial" w:cs="Arial"/>
                      <w:sz w:val="18"/>
                      <w:szCs w:val="20"/>
                      <w:lang w:eastAsia="en-AU"/>
                    </w:rPr>
                  </w:pPr>
                  <w:r w:rsidRPr="00D26B10">
                    <w:rPr>
                      <w:rFonts w:ascii="Arial" w:eastAsia="Times New Roman" w:hAnsi="Arial" w:cs="Arial"/>
                      <w:sz w:val="18"/>
                      <w:szCs w:val="20"/>
                      <w:lang w:eastAsia="en-AU"/>
                    </w:rPr>
                    <w:t>Note - Examples may include but are not limited to:</w:t>
                  </w:r>
                </w:p>
                <w:p w:rsidR="007E6B9F" w:rsidRPr="007E6B9F" w:rsidRDefault="007E6B9F" w:rsidP="007E6B9F">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D26B10">
                    <w:rPr>
                      <w:rFonts w:ascii="Arial" w:eastAsia="Times New Roman" w:hAnsi="Arial" w:cs="Arial"/>
                      <w:sz w:val="18"/>
                      <w:szCs w:val="20"/>
                      <w:lang w:eastAsia="en-AU"/>
                    </w:rPr>
                    <w:t>Where a Dwelling house</w:t>
                  </w:r>
                  <w:r w:rsidRPr="00D26B10">
                    <w:rPr>
                      <w:rFonts w:ascii="Arial" w:eastAsia="Times New Roman" w:hAnsi="Arial" w:cs="Arial"/>
                      <w:sz w:val="18"/>
                      <w:szCs w:val="20"/>
                      <w:vertAlign w:val="superscript"/>
                      <w:lang w:eastAsia="en-AU"/>
                    </w:rPr>
                    <w:t>(</w:t>
                  </w:r>
                  <w:hyperlink r:id="rId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D26B10">
                      <w:rPr>
                        <w:rFonts w:ascii="Arial" w:eastAsia="Times New Roman" w:hAnsi="Arial" w:cs="Arial"/>
                        <w:color w:val="0000FF"/>
                        <w:sz w:val="18"/>
                        <w:szCs w:val="20"/>
                        <w:vertAlign w:val="superscript"/>
                        <w:lang w:eastAsia="en-AU"/>
                      </w:rPr>
                      <w:t>22</w:t>
                    </w:r>
                  </w:hyperlink>
                  <w:r w:rsidRPr="00D26B10">
                    <w:rPr>
                      <w:rFonts w:ascii="Arial" w:eastAsia="Times New Roman" w:hAnsi="Arial" w:cs="Arial"/>
                      <w:sz w:val="18"/>
                      <w:szCs w:val="20"/>
                      <w:vertAlign w:val="superscript"/>
                      <w:lang w:eastAsia="en-AU"/>
                    </w:rPr>
                    <w:t>)</w:t>
                  </w:r>
                  <w:r w:rsidRPr="00D26B10">
                    <w:rPr>
                      <w:rFonts w:ascii="Arial" w:eastAsia="Times New Roman" w:hAnsi="Arial" w:cs="Arial"/>
                      <w:sz w:val="18"/>
                      <w:szCs w:val="20"/>
                      <w:lang w:eastAsia="en-AU"/>
                    </w:rPr>
                    <w:t xml:space="preserve"> includes a secondary dwelling or associated outbuildings, they cannot be separately titled as they are dependent on the Dwelling house</w:t>
                  </w:r>
                  <w:r w:rsidRPr="00D26B10">
                    <w:rPr>
                      <w:rFonts w:ascii="Arial" w:eastAsia="Times New Roman" w:hAnsi="Arial" w:cs="Arial"/>
                      <w:sz w:val="18"/>
                      <w:szCs w:val="20"/>
                      <w:vertAlign w:val="superscript"/>
                      <w:lang w:eastAsia="en-AU"/>
                    </w:rPr>
                    <w:t>(</w:t>
                  </w:r>
                  <w:hyperlink r:id="rId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D26B10">
                      <w:rPr>
                        <w:rFonts w:ascii="Arial" w:eastAsia="Times New Roman" w:hAnsi="Arial" w:cs="Arial"/>
                        <w:color w:val="0000FF"/>
                        <w:sz w:val="18"/>
                        <w:szCs w:val="20"/>
                        <w:vertAlign w:val="superscript"/>
                        <w:lang w:eastAsia="en-AU"/>
                      </w:rPr>
                      <w:t>22</w:t>
                    </w:r>
                  </w:hyperlink>
                  <w:r w:rsidRPr="00D26B10">
                    <w:rPr>
                      <w:rFonts w:ascii="Arial" w:eastAsia="Times New Roman" w:hAnsi="Arial" w:cs="Arial"/>
                      <w:sz w:val="18"/>
                      <w:szCs w:val="20"/>
                      <w:vertAlign w:val="superscript"/>
                      <w:lang w:eastAsia="en-AU"/>
                    </w:rPr>
                    <w:t>)</w:t>
                  </w:r>
                  <w:r w:rsidRPr="00D26B10">
                    <w:rPr>
                      <w:rFonts w:ascii="Arial" w:eastAsia="Times New Roman" w:hAnsi="Arial" w:cs="Arial"/>
                      <w:sz w:val="18"/>
                      <w:szCs w:val="20"/>
                      <w:lang w:eastAsia="en-AU"/>
                    </w:rPr>
                    <w:t xml:space="preserve"> use. </w:t>
                  </w:r>
                </w:p>
              </w:tc>
            </w:tr>
          </w:tbl>
          <w:p w:rsidR="007E6B9F" w:rsidRPr="007E6B9F" w:rsidRDefault="007E6B9F" w:rsidP="007E6B9F">
            <w:pPr>
              <w:spacing w:before="100" w:beforeAutospacing="1" w:after="100" w:afterAutospacing="1" w:line="240" w:lineRule="auto"/>
              <w:rPr>
                <w:rFonts w:ascii="Arial" w:eastAsia="Times New Roman" w:hAnsi="Arial" w:cs="Arial"/>
                <w:color w:val="000000"/>
                <w:sz w:val="20"/>
                <w:szCs w:val="20"/>
                <w:lang w:eastAsia="en-AU"/>
              </w:rPr>
            </w:pPr>
          </w:p>
        </w:tc>
        <w:tc>
          <w:tcPr>
            <w:tcW w:w="171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color w:val="000000"/>
                <w:sz w:val="20"/>
                <w:szCs w:val="20"/>
                <w:lang w:eastAsia="en-AU"/>
              </w:rPr>
            </w:pPr>
            <w:r w:rsidRPr="007E6B9F">
              <w:rPr>
                <w:rFonts w:ascii="Arial" w:eastAsia="Times New Roman" w:hAnsi="Arial" w:cs="Arial"/>
                <w:color w:val="000000"/>
                <w:sz w:val="20"/>
                <w:szCs w:val="20"/>
                <w:lang w:eastAsia="en-AU"/>
              </w:rPr>
              <w:t>No example provided.</w:t>
            </w:r>
            <w:bookmarkStart w:id="0" w:name="_GoBack"/>
            <w:bookmarkEnd w:id="0"/>
          </w:p>
        </w:tc>
        <w:tc>
          <w:tcPr>
            <w:tcW w:w="596"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color w:val="000000"/>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color w:val="000000"/>
                <w:sz w:val="20"/>
                <w:szCs w:val="20"/>
                <w:lang w:eastAsia="en-AU"/>
              </w:rPr>
            </w:pPr>
          </w:p>
        </w:tc>
      </w:tr>
      <w:tr w:rsidR="00C94709" w:rsidRPr="007E6B9F" w:rsidTr="00D26B10">
        <w:trPr>
          <w:tblCellSpacing w:w="15" w:type="dxa"/>
        </w:trPr>
        <w:tc>
          <w:tcPr>
            <w:tcW w:w="3342"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Native vegetation where not located in the Environmental areas overlay</w:t>
            </w:r>
          </w:p>
        </w:tc>
        <w:tc>
          <w:tcPr>
            <w:tcW w:w="596" w:type="pct"/>
            <w:tcBorders>
              <w:top w:val="outset" w:sz="6" w:space="0" w:color="auto"/>
              <w:left w:val="outset" w:sz="6" w:space="0" w:color="auto"/>
              <w:bottom w:val="outset" w:sz="6" w:space="0" w:color="auto"/>
              <w:right w:val="outset" w:sz="6" w:space="0" w:color="auto"/>
            </w:tcBorders>
            <w:shd w:val="clear" w:color="auto" w:fill="CCCCCC"/>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shd w:val="clear" w:color="auto" w:fill="CCCCCC"/>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D26B10">
        <w:trPr>
          <w:tblCellSpacing w:w="15" w:type="dxa"/>
        </w:trPr>
        <w:tc>
          <w:tcPr>
            <w:tcW w:w="1615" w:type="pct"/>
            <w:tcBorders>
              <w:top w:val="outset" w:sz="6" w:space="0" w:color="auto"/>
              <w:left w:val="outset" w:sz="6" w:space="0" w:color="auto"/>
              <w:bottom w:val="outset" w:sz="6" w:space="0" w:color="auto"/>
              <w:right w:val="outset" w:sz="6" w:space="0" w:color="auto"/>
            </w:tcBorders>
            <w:vAlign w:val="cente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lastRenderedPageBreak/>
              <w:t>PO3</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Reconfiguring a lot facilitates the retention of native vegetation by:</w:t>
            </w:r>
          </w:p>
          <w:p w:rsidR="007E6B9F" w:rsidRPr="007E6B9F" w:rsidRDefault="007E6B9F" w:rsidP="007E6B9F">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incorporating native vegetation and habitat trees into the overall subdivision design, development layout, on-street amenity and landscaping where practicable; </w:t>
            </w:r>
          </w:p>
          <w:p w:rsidR="007E6B9F" w:rsidRPr="007E6B9F" w:rsidRDefault="007E6B9F" w:rsidP="007E6B9F">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ensuring habitat trees are located outside a development footprint.  Where habitat trees are to be cleared, replacement fauna nesting boxes are provided at the rate of 1 nest box for every hollow removed.  Where hollows have not yet formed in trees &gt; 80cm in diameter at 1.3m height, 3 nest boxes are required for every habitat tree removed. </w:t>
            </w:r>
          </w:p>
          <w:p w:rsidR="007E6B9F" w:rsidRPr="007E6B9F" w:rsidRDefault="007E6B9F" w:rsidP="007E6B9F">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providing safe, unimpeded, convenient and ongoing wildlife movement;</w:t>
            </w:r>
          </w:p>
          <w:p w:rsidR="007E6B9F" w:rsidRPr="007E6B9F" w:rsidRDefault="007E6B9F" w:rsidP="007E6B9F">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avoiding creating fragmented and isolated patches of native vegetation.</w:t>
            </w:r>
          </w:p>
          <w:p w:rsidR="007E6B9F" w:rsidRPr="007E6B9F" w:rsidRDefault="007E6B9F" w:rsidP="007E6B9F">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ensuring that biodiversity quality and integrity of habitats is not adversely impacted upon but are maintained and protected;</w:t>
            </w:r>
          </w:p>
          <w:p w:rsidR="007E6B9F" w:rsidRPr="007E6B9F" w:rsidRDefault="007E6B9F" w:rsidP="007E6B9F">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ensuring that soil erosion and land degradation does not occur;</w:t>
            </w:r>
          </w:p>
          <w:p w:rsidR="007E6B9F" w:rsidRPr="007E6B9F" w:rsidRDefault="007E6B9F" w:rsidP="007E6B9F">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ensuring that quality of surface water is not adversely impacted upon by providing effective vegetated buffers to water bodies. </w:t>
            </w:r>
          </w:p>
        </w:tc>
        <w:tc>
          <w:tcPr>
            <w:tcW w:w="1718"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r>
      <w:tr w:rsidR="00C94709" w:rsidRPr="007E6B9F" w:rsidTr="00D26B10">
        <w:trPr>
          <w:tblCellSpacing w:w="15" w:type="dxa"/>
        </w:trPr>
        <w:tc>
          <w:tcPr>
            <w:tcW w:w="3342"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Noise</w:t>
            </w:r>
          </w:p>
        </w:tc>
        <w:tc>
          <w:tcPr>
            <w:tcW w:w="596" w:type="pct"/>
            <w:tcBorders>
              <w:top w:val="outset" w:sz="6" w:space="0" w:color="auto"/>
              <w:left w:val="outset" w:sz="6" w:space="0" w:color="auto"/>
              <w:bottom w:val="outset" w:sz="6" w:space="0" w:color="auto"/>
              <w:right w:val="outset" w:sz="6" w:space="0" w:color="auto"/>
            </w:tcBorders>
            <w:shd w:val="clear" w:color="auto" w:fill="CCCCCC"/>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shd w:val="clear" w:color="auto" w:fill="CCCCCC"/>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D26B10">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PO4</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Noise attenuation structure (e.g. walls, barriers or fences):</w:t>
            </w:r>
          </w:p>
          <w:p w:rsidR="007E6B9F" w:rsidRPr="007E6B9F" w:rsidRDefault="007E6B9F" w:rsidP="007E6B9F">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contribute to safe and usable public spaces, through maintaining high levels of surveillance of parks, streets and roads that serve active transport purposes (e.g. existing or future pedestrian paths or cycle lanes etc); </w:t>
            </w:r>
          </w:p>
          <w:p w:rsidR="007E6B9F" w:rsidRPr="007E6B9F" w:rsidRDefault="007E6B9F" w:rsidP="007E6B9F">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lastRenderedPageBreak/>
              <w:t>maintain the amenity of the streetscape.</w:t>
            </w:r>
          </w:p>
          <w:tbl>
            <w:tblPr>
              <w:tblW w:w="4901"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901"/>
            </w:tblGrid>
            <w:tr w:rsidR="007E6B9F" w:rsidRPr="007E6B9F" w:rsidTr="00C94709">
              <w:trPr>
                <w:tblCellSpacing w:w="15" w:type="dxa"/>
              </w:trPr>
              <w:tc>
                <w:tcPr>
                  <w:tcW w:w="4841" w:type="dxa"/>
                  <w:vAlign w:val="center"/>
                  <w:hideMark/>
                </w:tcPr>
                <w:p w:rsidR="007E6B9F" w:rsidRPr="00D26B10" w:rsidRDefault="007E6B9F" w:rsidP="007E6B9F">
                  <w:pPr>
                    <w:spacing w:before="100" w:beforeAutospacing="1" w:after="100" w:afterAutospacing="1" w:line="240" w:lineRule="auto"/>
                    <w:rPr>
                      <w:rFonts w:ascii="Arial" w:eastAsia="Times New Roman" w:hAnsi="Arial" w:cs="Arial"/>
                      <w:sz w:val="18"/>
                      <w:szCs w:val="20"/>
                      <w:lang w:eastAsia="en-AU"/>
                    </w:rPr>
                  </w:pPr>
                  <w:r w:rsidRPr="00D26B10">
                    <w:rPr>
                      <w:rFonts w:ascii="Arial" w:eastAsia="Times New Roman" w:hAnsi="Arial" w:cs="Arial"/>
                      <w:sz w:val="18"/>
                      <w:szCs w:val="20"/>
                      <w:lang w:eastAsia="en-AU"/>
                    </w:rPr>
                    <w:t xml:space="preserve">Note - A noise impact assessment may be required to demonstrate compliance with this PO.  Noise impact assessments are to be prepared in accordance with Planning scheme policy - Noise. </w:t>
                  </w:r>
                </w:p>
              </w:tc>
            </w:tr>
            <w:tr w:rsidR="007E6B9F" w:rsidRPr="007E6B9F" w:rsidTr="00C94709">
              <w:trPr>
                <w:tblCellSpacing w:w="15" w:type="dxa"/>
              </w:trPr>
              <w:tc>
                <w:tcPr>
                  <w:tcW w:w="4841" w:type="dxa"/>
                  <w:vAlign w:val="center"/>
                  <w:hideMark/>
                </w:tcPr>
                <w:p w:rsidR="007E6B9F" w:rsidRPr="00D26B10" w:rsidRDefault="007E6B9F" w:rsidP="007E6B9F">
                  <w:pPr>
                    <w:spacing w:before="100" w:beforeAutospacing="1" w:after="100" w:afterAutospacing="1" w:line="240" w:lineRule="auto"/>
                    <w:rPr>
                      <w:rFonts w:ascii="Arial" w:eastAsia="Times New Roman" w:hAnsi="Arial" w:cs="Arial"/>
                      <w:sz w:val="18"/>
                      <w:szCs w:val="20"/>
                      <w:lang w:eastAsia="en-AU"/>
                    </w:rPr>
                  </w:pPr>
                  <w:r w:rsidRPr="00D26B10">
                    <w:rPr>
                      <w:rFonts w:ascii="Arial" w:eastAsia="Times New Roman" w:hAnsi="Arial" w:cs="Arial"/>
                      <w:sz w:val="18"/>
                      <w:szCs w:val="20"/>
                      <w:lang w:eastAsia="en-AU"/>
                    </w:rPr>
                    <w:t>Note - Refer to Planning Scheme Policy – Integrated design for details and examples of noise attenuation structures.</w:t>
                  </w:r>
                </w:p>
              </w:tc>
            </w:tr>
          </w:tbl>
          <w:p w:rsidR="007E6B9F" w:rsidRPr="007E6B9F" w:rsidRDefault="007E6B9F" w:rsidP="007E6B9F">
            <w:pPr>
              <w:spacing w:before="100" w:beforeAutospacing="1" w:after="100" w:afterAutospacing="1" w:line="240" w:lineRule="auto"/>
              <w:rPr>
                <w:rFonts w:ascii="Arial" w:eastAsia="Times New Roman" w:hAnsi="Arial" w:cs="Arial"/>
                <w:sz w:val="20"/>
                <w:szCs w:val="20"/>
                <w:lang w:eastAsia="en-AU"/>
              </w:rPr>
            </w:pPr>
          </w:p>
        </w:tc>
        <w:tc>
          <w:tcPr>
            <w:tcW w:w="1718"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lastRenderedPageBreak/>
              <w:t>E4</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Noise attenuation structures (e.g. walls, barriers or fences):</w:t>
            </w:r>
          </w:p>
          <w:p w:rsidR="007E6B9F" w:rsidRPr="007E6B9F" w:rsidRDefault="007E6B9F" w:rsidP="007E6B9F">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are not visible from an adjoining road or public area unless;</w:t>
            </w:r>
          </w:p>
          <w:p w:rsidR="007E6B9F" w:rsidRPr="007E6B9F" w:rsidRDefault="007E6B9F" w:rsidP="009B5772">
            <w:pPr>
              <w:numPr>
                <w:ilvl w:val="0"/>
                <w:numId w:val="6"/>
              </w:numPr>
              <w:spacing w:before="100" w:beforeAutospacing="1" w:after="100" w:afterAutospacing="1" w:line="240" w:lineRule="auto"/>
              <w:ind w:left="614"/>
              <w:rPr>
                <w:rFonts w:ascii="Arial" w:eastAsia="Times New Roman" w:hAnsi="Arial" w:cs="Arial"/>
                <w:sz w:val="20"/>
                <w:szCs w:val="20"/>
                <w:lang w:eastAsia="en-AU"/>
              </w:rPr>
            </w:pPr>
            <w:r w:rsidRPr="007E6B9F">
              <w:rPr>
                <w:rFonts w:ascii="Arial" w:eastAsia="Times New Roman" w:hAnsi="Arial" w:cs="Arial"/>
                <w:sz w:val="20"/>
                <w:szCs w:val="20"/>
                <w:lang w:eastAsia="en-AU"/>
              </w:rPr>
              <w:t>adjoining a motorway or rail line; or</w:t>
            </w:r>
          </w:p>
          <w:p w:rsidR="007E6B9F" w:rsidRPr="007E6B9F" w:rsidRDefault="007E6B9F" w:rsidP="009B5772">
            <w:pPr>
              <w:numPr>
                <w:ilvl w:val="0"/>
                <w:numId w:val="6"/>
              </w:numPr>
              <w:spacing w:before="100" w:beforeAutospacing="1" w:after="100" w:afterAutospacing="1" w:line="240" w:lineRule="auto"/>
              <w:ind w:left="614"/>
              <w:rPr>
                <w:rFonts w:ascii="Arial" w:eastAsia="Times New Roman" w:hAnsi="Arial" w:cs="Arial"/>
                <w:sz w:val="20"/>
                <w:szCs w:val="20"/>
                <w:lang w:eastAsia="en-AU"/>
              </w:rPr>
            </w:pPr>
            <w:r w:rsidRPr="007E6B9F">
              <w:rPr>
                <w:rFonts w:ascii="Arial" w:eastAsia="Times New Roman" w:hAnsi="Arial" w:cs="Arial"/>
                <w:sz w:val="20"/>
                <w:szCs w:val="20"/>
                <w:lang w:eastAsia="en-AU"/>
              </w:rPr>
              <w:lastRenderedPageBreak/>
              <w:t xml:space="preserve">adjoining part of an arterial road that does not serve an existing or future active transport purpose (e.g. pedestrian paths or cycle lanes) or where attenuation through building location and materials is not possible.  </w:t>
            </w:r>
          </w:p>
          <w:p w:rsidR="007E6B9F" w:rsidRPr="007E6B9F" w:rsidRDefault="007E6B9F" w:rsidP="007E6B9F">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do not remove existing or prevent future active transport routes or connections to the street network;</w:t>
            </w:r>
          </w:p>
          <w:p w:rsidR="007E6B9F" w:rsidRPr="007E6B9F" w:rsidRDefault="007E6B9F" w:rsidP="007E6B9F">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are located, constructed and landscaped in accordance with Planning scheme policy - Integrated design.</w:t>
            </w:r>
          </w:p>
          <w:tbl>
            <w:tblPr>
              <w:tblW w:w="5100"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5100"/>
            </w:tblGrid>
            <w:tr w:rsidR="007E6B9F" w:rsidRPr="007E6B9F" w:rsidTr="00C94709">
              <w:trPr>
                <w:tblCellSpacing w:w="15" w:type="dxa"/>
              </w:trPr>
              <w:tc>
                <w:tcPr>
                  <w:tcW w:w="5040" w:type="dxa"/>
                  <w:vAlign w:val="center"/>
                  <w:hideMark/>
                </w:tcPr>
                <w:p w:rsidR="007E6B9F" w:rsidRPr="00D26B10" w:rsidRDefault="007E6B9F" w:rsidP="007E6B9F">
                  <w:pPr>
                    <w:spacing w:before="100" w:beforeAutospacing="1" w:after="100" w:afterAutospacing="1" w:line="240" w:lineRule="auto"/>
                    <w:rPr>
                      <w:rFonts w:ascii="Arial" w:eastAsia="Times New Roman" w:hAnsi="Arial" w:cs="Arial"/>
                      <w:sz w:val="18"/>
                      <w:szCs w:val="20"/>
                      <w:lang w:eastAsia="en-AU"/>
                    </w:rPr>
                  </w:pPr>
                  <w:r w:rsidRPr="00D26B10">
                    <w:rPr>
                      <w:rFonts w:ascii="Arial" w:eastAsia="Times New Roman" w:hAnsi="Arial" w:cs="Arial"/>
                      <w:sz w:val="18"/>
                      <w:szCs w:val="20"/>
                      <w:lang w:eastAsia="en-AU"/>
                    </w:rPr>
                    <w:t>Note - Refer to Planning Scheme Policy – Integrated design for details and examples of noise attenuation structures.</w:t>
                  </w:r>
                </w:p>
              </w:tc>
            </w:tr>
            <w:tr w:rsidR="007E6B9F" w:rsidRPr="007E6B9F" w:rsidTr="00C94709">
              <w:trPr>
                <w:tblCellSpacing w:w="15" w:type="dxa"/>
              </w:trPr>
              <w:tc>
                <w:tcPr>
                  <w:tcW w:w="5040" w:type="dxa"/>
                  <w:vAlign w:val="center"/>
                  <w:hideMark/>
                </w:tcPr>
                <w:p w:rsidR="007E6B9F" w:rsidRPr="00D26B10" w:rsidRDefault="007E6B9F" w:rsidP="007E6B9F">
                  <w:pPr>
                    <w:spacing w:before="100" w:beforeAutospacing="1" w:after="100" w:afterAutospacing="1" w:line="240" w:lineRule="auto"/>
                    <w:rPr>
                      <w:rFonts w:ascii="Arial" w:eastAsia="Times New Roman" w:hAnsi="Arial" w:cs="Arial"/>
                      <w:sz w:val="18"/>
                      <w:szCs w:val="20"/>
                      <w:lang w:eastAsia="en-AU"/>
                    </w:rPr>
                  </w:pPr>
                  <w:r w:rsidRPr="00D26B10">
                    <w:rPr>
                      <w:rFonts w:ascii="Arial" w:eastAsia="Times New Roman" w:hAnsi="Arial" w:cs="Arial"/>
                      <w:sz w:val="18"/>
                      <w:szCs w:val="20"/>
                      <w:lang w:eastAsia="en-AU"/>
                    </w:rPr>
                    <w:t>Note - Refer to Overlay map – Active transport for future active transport routes.</w:t>
                  </w:r>
                </w:p>
              </w:tc>
            </w:tr>
          </w:tbl>
          <w:p w:rsidR="007E6B9F" w:rsidRPr="007E6B9F" w:rsidRDefault="007E6B9F" w:rsidP="007E6B9F">
            <w:pPr>
              <w:spacing w:before="100" w:beforeAutospacing="1" w:after="100" w:afterAutospacing="1" w:line="240" w:lineRule="auto"/>
              <w:rPr>
                <w:rFonts w:ascii="Arial" w:eastAsia="Times New Roman" w:hAnsi="Arial" w:cs="Arial"/>
                <w:sz w:val="20"/>
                <w:szCs w:val="20"/>
                <w:lang w:eastAsia="en-AU"/>
              </w:rPr>
            </w:pPr>
          </w:p>
        </w:tc>
        <w:tc>
          <w:tcPr>
            <w:tcW w:w="596"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C94709" w:rsidRDefault="00C94709"/>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941"/>
        <w:gridCol w:w="5361"/>
        <w:gridCol w:w="1936"/>
        <w:gridCol w:w="3135"/>
      </w:tblGrid>
      <w:tr w:rsidR="00C94709" w:rsidRPr="007E6B9F" w:rsidTr="00C9470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94709" w:rsidRPr="007E6B9F" w:rsidRDefault="00C94709" w:rsidP="007E6B9F">
            <w:pPr>
              <w:spacing w:before="100" w:beforeAutospacing="1" w:after="100" w:afterAutospacing="1" w:line="240" w:lineRule="auto"/>
              <w:ind w:left="150" w:right="150"/>
              <w:jc w:val="center"/>
              <w:rPr>
                <w:rFonts w:ascii="Arial" w:eastAsia="Times New Roman" w:hAnsi="Arial" w:cs="Arial"/>
                <w:color w:val="000000"/>
                <w:sz w:val="20"/>
                <w:szCs w:val="20"/>
                <w:lang w:eastAsia="en-AU"/>
              </w:rPr>
            </w:pPr>
            <w:r w:rsidRPr="007E6B9F">
              <w:rPr>
                <w:rFonts w:ascii="Arial" w:eastAsia="Times New Roman" w:hAnsi="Arial" w:cs="Arial"/>
                <w:b/>
                <w:bCs/>
                <w:color w:val="000000"/>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94709" w:rsidRPr="007E6B9F" w:rsidTr="007E6B9F">
              <w:trPr>
                <w:tblCellSpacing w:w="15" w:type="dxa"/>
              </w:trPr>
              <w:tc>
                <w:tcPr>
                  <w:tcW w:w="15100" w:type="dxa"/>
                  <w:shd w:val="clear" w:color="auto" w:fill="CCCCCC"/>
                  <w:vAlign w:val="center"/>
                  <w:hideMark/>
                </w:tcPr>
                <w:p w:rsidR="00C94709" w:rsidRPr="007E6B9F" w:rsidRDefault="00C94709"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C94709" w:rsidRPr="007E6B9F" w:rsidRDefault="00C94709" w:rsidP="007E6B9F">
            <w:pPr>
              <w:spacing w:before="100" w:beforeAutospacing="1" w:after="100" w:afterAutospacing="1" w:line="240" w:lineRule="auto"/>
              <w:ind w:left="150" w:right="150"/>
              <w:jc w:val="center"/>
              <w:rPr>
                <w:rFonts w:ascii="Arial" w:eastAsia="Times New Roman" w:hAnsi="Arial" w:cs="Arial"/>
                <w:b/>
                <w:bCs/>
                <w:color w:val="000000"/>
                <w:sz w:val="20"/>
                <w:szCs w:val="20"/>
                <w:lang w:eastAsia="en-AU"/>
              </w:rPr>
            </w:pPr>
          </w:p>
        </w:tc>
      </w:tr>
      <w:tr w:rsidR="00C94709" w:rsidRPr="007E6B9F" w:rsidTr="00C9470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94709" w:rsidRPr="007E6B9F" w:rsidRDefault="00C94709"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Bushfire hazard (refer Overlay map - Bushfire hazard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0"/>
            </w:tblGrid>
            <w:tr w:rsidR="00C94709" w:rsidRPr="007E6B9F" w:rsidTr="007E6B9F">
              <w:trPr>
                <w:tblCellSpacing w:w="15" w:type="dxa"/>
              </w:trPr>
              <w:tc>
                <w:tcPr>
                  <w:tcW w:w="15100" w:type="dxa"/>
                  <w:shd w:val="clear" w:color="auto" w:fill="CCCCCC"/>
                  <w:vAlign w:val="center"/>
                  <w:hideMark/>
                </w:tcPr>
                <w:p w:rsidR="00C94709" w:rsidRPr="007E6B9F" w:rsidRDefault="00C94709"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Note -The preparation of a bushfire management plan in accordance with Planning scheme policy – Bushfire prone areas can assist in demonstrating compliance with the following performance criteria. The identification of a development footprint will assist in demonstrating compliance with the following performance criteria. </w:t>
                  </w:r>
                </w:p>
              </w:tc>
            </w:tr>
          </w:tbl>
          <w:p w:rsidR="00C94709" w:rsidRPr="007E6B9F" w:rsidRDefault="00C94709"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PO5</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Lots are designed to:</w:t>
            </w:r>
          </w:p>
          <w:p w:rsidR="007E6B9F" w:rsidRPr="007E6B9F" w:rsidRDefault="007E6B9F" w:rsidP="007E6B9F">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minimise the risk from bushfire hazard to each lot and provide the safest possible siting for buildings and structures;</w:t>
            </w:r>
          </w:p>
          <w:p w:rsidR="007E6B9F" w:rsidRPr="007E6B9F" w:rsidRDefault="007E6B9F" w:rsidP="007E6B9F">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limit the possible spread paths of bushfire within the reconfiguring;</w:t>
            </w:r>
          </w:p>
          <w:p w:rsidR="007E6B9F" w:rsidRPr="007E6B9F" w:rsidRDefault="007E6B9F" w:rsidP="007E6B9F">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achieve sufficient separation distance between development and hazardous </w:t>
            </w:r>
            <w:r w:rsidRPr="007E6B9F">
              <w:rPr>
                <w:rFonts w:ascii="Arial" w:eastAsia="Times New Roman" w:hAnsi="Arial" w:cs="Arial"/>
                <w:sz w:val="20"/>
                <w:szCs w:val="20"/>
                <w:lang w:eastAsia="en-AU"/>
              </w:rPr>
              <w:lastRenderedPageBreak/>
              <w:t xml:space="preserve">vegetation to minimise the risk to future buildings and structures during bushfire events; </w:t>
            </w:r>
          </w:p>
          <w:p w:rsidR="007E6B9F" w:rsidRPr="007E6B9F" w:rsidRDefault="007E6B9F" w:rsidP="007E6B9F">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maintain the required level of functionality for emergency services and uses during and immediately after a natural hazard event. </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lastRenderedPageBreak/>
              <w:t>E5</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Reconfiguring a lot ensures that all new lots are of an appropriate size, shape and layout to allow for the siting of future buildings being located: </w:t>
            </w:r>
          </w:p>
          <w:p w:rsidR="007E6B9F" w:rsidRPr="007E6B9F" w:rsidRDefault="007E6B9F" w:rsidP="007E6B9F">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within an appropriate development footprint;</w:t>
            </w:r>
          </w:p>
          <w:p w:rsidR="007E6B9F" w:rsidRPr="007E6B9F" w:rsidRDefault="007E6B9F" w:rsidP="007E6B9F">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within the lowest hazard locations on a lot;</w:t>
            </w:r>
          </w:p>
          <w:p w:rsidR="007E6B9F" w:rsidRPr="007E6B9F" w:rsidRDefault="007E6B9F" w:rsidP="007E6B9F">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to achieve minimum separation between development or development footprint and any source of bushfire hazard of 20m or the distance </w:t>
            </w:r>
            <w:r w:rsidRPr="007E6B9F">
              <w:rPr>
                <w:rFonts w:ascii="Arial" w:eastAsia="Times New Roman" w:hAnsi="Arial" w:cs="Arial"/>
                <w:sz w:val="20"/>
                <w:szCs w:val="20"/>
                <w:lang w:eastAsia="en-AU"/>
              </w:rPr>
              <w:lastRenderedPageBreak/>
              <w:t xml:space="preserve">required to achieve a Bushfire Attack Level BAL (as identified under AS3959-2009), whichever is the greater; </w:t>
            </w:r>
          </w:p>
          <w:p w:rsidR="007E6B9F" w:rsidRPr="007E6B9F" w:rsidRDefault="007E6B9F" w:rsidP="007E6B9F">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to achieve a minimum separation between development or development footprint and any retained vegetation strips or small areas of vegetation of 10m or the distance required to achieve a Bushfire Attack Level BAL (as identified under AS3959-2009), whichever is the greater; </w:t>
            </w:r>
          </w:p>
          <w:p w:rsidR="007E6B9F" w:rsidRPr="007E6B9F" w:rsidRDefault="007E6B9F" w:rsidP="007E6B9F">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away from ridgelines and hilltops;</w:t>
            </w:r>
          </w:p>
          <w:p w:rsidR="007E6B9F" w:rsidRPr="007E6B9F" w:rsidRDefault="007E6B9F" w:rsidP="007E6B9F">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on land with a slope of less than 15%;</w:t>
            </w:r>
          </w:p>
          <w:p w:rsidR="007E6B9F" w:rsidRPr="007E6B9F" w:rsidRDefault="007E6B9F" w:rsidP="007E6B9F">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away from north to west facing slope.</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PO6</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Lots provide adequate water supply and infrastructure to support fire-fighting.</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E6</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For water supply purposes, reconfiguring a lot ensures that:</w:t>
            </w:r>
          </w:p>
          <w:p w:rsidR="007E6B9F" w:rsidRPr="007E6B9F" w:rsidRDefault="007E6B9F" w:rsidP="007E6B9F">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lots have access to a reticulated water supply provided by a distributer retailer for the area; or</w:t>
            </w:r>
          </w:p>
          <w:p w:rsidR="007E6B9F" w:rsidRPr="007E6B9F" w:rsidRDefault="007E6B9F" w:rsidP="007E6B9F">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where no reticulated water supply is available, on-site fire fighting water storage containing not less than 10000 litres and located within a development footprint. </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PO7</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Lots are designed to achieve:</w:t>
            </w:r>
          </w:p>
          <w:p w:rsidR="007E6B9F" w:rsidRPr="007E6B9F" w:rsidRDefault="007E6B9F" w:rsidP="007E6B9F">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safe site access by avoiding potential entrapment situations;</w:t>
            </w:r>
          </w:p>
          <w:p w:rsidR="007E6B9F" w:rsidRPr="007E6B9F" w:rsidRDefault="007E6B9F" w:rsidP="007E6B9F">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accessibility and manoeuvring for fire-fighting during bushfire.</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E7</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Reconfiguring a lot ensures a new lot is provided with:</w:t>
            </w:r>
          </w:p>
          <w:p w:rsidR="007E6B9F" w:rsidRPr="007E6B9F" w:rsidRDefault="007E6B9F" w:rsidP="007E6B9F">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direct road access and egress to public roads;</w:t>
            </w:r>
          </w:p>
          <w:p w:rsidR="007E6B9F" w:rsidRPr="007E6B9F" w:rsidRDefault="007E6B9F" w:rsidP="007E6B9F">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an alternative access where the private driveway is longer than 100m to reach a public road;</w:t>
            </w:r>
          </w:p>
          <w:p w:rsidR="007E6B9F" w:rsidRPr="007E6B9F" w:rsidRDefault="007E6B9F" w:rsidP="007E6B9F">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driveway access to a public road that has a gradient no greater than 12.5%;</w:t>
            </w:r>
          </w:p>
          <w:p w:rsidR="007E6B9F" w:rsidRPr="007E6B9F" w:rsidRDefault="007E6B9F" w:rsidP="007E6B9F">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minimum width of 3.5m.</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PO8</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lastRenderedPageBreak/>
              <w:t>The road layout and design supports:</w:t>
            </w:r>
          </w:p>
          <w:p w:rsidR="007E6B9F" w:rsidRPr="007E6B9F" w:rsidRDefault="007E6B9F" w:rsidP="007E6B9F">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safe and efficient emergency services access to all lots; and manoeuvring within the subdivision;</w:t>
            </w:r>
          </w:p>
          <w:p w:rsidR="007E6B9F" w:rsidRPr="007E6B9F" w:rsidRDefault="007E6B9F" w:rsidP="007E6B9F">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availability and maintenance of access routes for the purpose of safe evacuation.</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lastRenderedPageBreak/>
              <w:t>E8</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lastRenderedPageBreak/>
              <w:t>Reconfiguring a lot provides a road layout which:</w:t>
            </w:r>
          </w:p>
          <w:p w:rsidR="007E6B9F" w:rsidRPr="007E6B9F" w:rsidRDefault="007E6B9F" w:rsidP="007E6B9F">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includes a perimeter road that separating the new lots from hazardous vegetation on adjacent lots incorporating by:</w:t>
            </w:r>
          </w:p>
          <w:p w:rsidR="007E6B9F" w:rsidRPr="007E6B9F" w:rsidRDefault="007E6B9F" w:rsidP="007E6B9F">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a cleared width of 20m;</w:t>
            </w:r>
          </w:p>
          <w:p w:rsidR="007E6B9F" w:rsidRPr="007E6B9F" w:rsidRDefault="007E6B9F" w:rsidP="007E6B9F">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road gradients not exceeding 12.5%;</w:t>
            </w:r>
          </w:p>
          <w:p w:rsidR="007E6B9F" w:rsidRPr="007E6B9F" w:rsidRDefault="007E6B9F" w:rsidP="007E6B9F">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pavement and surface treatment capable of being used by emergency vehicles;</w:t>
            </w:r>
          </w:p>
          <w:p w:rsidR="007E6B9F" w:rsidRPr="007E6B9F" w:rsidRDefault="007E6B9F" w:rsidP="007E6B9F">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Turning areas for </w:t>
            </w:r>
            <w:proofErr w:type="spellStart"/>
            <w:r w:rsidRPr="007E6B9F">
              <w:rPr>
                <w:rFonts w:ascii="Arial" w:eastAsia="Times New Roman" w:hAnsi="Arial" w:cs="Arial"/>
                <w:sz w:val="20"/>
                <w:szCs w:val="20"/>
                <w:lang w:eastAsia="en-AU"/>
              </w:rPr>
              <w:t>fire fighting</w:t>
            </w:r>
            <w:proofErr w:type="spellEnd"/>
            <w:r w:rsidRPr="007E6B9F">
              <w:rPr>
                <w:rFonts w:ascii="Arial" w:eastAsia="Times New Roman" w:hAnsi="Arial" w:cs="Arial"/>
                <w:sz w:val="20"/>
                <w:szCs w:val="20"/>
                <w:lang w:eastAsia="en-AU"/>
              </w:rPr>
              <w:t xml:space="preserve"> appliances in accordance with Qld Fire and Emergency Services' Fire Hydrant and Vehicle Access Guidelines. </w:t>
            </w:r>
          </w:p>
          <w:p w:rsidR="007E6B9F" w:rsidRPr="007E6B9F" w:rsidRDefault="007E6B9F" w:rsidP="007E6B9F">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Or if the above is not practicable, a fire maintenance trail separates the lots from hazardous vegetation on adjacent lots incorporating: </w:t>
            </w:r>
          </w:p>
          <w:p w:rsidR="007E6B9F" w:rsidRPr="007E6B9F" w:rsidRDefault="007E6B9F" w:rsidP="007E6B9F">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a minimum cleared width of 6m and minimum formed width of 4m;</w:t>
            </w:r>
          </w:p>
          <w:p w:rsidR="007E6B9F" w:rsidRPr="007E6B9F" w:rsidRDefault="007E6B9F" w:rsidP="007E6B9F">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gradient not exceeding 12.5%;</w:t>
            </w:r>
          </w:p>
          <w:p w:rsidR="007E6B9F" w:rsidRPr="007E6B9F" w:rsidRDefault="007E6B9F" w:rsidP="007E6B9F">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cross slope not exceeding 10%;</w:t>
            </w:r>
          </w:p>
          <w:p w:rsidR="007E6B9F" w:rsidRPr="007E6B9F" w:rsidRDefault="007E6B9F" w:rsidP="007E6B9F">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a formed width and erosion control devices to the standards specified in Planning scheme policy - Integrated design;</w:t>
            </w:r>
          </w:p>
          <w:p w:rsidR="007E6B9F" w:rsidRPr="007E6B9F" w:rsidRDefault="007E6B9F" w:rsidP="007E6B9F">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a turning circle or turnaround area at the end of the trail to allow fire fighting vehicles to manoeuvre;</w:t>
            </w:r>
          </w:p>
          <w:p w:rsidR="007E6B9F" w:rsidRPr="007E6B9F" w:rsidRDefault="007E6B9F" w:rsidP="007E6B9F">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passing bays and turning/reversing bays every 200m;</w:t>
            </w:r>
          </w:p>
          <w:p w:rsidR="007E6B9F" w:rsidRPr="007E6B9F" w:rsidRDefault="007E6B9F" w:rsidP="007E6B9F">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 an access easement that is granted in favour of the Council and the Queensland Fire and Rescue Service or located on public land. </w:t>
            </w:r>
          </w:p>
          <w:p w:rsidR="007E6B9F" w:rsidRPr="007E6B9F" w:rsidRDefault="007E6B9F" w:rsidP="007E6B9F">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excludes cul-de-sacs, except where a perimeter road with a cleared width of 20m isolates the lots from hazardous vegetation on adjacent lots; and </w:t>
            </w:r>
          </w:p>
          <w:p w:rsidR="007E6B9F" w:rsidRPr="007E6B9F" w:rsidRDefault="007E6B9F" w:rsidP="007E6B9F">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excludes dead-end roads.</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C9470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94709" w:rsidRPr="007E6B9F" w:rsidRDefault="00C94709"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Environmental areas (refer Overlay map - Environmental areas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0"/>
            </w:tblGrid>
            <w:tr w:rsidR="00C94709" w:rsidRPr="007E6B9F" w:rsidTr="007E6B9F">
              <w:trPr>
                <w:tblCellSpacing w:w="15" w:type="dxa"/>
              </w:trPr>
              <w:tc>
                <w:tcPr>
                  <w:tcW w:w="15100" w:type="dxa"/>
                  <w:vAlign w:val="center"/>
                  <w:hideMark/>
                </w:tcPr>
                <w:p w:rsidR="00C94709" w:rsidRPr="007E6B9F" w:rsidRDefault="00C94709"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lastRenderedPageBreak/>
                    <w:t xml:space="preserve">Note - The identification of a development footprint will assist in demonstrating compliance with the following performance criteria. </w:t>
                  </w:r>
                </w:p>
                <w:p w:rsidR="00C94709" w:rsidRPr="007E6B9F" w:rsidRDefault="00C94709"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C94709" w:rsidRPr="007E6B9F" w:rsidRDefault="00C94709"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vAlign w:val="cente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lastRenderedPageBreak/>
              <w:t>PO9</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No new boundaries are to be located within 4m of a High Value Area</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No example provided.</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vAlign w:val="cente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PO10</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Lots are designed to:</w:t>
            </w:r>
          </w:p>
          <w:p w:rsidR="007E6B9F" w:rsidRPr="007E6B9F" w:rsidRDefault="007E6B9F" w:rsidP="007E6B9F">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minimise the extent of encroachment into the MLES waterway buffer or a MLES wetland buffer;</w:t>
            </w:r>
          </w:p>
          <w:p w:rsidR="007E6B9F" w:rsidRPr="007E6B9F" w:rsidRDefault="007E6B9F" w:rsidP="007E6B9F">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ensure quality and integrity of biodiversity and ecological values is not adversely impacted upon but are maintained and protected;</w:t>
            </w:r>
          </w:p>
          <w:p w:rsidR="007E6B9F" w:rsidRPr="007E6B9F" w:rsidRDefault="007E6B9F" w:rsidP="007E6B9F">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incorporate native vegetation and habitat trees into the overall subdivision design, development layout, on-street amenity and landscaping where practicable; </w:t>
            </w:r>
          </w:p>
          <w:p w:rsidR="007E6B9F" w:rsidRPr="007E6B9F" w:rsidRDefault="007E6B9F" w:rsidP="007E6B9F">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provide safe, unimpeded, convenient and ongoing wildlife movement;</w:t>
            </w:r>
          </w:p>
          <w:p w:rsidR="007E6B9F" w:rsidRPr="007E6B9F" w:rsidRDefault="007E6B9F" w:rsidP="007E6B9F">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avoid creating fragmented and isolated patches of native vegetation;</w:t>
            </w:r>
          </w:p>
          <w:p w:rsidR="007E6B9F" w:rsidRPr="007E6B9F" w:rsidRDefault="007E6B9F" w:rsidP="007E6B9F">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ensuring that soil erosion and land degradation does not occur;</w:t>
            </w:r>
          </w:p>
          <w:p w:rsidR="007E6B9F" w:rsidRPr="007E6B9F" w:rsidRDefault="007E6B9F" w:rsidP="007E6B9F">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ensuring that quality of surface water is not adversely impacted upon by providing effective vegetated buffers to water bodies.</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AND</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Where development results in the unavoidable loss of native vegetation within a MLES waterway buffer or a MLES wetland buffer, an environmental offset is required in accordance with the environmental offset requirements identified in Planning scheme policy - Environmental areas. </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E10</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Reconfiguring a lot ensures that no additional lots are created within a Value Offset Area.</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C9470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94709" w:rsidRPr="007E6B9F" w:rsidRDefault="00C94709"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lastRenderedPageBreak/>
              <w:t>Heritage and landscape character (refer Overlay map - Heritage and landscape character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870"/>
            </w:tblGrid>
            <w:tr w:rsidR="00C94709" w:rsidRPr="007E6B9F" w:rsidTr="007E6B9F">
              <w:trPr>
                <w:tblCellSpacing w:w="15" w:type="dxa"/>
              </w:trPr>
              <w:tc>
                <w:tcPr>
                  <w:tcW w:w="11810" w:type="dxa"/>
                  <w:shd w:val="clear" w:color="auto" w:fill="CCCCCC"/>
                  <w:vAlign w:val="center"/>
                  <w:hideMark/>
                </w:tcPr>
                <w:p w:rsidR="00C94709" w:rsidRPr="007E6B9F" w:rsidRDefault="00C94709"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C94709" w:rsidRPr="007E6B9F" w:rsidRDefault="00C94709"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PO11</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Lots do not:</w:t>
            </w:r>
          </w:p>
          <w:p w:rsidR="007E6B9F" w:rsidRPr="007E6B9F" w:rsidRDefault="007E6B9F" w:rsidP="007E6B9F">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reduce public access to a heritage place, building, item or object;</w:t>
            </w:r>
          </w:p>
          <w:p w:rsidR="007E6B9F" w:rsidRPr="007E6B9F" w:rsidRDefault="007E6B9F" w:rsidP="007E6B9F">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create the potential to adversely affect views to and from the heritage place, building, item or object;</w:t>
            </w:r>
          </w:p>
          <w:p w:rsidR="007E6B9F" w:rsidRPr="007E6B9F" w:rsidRDefault="007E6B9F" w:rsidP="007E6B9F">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obscure or destroy any pattern of historic subdivision, historical context, landscape setting or the scale and consistency of the urban fabric relating to the local heritage place. </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No example provided.</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PO12</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Reconfiguring a lot retains significant trees and incorporates them into the subdivision design, development layout and provision of infrastructure. </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No example provided.</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r>
      <w:tr w:rsidR="00C94709" w:rsidRPr="007E6B9F" w:rsidTr="00C94709">
        <w:trPr>
          <w:trHeight w:val="121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94709" w:rsidRPr="007E6B9F" w:rsidRDefault="00C94709"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Infrastructure buffer (refer Overlay map - Infrastructure buffers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94709" w:rsidRPr="007E6B9F" w:rsidTr="007E6B9F">
              <w:trPr>
                <w:tblCellSpacing w:w="15" w:type="dxa"/>
              </w:trPr>
              <w:tc>
                <w:tcPr>
                  <w:tcW w:w="15100" w:type="dxa"/>
                  <w:vAlign w:val="center"/>
                  <w:hideMark/>
                </w:tcPr>
                <w:p w:rsidR="00C94709" w:rsidRPr="007E6B9F" w:rsidRDefault="00C94709"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Note - The identification of a development footprint will assist in demonstrating compliance with the following performance standards. </w:t>
                  </w:r>
                </w:p>
              </w:tc>
            </w:tr>
          </w:tbl>
          <w:p w:rsidR="00C94709" w:rsidRPr="007E6B9F" w:rsidRDefault="00C94709"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3346" w:type="pct"/>
            <w:gridSpan w:val="2"/>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Bulk water supply infrastructure</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PO13</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Reconfiguration of lots does not compromise or adversely impact upon the efficiency and integrity of Bulk water supply infrastructure.</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No example provided.</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PO14</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lastRenderedPageBreak/>
              <w:t>Reconfiguring of lots ensures that access requirements of Bulk water supply infrastructure are maintained.</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lastRenderedPageBreak/>
              <w:t>E14</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lastRenderedPageBreak/>
              <w:t xml:space="preserve">Bulk water supply infrastructure traversing or within private land are protected by easement in favour of the service provider for access and maintenance. </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PO15</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Development within a Bulk water supply infrastructure buffer:</w:t>
            </w:r>
          </w:p>
          <w:p w:rsidR="007E6B9F" w:rsidRPr="007E6B9F" w:rsidRDefault="007E6B9F" w:rsidP="007E6B9F">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is located, designed and constructed to protect the integrity of the water supply pipeline;</w:t>
            </w:r>
          </w:p>
          <w:p w:rsidR="007E6B9F" w:rsidRPr="007E6B9F" w:rsidRDefault="007E6B9F" w:rsidP="007E6B9F">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maintains adequate access for any required maintenance or upgrading work to the water supply pipeline.</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E15</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New lots provide a development footprint outside the Bulk water supply infrastructure buffer.</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PO16</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Boundary realignments:</w:t>
            </w:r>
          </w:p>
          <w:p w:rsidR="007E6B9F" w:rsidRPr="007E6B9F" w:rsidRDefault="007E6B9F" w:rsidP="007E6B9F">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do not result in the creation of additional building development opportunities within the buffer;</w:t>
            </w:r>
          </w:p>
          <w:p w:rsidR="007E6B9F" w:rsidRPr="007E6B9F" w:rsidRDefault="007E6B9F" w:rsidP="007E6B9F">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result in the reduction of building development opportunities within the buffer.</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No example provided.</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r>
      <w:tr w:rsidR="00C94709" w:rsidRPr="007E6B9F" w:rsidTr="009B5772">
        <w:trPr>
          <w:tblCellSpacing w:w="15" w:type="dxa"/>
        </w:trPr>
        <w:tc>
          <w:tcPr>
            <w:tcW w:w="3346" w:type="pct"/>
            <w:gridSpan w:val="2"/>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High voltage electricity line buffer</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PO17</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New lots provide a development footprint outside of the buffer.</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No example provided.</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PO18</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The creation of new lots does not compromise or adversely impact upon the efficiency and integrity of supply.</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E18</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No new lots are created within the buffer area.</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PO19</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lastRenderedPageBreak/>
              <w:t xml:space="preserve">The creation of new lots does not compromise or adversely impact upon access to the supply line for any required maintenance or upgrading work. </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lastRenderedPageBreak/>
              <w:t>E19</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No new lots are created within the buffer areas.</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PO20</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Boundary realignments:</w:t>
            </w:r>
          </w:p>
          <w:p w:rsidR="007E6B9F" w:rsidRPr="007E6B9F" w:rsidRDefault="007E6B9F" w:rsidP="007E6B9F">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do not result in the creation of additional building development opportunities within the buffer;</w:t>
            </w:r>
          </w:p>
          <w:p w:rsidR="007E6B9F" w:rsidRPr="007E6B9F" w:rsidRDefault="007E6B9F" w:rsidP="007E6B9F">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result in the reduction of building development opportunities within the buffer.</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No example provided.</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r>
      <w:tr w:rsidR="00C94709" w:rsidRPr="007E6B9F" w:rsidTr="00C9470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94709" w:rsidRPr="007E6B9F" w:rsidRDefault="00C94709"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Landslide hazard (refer Overlay map - Landslide hazard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0"/>
            </w:tblGrid>
            <w:tr w:rsidR="00C94709" w:rsidRPr="007E6B9F" w:rsidTr="007E6B9F">
              <w:trPr>
                <w:tblCellSpacing w:w="15" w:type="dxa"/>
              </w:trPr>
              <w:tc>
                <w:tcPr>
                  <w:tcW w:w="15100" w:type="dxa"/>
                  <w:vAlign w:val="center"/>
                  <w:hideMark/>
                </w:tcPr>
                <w:p w:rsidR="00C94709" w:rsidRPr="007E6B9F" w:rsidRDefault="00C94709"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Note - The preparation of a site-specific geotechnical assessment report in accordance with Planning scheme policy – Landslide hazard can assist in demonstrating compliance with the following performance criteria. The identification of a development footprint will assist in demonstrating compliance with the following performance criteria. </w:t>
                  </w:r>
                </w:p>
              </w:tc>
            </w:tr>
          </w:tbl>
          <w:p w:rsidR="00C94709" w:rsidRPr="007E6B9F" w:rsidRDefault="00C94709"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vMerge w:val="restar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PO21</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Lots ensure that:</w:t>
            </w:r>
          </w:p>
          <w:p w:rsidR="007E6B9F" w:rsidRPr="007E6B9F" w:rsidRDefault="007E6B9F" w:rsidP="007E6B9F">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future development is located in part of a site not subject to landslide risk;</w:t>
            </w:r>
          </w:p>
          <w:p w:rsidR="007E6B9F" w:rsidRPr="007E6B9F" w:rsidRDefault="007E6B9F" w:rsidP="007E6B9F">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the need for excessive on-site works, change to finished landform, or excessive vegetation clearance to provide for future development is avoided; </w:t>
            </w:r>
          </w:p>
          <w:p w:rsidR="007E6B9F" w:rsidRPr="007E6B9F" w:rsidRDefault="007E6B9F" w:rsidP="007E6B9F">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there is minimal disturbance to natural drainage patterns;</w:t>
            </w:r>
          </w:p>
          <w:p w:rsidR="007E6B9F" w:rsidRPr="007E6B9F" w:rsidRDefault="007E6B9F" w:rsidP="007E6B9F">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earthworks does not:</w:t>
            </w:r>
          </w:p>
          <w:p w:rsidR="007E6B9F" w:rsidRPr="007E6B9F" w:rsidRDefault="007E6B9F" w:rsidP="007E6B9F">
            <w:pPr>
              <w:numPr>
                <w:ilvl w:val="1"/>
                <w:numId w:val="21"/>
              </w:numPr>
              <w:spacing w:before="100" w:beforeAutospacing="1" w:after="100" w:afterAutospacing="1" w:line="240" w:lineRule="auto"/>
              <w:ind w:left="10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involve cut and filling having a height greater than 1.5m;</w:t>
            </w:r>
          </w:p>
          <w:p w:rsidR="007E6B9F" w:rsidRPr="007E6B9F" w:rsidRDefault="007E6B9F" w:rsidP="007E6B9F">
            <w:pPr>
              <w:numPr>
                <w:ilvl w:val="1"/>
                <w:numId w:val="21"/>
              </w:numPr>
              <w:spacing w:before="100" w:beforeAutospacing="1" w:after="100" w:afterAutospacing="1" w:line="240" w:lineRule="auto"/>
              <w:ind w:left="10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involve any retaining wall having a height greater than 1.5m;</w:t>
            </w:r>
          </w:p>
          <w:p w:rsidR="007E6B9F" w:rsidRPr="007E6B9F" w:rsidRDefault="007E6B9F" w:rsidP="007E6B9F">
            <w:pPr>
              <w:numPr>
                <w:ilvl w:val="1"/>
                <w:numId w:val="21"/>
              </w:numPr>
              <w:spacing w:before="100" w:beforeAutospacing="1" w:after="100" w:afterAutospacing="1" w:line="240" w:lineRule="auto"/>
              <w:ind w:left="10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involve earthworks exceeding 50m</w:t>
            </w:r>
            <w:r w:rsidRPr="007E6B9F">
              <w:rPr>
                <w:rFonts w:ascii="Arial" w:eastAsia="Times New Roman" w:hAnsi="Arial" w:cs="Arial"/>
                <w:sz w:val="20"/>
                <w:szCs w:val="20"/>
                <w:vertAlign w:val="superscript"/>
                <w:lang w:eastAsia="en-AU"/>
              </w:rPr>
              <w:t>3</w:t>
            </w:r>
            <w:r w:rsidRPr="007E6B9F">
              <w:rPr>
                <w:rFonts w:ascii="Arial" w:eastAsia="Times New Roman" w:hAnsi="Arial" w:cs="Arial"/>
                <w:sz w:val="20"/>
                <w:szCs w:val="20"/>
                <w:lang w:eastAsia="en-AU"/>
              </w:rPr>
              <w:t xml:space="preserve">; and </w:t>
            </w:r>
          </w:p>
          <w:p w:rsidR="007E6B9F" w:rsidRPr="007E6B9F" w:rsidRDefault="007E6B9F" w:rsidP="007E6B9F">
            <w:pPr>
              <w:numPr>
                <w:ilvl w:val="1"/>
                <w:numId w:val="21"/>
              </w:numPr>
              <w:spacing w:before="100" w:beforeAutospacing="1" w:after="100" w:afterAutospacing="1" w:line="240" w:lineRule="auto"/>
              <w:ind w:left="10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redirect or alter the existing flows of surface or groundwater.</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E21.1</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Lots provides development footprint for all new lots free from risk of landslide.</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rHeight w:val="2820"/>
          <w:tblCellSpacing w:w="15" w:type="dxa"/>
        </w:trPr>
        <w:tc>
          <w:tcPr>
            <w:tcW w:w="1602" w:type="pct"/>
            <w:vMerge/>
            <w:tcBorders>
              <w:top w:val="outset" w:sz="6" w:space="0" w:color="auto"/>
              <w:left w:val="outset" w:sz="6" w:space="0" w:color="auto"/>
              <w:bottom w:val="outset" w:sz="6" w:space="0" w:color="auto"/>
              <w:right w:val="outset" w:sz="6" w:space="0" w:color="auto"/>
            </w:tcBorders>
            <w:vAlign w:val="center"/>
            <w:hideMark/>
          </w:tcPr>
          <w:p w:rsidR="007E6B9F" w:rsidRPr="007E6B9F" w:rsidRDefault="007E6B9F" w:rsidP="007E6B9F">
            <w:pPr>
              <w:spacing w:before="100" w:beforeAutospacing="1" w:after="100" w:afterAutospacing="1" w:line="240" w:lineRule="auto"/>
              <w:rPr>
                <w:rFonts w:ascii="Arial" w:eastAsia="Times New Roman" w:hAnsi="Arial" w:cs="Arial"/>
                <w:sz w:val="20"/>
                <w:szCs w:val="20"/>
                <w:lang w:eastAsia="en-AU"/>
              </w:rPr>
            </w:pP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E21.2</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Development footprints for new lots does not exceed 15% slope.</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C9470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94709" w:rsidRPr="007E6B9F" w:rsidRDefault="00C94709"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lastRenderedPageBreak/>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94709" w:rsidRPr="007E6B9F" w:rsidTr="007E6B9F">
              <w:trPr>
                <w:tblCellSpacing w:w="15" w:type="dxa"/>
              </w:trPr>
              <w:tc>
                <w:tcPr>
                  <w:tcW w:w="15100" w:type="dxa"/>
                  <w:vAlign w:val="center"/>
                  <w:hideMark/>
                </w:tcPr>
                <w:p w:rsidR="00C94709" w:rsidRPr="007E6B9F" w:rsidRDefault="00C94709"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C94709" w:rsidRPr="007E6B9F" w:rsidRDefault="00C94709"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vAlign w:val="cente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PO22</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Development:</w:t>
            </w:r>
          </w:p>
          <w:p w:rsidR="007E6B9F" w:rsidRPr="007E6B9F" w:rsidRDefault="007E6B9F" w:rsidP="007E6B9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minimises the risk to persons from overland flow;</w:t>
            </w:r>
          </w:p>
          <w:p w:rsidR="007E6B9F" w:rsidRPr="007E6B9F" w:rsidRDefault="007E6B9F" w:rsidP="007E6B9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does not increase the potential for damage from overland flow either on the premises or on a surrounding property, public land, road or infrastructure. </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No example provided.</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PO23</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Development:</w:t>
            </w:r>
          </w:p>
          <w:p w:rsidR="007E6B9F" w:rsidRPr="007E6B9F" w:rsidRDefault="007E6B9F" w:rsidP="007E6B9F">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7E6B9F" w:rsidRPr="007E6B9F" w:rsidRDefault="007E6B9F" w:rsidP="007E6B9F">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6"/>
            </w:tblGrid>
            <w:tr w:rsidR="007E6B9F" w:rsidRPr="007E6B9F" w:rsidTr="007E6B9F">
              <w:trPr>
                <w:tblCellSpacing w:w="15" w:type="dxa"/>
              </w:trPr>
              <w:tc>
                <w:tcPr>
                  <w:tcW w:w="7535" w:type="dxa"/>
                  <w:vAlign w:val="cente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D26B10">
                    <w:rPr>
                      <w:rFonts w:ascii="Arial" w:eastAsia="Times New Roman" w:hAnsi="Arial" w:cs="Arial"/>
                      <w:sz w:val="18"/>
                      <w:szCs w:val="20"/>
                      <w:lang w:eastAsia="en-AU"/>
                    </w:rPr>
                    <w:t>Note - Reporting to be prepared in accordance with Planning scheme policy – Flood hazard, Co</w:t>
                  </w:r>
                  <w:r w:rsidR="00C94709" w:rsidRPr="00D26B10">
                    <w:rPr>
                      <w:rFonts w:ascii="Arial" w:eastAsia="Times New Roman" w:hAnsi="Arial" w:cs="Arial"/>
                      <w:sz w:val="18"/>
                      <w:szCs w:val="20"/>
                      <w:lang w:eastAsia="en-AU"/>
                    </w:rPr>
                    <w:t>astal hazard and Overland flow.</w:t>
                  </w:r>
                </w:p>
              </w:tc>
            </w:tr>
          </w:tbl>
          <w:p w:rsidR="007E6B9F" w:rsidRPr="007E6B9F" w:rsidRDefault="007E6B9F" w:rsidP="007E6B9F">
            <w:pPr>
              <w:spacing w:before="100" w:beforeAutospacing="1" w:after="100" w:afterAutospacing="1" w:line="240" w:lineRule="auto"/>
              <w:rPr>
                <w:rFonts w:ascii="Arial" w:eastAsia="Times New Roman" w:hAnsi="Arial" w:cs="Arial"/>
                <w:sz w:val="20"/>
                <w:szCs w:val="20"/>
                <w:lang w:eastAsia="en-AU"/>
              </w:rPr>
            </w:pP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E23</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Development ensures that any buildings are not located in an Overland flow path area.</w:t>
            </w:r>
          </w:p>
          <w:tbl>
            <w:tblPr>
              <w:tblW w:w="516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66"/>
            </w:tblGrid>
            <w:tr w:rsidR="007E6B9F" w:rsidRPr="007E6B9F" w:rsidTr="00C94709">
              <w:trPr>
                <w:tblCellSpacing w:w="15" w:type="dxa"/>
              </w:trPr>
              <w:tc>
                <w:tcPr>
                  <w:tcW w:w="5106" w:type="dxa"/>
                  <w:vAlign w:val="center"/>
                  <w:hideMark/>
                </w:tcPr>
                <w:p w:rsidR="007E6B9F" w:rsidRPr="007E6B9F" w:rsidRDefault="007E6B9F" w:rsidP="007E6B9F">
                  <w:pPr>
                    <w:spacing w:before="100" w:beforeAutospacing="1" w:after="100" w:afterAutospacing="1" w:line="240" w:lineRule="auto"/>
                    <w:rPr>
                      <w:rFonts w:ascii="Arial" w:eastAsia="Times New Roman" w:hAnsi="Arial" w:cs="Arial"/>
                      <w:sz w:val="20"/>
                      <w:szCs w:val="20"/>
                      <w:lang w:eastAsia="en-AU"/>
                    </w:rPr>
                  </w:pPr>
                  <w:r w:rsidRPr="00D26B10">
                    <w:rPr>
                      <w:rFonts w:ascii="Arial" w:eastAsia="Times New Roman" w:hAnsi="Arial" w:cs="Arial"/>
                      <w:sz w:val="18"/>
                      <w:szCs w:val="20"/>
                      <w:lang w:eastAsia="en-AU"/>
                    </w:rPr>
                    <w:t xml:space="preserve">Note: A report from a suitably qualified Registered Professional Engineer Queensland is required certifying that the development does not increase the potential for significant adverse impacts on an upstream, downstream or surrounding property. </w:t>
                  </w:r>
                </w:p>
              </w:tc>
            </w:tr>
          </w:tbl>
          <w:p w:rsidR="007E6B9F" w:rsidRPr="007E6B9F" w:rsidRDefault="007E6B9F" w:rsidP="007E6B9F">
            <w:pPr>
              <w:spacing w:before="100" w:beforeAutospacing="1" w:after="100" w:afterAutospacing="1" w:line="240" w:lineRule="auto"/>
              <w:rPr>
                <w:rFonts w:ascii="Arial" w:eastAsia="Times New Roman" w:hAnsi="Arial" w:cs="Arial"/>
                <w:sz w:val="20"/>
                <w:szCs w:val="20"/>
                <w:lang w:eastAsia="en-AU"/>
              </w:rPr>
            </w:pP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PO24</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Development does not:</w:t>
            </w:r>
          </w:p>
          <w:p w:rsidR="007E6B9F" w:rsidRPr="007E6B9F" w:rsidRDefault="007E6B9F" w:rsidP="007E6B9F">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directly, indirectly or cumulatively cause any increase in overland flow velocity or level;</w:t>
            </w:r>
          </w:p>
          <w:p w:rsidR="007E6B9F" w:rsidRPr="007E6B9F" w:rsidRDefault="007E6B9F" w:rsidP="007E6B9F">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increase the potential for flood damage from overland flow either on the premises or on a </w:t>
            </w:r>
            <w:r w:rsidRPr="007E6B9F">
              <w:rPr>
                <w:rFonts w:ascii="Arial" w:eastAsia="Times New Roman" w:hAnsi="Arial" w:cs="Arial"/>
                <w:sz w:val="20"/>
                <w:szCs w:val="20"/>
                <w:lang w:eastAsia="en-AU"/>
              </w:rPr>
              <w:lastRenderedPageBreak/>
              <w:t xml:space="preserve">surrounding property, public land, road or infrastructure. </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7E6B9F" w:rsidRPr="00D26B10" w:rsidTr="00C94709">
              <w:trPr>
                <w:tblCellSpacing w:w="15" w:type="dxa"/>
              </w:trPr>
              <w:tc>
                <w:tcPr>
                  <w:tcW w:w="4699" w:type="dxa"/>
                  <w:vAlign w:val="center"/>
                  <w:hideMark/>
                </w:tcPr>
                <w:p w:rsidR="007E6B9F" w:rsidRPr="00D26B10" w:rsidRDefault="007E6B9F" w:rsidP="007E6B9F">
                  <w:pPr>
                    <w:spacing w:before="100" w:beforeAutospacing="1" w:after="100" w:afterAutospacing="1" w:line="240" w:lineRule="auto"/>
                    <w:rPr>
                      <w:rFonts w:ascii="Arial" w:eastAsia="Times New Roman" w:hAnsi="Arial" w:cs="Arial"/>
                      <w:sz w:val="18"/>
                      <w:szCs w:val="20"/>
                      <w:lang w:eastAsia="en-AU"/>
                    </w:rPr>
                  </w:pPr>
                  <w:r w:rsidRPr="00D26B10">
                    <w:rPr>
                      <w:rFonts w:ascii="Arial" w:eastAsia="Times New Roman" w:hAnsi="Arial" w:cs="Arial"/>
                      <w:sz w:val="18"/>
                      <w:szCs w:val="20"/>
                      <w:lang w:eastAsia="en-AU"/>
                    </w:rPr>
                    <w:t xml:space="preserve">Note - Open concrete drains greater than 1m in width are not an acceptable outcome, nor are any other design options that may increase scouring. </w:t>
                  </w:r>
                </w:p>
              </w:tc>
            </w:tr>
            <w:tr w:rsidR="007E6B9F" w:rsidRPr="00D26B10" w:rsidTr="00C94709">
              <w:trPr>
                <w:tblCellSpacing w:w="15" w:type="dxa"/>
              </w:trPr>
              <w:tc>
                <w:tcPr>
                  <w:tcW w:w="4699" w:type="dxa"/>
                  <w:vAlign w:val="center"/>
                  <w:hideMark/>
                </w:tcPr>
                <w:p w:rsidR="007E6B9F" w:rsidRPr="00D26B10" w:rsidRDefault="007E6B9F" w:rsidP="007E6B9F">
                  <w:pPr>
                    <w:spacing w:before="100" w:beforeAutospacing="1" w:after="100" w:afterAutospacing="1" w:line="240" w:lineRule="auto"/>
                    <w:rPr>
                      <w:rFonts w:ascii="Arial" w:eastAsia="Times New Roman" w:hAnsi="Arial" w:cs="Arial"/>
                      <w:sz w:val="18"/>
                      <w:szCs w:val="20"/>
                      <w:lang w:eastAsia="en-AU"/>
                    </w:rPr>
                  </w:pPr>
                  <w:r w:rsidRPr="00D26B10">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bl>
          <w:p w:rsidR="007E6B9F" w:rsidRPr="00D26B10" w:rsidRDefault="007E6B9F" w:rsidP="007E6B9F">
            <w:pPr>
              <w:spacing w:before="100" w:beforeAutospacing="1" w:after="100" w:afterAutospacing="1"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6"/>
            </w:tblGrid>
            <w:tr w:rsidR="007E6B9F" w:rsidRPr="00D26B10" w:rsidTr="007E6B9F">
              <w:trPr>
                <w:tblCellSpacing w:w="15" w:type="dxa"/>
              </w:trPr>
              <w:tc>
                <w:tcPr>
                  <w:tcW w:w="7535" w:type="dxa"/>
                  <w:vAlign w:val="center"/>
                  <w:hideMark/>
                </w:tcPr>
                <w:p w:rsidR="007E6B9F" w:rsidRPr="00D26B10" w:rsidRDefault="007E6B9F" w:rsidP="007E6B9F">
                  <w:pPr>
                    <w:spacing w:before="100" w:beforeAutospacing="1" w:after="100" w:afterAutospacing="1" w:line="240" w:lineRule="auto"/>
                    <w:rPr>
                      <w:rFonts w:ascii="Arial" w:eastAsia="Times New Roman" w:hAnsi="Arial" w:cs="Arial"/>
                      <w:sz w:val="18"/>
                      <w:szCs w:val="20"/>
                      <w:lang w:eastAsia="en-AU"/>
                    </w:rPr>
                  </w:pPr>
                  <w:r w:rsidRPr="00D26B10">
                    <w:rPr>
                      <w:rFonts w:ascii="Arial" w:eastAsia="Times New Roman" w:hAnsi="Arial" w:cs="Arial"/>
                      <w:sz w:val="18"/>
                      <w:szCs w:val="20"/>
                      <w:lang w:eastAsia="en-AU"/>
                    </w:rPr>
                    <w:t>Note - Reporting to be prepared in accordance with Planning scheme policy – Flood hazard, Coastal hazard and Overland flow</w:t>
                  </w:r>
                </w:p>
              </w:tc>
            </w:tr>
          </w:tbl>
          <w:p w:rsidR="007E6B9F" w:rsidRPr="007E6B9F" w:rsidRDefault="007E6B9F" w:rsidP="007E6B9F">
            <w:pPr>
              <w:spacing w:before="100" w:beforeAutospacing="1" w:after="100" w:afterAutospacing="1" w:line="240" w:lineRule="auto"/>
              <w:rPr>
                <w:rFonts w:ascii="Arial" w:eastAsia="Times New Roman" w:hAnsi="Arial" w:cs="Arial"/>
                <w:sz w:val="20"/>
                <w:szCs w:val="20"/>
                <w:lang w:eastAsia="en-AU"/>
              </w:rPr>
            </w:pP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lastRenderedPageBreak/>
              <w:t>No example provided.</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PO25</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Development ensures that overland flow is not conveyed from a road or public open space onto a private lot, unless the development is in a Rural zone. </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E25</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Development ensures that overland flow paths and drainage infrastructure is provided to convey overland flow from a road or public open space area away from a private lot, unless the development is in the Rural zone. </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vMerge w:val="restar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PO26</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Development ensures that Council and inter-allotment drainage infrastructure, overland flow paths and open drains through private property cater for overland flows for a fully developed upstream catchment flows and are able to be easily maintained. </w:t>
            </w:r>
          </w:p>
          <w:tbl>
            <w:tblPr>
              <w:tblW w:w="483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01"/>
            </w:tblGrid>
            <w:tr w:rsidR="007E6B9F" w:rsidRPr="007E6B9F" w:rsidTr="009B5772">
              <w:trPr>
                <w:tblCellSpacing w:w="15" w:type="dxa"/>
              </w:trPr>
              <w:tc>
                <w:tcPr>
                  <w:tcW w:w="4699" w:type="dxa"/>
                  <w:vAlign w:val="center"/>
                  <w:hideMark/>
                </w:tcPr>
                <w:p w:rsidR="007E6B9F" w:rsidRPr="00D26B10" w:rsidRDefault="007E6B9F" w:rsidP="007E6B9F">
                  <w:pPr>
                    <w:spacing w:before="100" w:beforeAutospacing="1" w:after="100" w:afterAutospacing="1" w:line="240" w:lineRule="auto"/>
                    <w:rPr>
                      <w:rFonts w:ascii="Arial" w:eastAsia="Times New Roman" w:hAnsi="Arial" w:cs="Arial"/>
                      <w:sz w:val="18"/>
                      <w:szCs w:val="20"/>
                      <w:lang w:eastAsia="en-AU"/>
                    </w:rPr>
                  </w:pPr>
                  <w:r w:rsidRPr="00D26B10">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w:t>
                  </w:r>
                  <w:proofErr w:type="gramStart"/>
                  <w:r w:rsidRPr="00D26B10">
                    <w:rPr>
                      <w:rFonts w:ascii="Arial" w:eastAsia="Times New Roman" w:hAnsi="Arial" w:cs="Arial"/>
                      <w:sz w:val="18"/>
                      <w:szCs w:val="20"/>
                      <w:lang w:eastAsia="en-AU"/>
                    </w:rPr>
                    <w:t>upstream, downstream or surrounding premises</w:t>
                  </w:r>
                  <w:proofErr w:type="gramEnd"/>
                  <w:r w:rsidRPr="00D26B10">
                    <w:rPr>
                      <w:rFonts w:ascii="Arial" w:eastAsia="Times New Roman" w:hAnsi="Arial" w:cs="Arial"/>
                      <w:sz w:val="18"/>
                      <w:szCs w:val="20"/>
                      <w:lang w:eastAsia="en-AU"/>
                    </w:rPr>
                    <w:t xml:space="preserve">. </w:t>
                  </w:r>
                </w:p>
              </w:tc>
            </w:tr>
            <w:tr w:rsidR="007E6B9F" w:rsidRPr="007E6B9F" w:rsidTr="009B5772">
              <w:trPr>
                <w:tblCellSpacing w:w="15" w:type="dxa"/>
              </w:trPr>
              <w:tc>
                <w:tcPr>
                  <w:tcW w:w="4699" w:type="dxa"/>
                  <w:vAlign w:val="center"/>
                  <w:hideMark/>
                </w:tcPr>
                <w:p w:rsidR="007E6B9F" w:rsidRPr="00D26B10" w:rsidRDefault="007E6B9F" w:rsidP="007E6B9F">
                  <w:pPr>
                    <w:spacing w:before="100" w:beforeAutospacing="1" w:after="100" w:afterAutospacing="1" w:line="240" w:lineRule="auto"/>
                    <w:rPr>
                      <w:rFonts w:ascii="Arial" w:eastAsia="Times New Roman" w:hAnsi="Arial" w:cs="Arial"/>
                      <w:sz w:val="18"/>
                      <w:szCs w:val="20"/>
                      <w:lang w:eastAsia="en-AU"/>
                    </w:rPr>
                  </w:pPr>
                  <w:r w:rsidRPr="00D26B10">
                    <w:rPr>
                      <w:rFonts w:ascii="Arial" w:eastAsia="Times New Roman" w:hAnsi="Arial" w:cs="Arial"/>
                      <w:sz w:val="18"/>
                      <w:szCs w:val="20"/>
                      <w:lang w:eastAsia="en-AU"/>
                    </w:rPr>
                    <w:t>Note - Reporting to be prepared in accordance with Planning scheme policy – Flood hazard, Coastal hazard and Overland flow</w:t>
                  </w:r>
                </w:p>
              </w:tc>
            </w:tr>
          </w:tbl>
          <w:p w:rsidR="007E6B9F" w:rsidRPr="007E6B9F" w:rsidRDefault="007E6B9F" w:rsidP="007E6B9F">
            <w:pPr>
              <w:spacing w:before="100" w:beforeAutospacing="1" w:after="100" w:afterAutospacing="1" w:line="240" w:lineRule="auto"/>
              <w:rPr>
                <w:rFonts w:ascii="Arial" w:eastAsia="Times New Roman" w:hAnsi="Arial" w:cs="Arial"/>
                <w:sz w:val="20"/>
                <w:szCs w:val="20"/>
                <w:lang w:eastAsia="en-AU"/>
              </w:rPr>
            </w:pP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E26.1</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7E6B9F" w:rsidRPr="007E6B9F" w:rsidRDefault="007E6B9F" w:rsidP="007E6B9F">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Urban area – Level III;</w:t>
            </w:r>
          </w:p>
          <w:p w:rsidR="007E6B9F" w:rsidRPr="007E6B9F" w:rsidRDefault="007E6B9F" w:rsidP="007E6B9F">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Rural area – N/A;</w:t>
            </w:r>
          </w:p>
          <w:p w:rsidR="007E6B9F" w:rsidRPr="007E6B9F" w:rsidRDefault="007E6B9F" w:rsidP="007E6B9F">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Industrial area – Level V;</w:t>
            </w:r>
          </w:p>
          <w:p w:rsidR="007E6B9F" w:rsidRPr="007E6B9F" w:rsidRDefault="007E6B9F" w:rsidP="007E6B9F">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Commercial area – Level V.</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vMerge/>
            <w:tcBorders>
              <w:top w:val="outset" w:sz="6" w:space="0" w:color="auto"/>
              <w:left w:val="outset" w:sz="6" w:space="0" w:color="auto"/>
              <w:bottom w:val="outset" w:sz="6" w:space="0" w:color="auto"/>
              <w:right w:val="outset" w:sz="6" w:space="0" w:color="auto"/>
            </w:tcBorders>
            <w:vAlign w:val="center"/>
            <w:hideMark/>
          </w:tcPr>
          <w:p w:rsidR="007E6B9F" w:rsidRPr="007E6B9F" w:rsidRDefault="007E6B9F" w:rsidP="007E6B9F">
            <w:pPr>
              <w:spacing w:before="100" w:beforeAutospacing="1" w:after="100" w:afterAutospacing="1" w:line="240" w:lineRule="auto"/>
              <w:rPr>
                <w:rFonts w:ascii="Arial" w:eastAsia="Times New Roman" w:hAnsi="Arial" w:cs="Arial"/>
                <w:sz w:val="20"/>
                <w:szCs w:val="20"/>
                <w:lang w:eastAsia="en-AU"/>
              </w:rPr>
            </w:pPr>
          </w:p>
        </w:tc>
        <w:tc>
          <w:tcPr>
            <w:tcW w:w="1734" w:type="pct"/>
            <w:tcBorders>
              <w:top w:val="outset" w:sz="6" w:space="0" w:color="auto"/>
              <w:left w:val="outset" w:sz="6" w:space="0" w:color="auto"/>
              <w:bottom w:val="outset" w:sz="6" w:space="0" w:color="auto"/>
              <w:right w:val="outset" w:sz="6" w:space="0" w:color="auto"/>
            </w:tcBorders>
            <w:vAlign w:val="cente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E26.2</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Development ensures that all Council and allotment drainage infrastructure is designed to accommodate any event up to and including the 1% AEP for the fully developed upstream catchment. </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PO27</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lastRenderedPageBreak/>
              <w:t>Development protects the conveyance of overland flow such that easements for drainage purposes are provided over:</w:t>
            </w:r>
          </w:p>
          <w:p w:rsidR="007E6B9F" w:rsidRPr="007E6B9F" w:rsidRDefault="007E6B9F" w:rsidP="007E6B9F">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a stormwater pipe if the nominal pipe diameter exceeds 300mm;</w:t>
            </w:r>
          </w:p>
          <w:p w:rsidR="007E6B9F" w:rsidRPr="007E6B9F" w:rsidRDefault="007E6B9F" w:rsidP="007E6B9F">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an overland flow path where it crosses more than one property; and</w:t>
            </w:r>
          </w:p>
          <w:p w:rsidR="007E6B9F" w:rsidRPr="007E6B9F" w:rsidRDefault="007E6B9F" w:rsidP="007E6B9F">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inter-allotment drainage infrastructure.</w:t>
            </w:r>
          </w:p>
          <w:tbl>
            <w:tblPr>
              <w:tblW w:w="4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7"/>
            </w:tblGrid>
            <w:tr w:rsidR="007E6B9F" w:rsidRPr="007E6B9F" w:rsidTr="00C94709">
              <w:trPr>
                <w:tblCellSpacing w:w="15" w:type="dxa"/>
              </w:trPr>
              <w:tc>
                <w:tcPr>
                  <w:tcW w:w="4557" w:type="dxa"/>
                  <w:vAlign w:val="center"/>
                  <w:hideMark/>
                </w:tcPr>
                <w:p w:rsidR="007E6B9F" w:rsidRPr="00D26B10" w:rsidRDefault="007E6B9F" w:rsidP="007E6B9F">
                  <w:pPr>
                    <w:spacing w:before="100" w:beforeAutospacing="1" w:after="100" w:afterAutospacing="1" w:line="240" w:lineRule="auto"/>
                    <w:rPr>
                      <w:rFonts w:ascii="Arial" w:eastAsia="Times New Roman" w:hAnsi="Arial" w:cs="Arial"/>
                      <w:sz w:val="18"/>
                      <w:szCs w:val="20"/>
                      <w:lang w:eastAsia="en-AU"/>
                    </w:rPr>
                  </w:pPr>
                  <w:r w:rsidRPr="00D26B10">
                    <w:rPr>
                      <w:rFonts w:ascii="Arial" w:eastAsia="Times New Roman" w:hAnsi="Arial" w:cs="Arial"/>
                      <w:sz w:val="18"/>
                      <w:szCs w:val="20"/>
                      <w:lang w:eastAsia="en-AU"/>
                    </w:rPr>
                    <w:t>Note - Refer to Planning scheme policy - Integrated design for details and examples.</w:t>
                  </w:r>
                </w:p>
              </w:tc>
            </w:tr>
            <w:tr w:rsidR="007E6B9F" w:rsidRPr="007E6B9F" w:rsidTr="00C94709">
              <w:trPr>
                <w:tblCellSpacing w:w="15" w:type="dxa"/>
              </w:trPr>
              <w:tc>
                <w:tcPr>
                  <w:tcW w:w="4557" w:type="dxa"/>
                  <w:vAlign w:val="center"/>
                  <w:hideMark/>
                </w:tcPr>
                <w:p w:rsidR="007E6B9F" w:rsidRPr="00D26B10" w:rsidRDefault="007E6B9F" w:rsidP="007E6B9F">
                  <w:pPr>
                    <w:spacing w:before="100" w:beforeAutospacing="1" w:after="100" w:afterAutospacing="1" w:line="240" w:lineRule="auto"/>
                    <w:rPr>
                      <w:rFonts w:ascii="Arial" w:eastAsia="Times New Roman" w:hAnsi="Arial" w:cs="Arial"/>
                      <w:sz w:val="18"/>
                      <w:szCs w:val="20"/>
                      <w:lang w:eastAsia="en-AU"/>
                    </w:rPr>
                  </w:pPr>
                  <w:r w:rsidRPr="00D26B10">
                    <w:rPr>
                      <w:rFonts w:ascii="Arial" w:eastAsia="Times New Roman" w:hAnsi="Arial" w:cs="Arial"/>
                      <w:sz w:val="18"/>
                      <w:szCs w:val="20"/>
                      <w:lang w:eastAsia="en-AU"/>
                    </w:rPr>
                    <w:t>Note - Stormwater drainage easement dimensions are provided in accordance with Section 3.8.5 of QUDM.</w:t>
                  </w:r>
                </w:p>
              </w:tc>
            </w:tr>
          </w:tbl>
          <w:p w:rsidR="007E6B9F" w:rsidRPr="007E6B9F" w:rsidRDefault="007E6B9F" w:rsidP="007E6B9F">
            <w:pPr>
              <w:spacing w:before="100" w:beforeAutospacing="1" w:after="100" w:afterAutospacing="1" w:line="240" w:lineRule="auto"/>
              <w:rPr>
                <w:rFonts w:ascii="Arial" w:eastAsia="Times New Roman" w:hAnsi="Arial" w:cs="Arial"/>
                <w:sz w:val="20"/>
                <w:szCs w:val="20"/>
                <w:lang w:eastAsia="en-AU"/>
              </w:rPr>
            </w:pP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lastRenderedPageBreak/>
              <w:t>No example provided.</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r>
      <w:tr w:rsidR="00C94709" w:rsidRPr="007E6B9F" w:rsidTr="009B5772">
        <w:trPr>
          <w:tblCellSpacing w:w="15" w:type="dxa"/>
        </w:trPr>
        <w:tc>
          <w:tcPr>
            <w:tcW w:w="3346" w:type="pct"/>
            <w:gridSpan w:val="2"/>
            <w:tcBorders>
              <w:top w:val="outset" w:sz="6" w:space="0" w:color="auto"/>
              <w:left w:val="outset" w:sz="6" w:space="0" w:color="auto"/>
              <w:bottom w:val="outset" w:sz="6" w:space="0" w:color="auto"/>
              <w:right w:val="outset" w:sz="6" w:space="0" w:color="auto"/>
            </w:tcBorders>
            <w:vAlign w:val="cente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Additional criteria for development for a Park</w:t>
            </w:r>
            <w:r w:rsidRPr="007E6B9F">
              <w:rPr>
                <w:rFonts w:ascii="Arial" w:eastAsia="Times New Roman" w:hAnsi="Arial" w:cs="Arial"/>
                <w:b/>
                <w:bCs/>
                <w:sz w:val="20"/>
                <w:szCs w:val="20"/>
                <w:vertAlign w:val="superscript"/>
                <w:lang w:eastAsia="en-AU"/>
              </w:rPr>
              <w:t>(</w:t>
            </w:r>
            <w:hyperlink r:id="rId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7E6B9F">
                <w:rPr>
                  <w:rFonts w:ascii="Arial" w:eastAsia="Times New Roman" w:hAnsi="Arial" w:cs="Arial"/>
                  <w:color w:val="0000FF"/>
                  <w:sz w:val="20"/>
                  <w:szCs w:val="20"/>
                  <w:vertAlign w:val="superscript"/>
                  <w:lang w:eastAsia="en-AU"/>
                </w:rPr>
                <w:t>57</w:t>
              </w:r>
            </w:hyperlink>
            <w:r w:rsidRPr="007E6B9F">
              <w:rPr>
                <w:rFonts w:ascii="Arial" w:eastAsia="Times New Roman" w:hAnsi="Arial" w:cs="Arial"/>
                <w:b/>
                <w:bCs/>
                <w:sz w:val="20"/>
                <w:szCs w:val="20"/>
                <w:vertAlign w:val="superscript"/>
                <w:lang w:eastAsia="en-AU"/>
              </w:rPr>
              <w:t>)</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PO28</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Development for a Park</w:t>
            </w:r>
            <w:r w:rsidRPr="007E6B9F">
              <w:rPr>
                <w:rFonts w:ascii="Arial" w:eastAsia="Times New Roman" w:hAnsi="Arial" w:cs="Arial"/>
                <w:sz w:val="20"/>
                <w:szCs w:val="20"/>
                <w:vertAlign w:val="superscript"/>
                <w:lang w:eastAsia="en-AU"/>
              </w:rPr>
              <w:t>(</w:t>
            </w:r>
            <w:hyperlink r:id="rId10"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7E6B9F">
                <w:rPr>
                  <w:rFonts w:ascii="Arial" w:eastAsia="Times New Roman" w:hAnsi="Arial" w:cs="Arial"/>
                  <w:color w:val="0000FF"/>
                  <w:sz w:val="20"/>
                  <w:szCs w:val="20"/>
                  <w:vertAlign w:val="superscript"/>
                  <w:lang w:eastAsia="en-AU"/>
                </w:rPr>
                <w:t>57</w:t>
              </w:r>
            </w:hyperlink>
            <w:r w:rsidRPr="007E6B9F">
              <w:rPr>
                <w:rFonts w:ascii="Arial" w:eastAsia="Times New Roman" w:hAnsi="Arial" w:cs="Arial"/>
                <w:sz w:val="20"/>
                <w:szCs w:val="20"/>
                <w:vertAlign w:val="superscript"/>
                <w:lang w:eastAsia="en-AU"/>
              </w:rPr>
              <w:t>)</w:t>
            </w:r>
            <w:r w:rsidRPr="007E6B9F">
              <w:rPr>
                <w:rFonts w:ascii="Arial" w:eastAsia="Times New Roman" w:hAnsi="Arial" w:cs="Arial"/>
                <w:sz w:val="20"/>
                <w:szCs w:val="20"/>
                <w:lang w:eastAsia="en-AU"/>
              </w:rPr>
              <w:t xml:space="preserve"> ensures that the design and layout responds to the nature of the overland flow affecting the premises such that: </w:t>
            </w:r>
          </w:p>
          <w:p w:rsidR="007E6B9F" w:rsidRPr="007E6B9F" w:rsidRDefault="007E6B9F" w:rsidP="007E6B9F">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public benefit and enjoyment is maximised;</w:t>
            </w:r>
          </w:p>
          <w:p w:rsidR="007E6B9F" w:rsidRPr="007E6B9F" w:rsidRDefault="007E6B9F" w:rsidP="007E6B9F">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impacts on the asset life and integrity of park structures is minimised;</w:t>
            </w:r>
          </w:p>
          <w:p w:rsidR="007E6B9F" w:rsidRPr="007E6B9F" w:rsidRDefault="007E6B9F" w:rsidP="007E6B9F">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maintenance and replacement costs are minimised.</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E28</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Development for a Park</w:t>
            </w:r>
            <w:r w:rsidRPr="007E6B9F">
              <w:rPr>
                <w:rFonts w:ascii="Arial" w:eastAsia="Times New Roman" w:hAnsi="Arial" w:cs="Arial"/>
                <w:sz w:val="20"/>
                <w:szCs w:val="20"/>
                <w:vertAlign w:val="superscript"/>
                <w:lang w:eastAsia="en-AU"/>
              </w:rPr>
              <w:t>(</w:t>
            </w:r>
            <w:hyperlink r:id="rId11"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7E6B9F">
                <w:rPr>
                  <w:rFonts w:ascii="Arial" w:eastAsia="Times New Roman" w:hAnsi="Arial" w:cs="Arial"/>
                  <w:color w:val="0000FF"/>
                  <w:sz w:val="20"/>
                  <w:szCs w:val="20"/>
                  <w:vertAlign w:val="superscript"/>
                  <w:lang w:eastAsia="en-AU"/>
                </w:rPr>
                <w:t>57</w:t>
              </w:r>
            </w:hyperlink>
            <w:r w:rsidRPr="007E6B9F">
              <w:rPr>
                <w:rFonts w:ascii="Arial" w:eastAsia="Times New Roman" w:hAnsi="Arial" w:cs="Arial"/>
                <w:sz w:val="20"/>
                <w:szCs w:val="20"/>
                <w:vertAlign w:val="superscript"/>
                <w:lang w:eastAsia="en-AU"/>
              </w:rPr>
              <w:t>)</w:t>
            </w:r>
            <w:r w:rsidRPr="007E6B9F">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C94709">
        <w:trPr>
          <w:trHeight w:val="34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94709" w:rsidRPr="007E6B9F" w:rsidRDefault="00C94709"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Riparian and wetland setbacks (refer Overlay map - Riparian and wetland setback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94709" w:rsidRPr="007E6B9F" w:rsidTr="007E6B9F">
              <w:trPr>
                <w:tblCellSpacing w:w="15" w:type="dxa"/>
              </w:trPr>
              <w:tc>
                <w:tcPr>
                  <w:tcW w:w="15100" w:type="dxa"/>
                  <w:vAlign w:val="center"/>
                  <w:hideMark/>
                </w:tcPr>
                <w:p w:rsidR="00C94709" w:rsidRPr="007E6B9F" w:rsidRDefault="00C94709" w:rsidP="007E6B9F">
                  <w:pPr>
                    <w:spacing w:before="100" w:beforeAutospacing="1" w:after="100" w:afterAutospacing="1" w:line="240" w:lineRule="auto"/>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Note - - W1, W2 and W3 waterway and drainage lines, and wetlands are mapped on Schedule 2, Section 2.5 Overlay Maps – Riparian and wetland setbacks. </w:t>
                  </w:r>
                </w:p>
              </w:tc>
            </w:tr>
          </w:tbl>
          <w:p w:rsidR="00C94709" w:rsidRPr="007E6B9F" w:rsidRDefault="00C94709"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PO29</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Lots are designed to:</w:t>
            </w:r>
          </w:p>
          <w:p w:rsidR="007E6B9F" w:rsidRPr="007E6B9F" w:rsidRDefault="007E6B9F" w:rsidP="007E6B9F">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minimise the extent of encroachment into the riparian and wetland setback;</w:t>
            </w:r>
          </w:p>
          <w:p w:rsidR="007E6B9F" w:rsidRPr="007E6B9F" w:rsidRDefault="007E6B9F" w:rsidP="007E6B9F">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ensure the protection of wildlife corridors and connectivity;</w:t>
            </w:r>
          </w:p>
          <w:p w:rsidR="007E6B9F" w:rsidRPr="007E6B9F" w:rsidRDefault="007E6B9F" w:rsidP="007E6B9F">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lastRenderedPageBreak/>
              <w:t>reduce the impact on fauna habitats;</w:t>
            </w:r>
          </w:p>
          <w:p w:rsidR="007E6B9F" w:rsidRPr="007E6B9F" w:rsidRDefault="007E6B9F" w:rsidP="007E6B9F">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minimise edge effects;</w:t>
            </w:r>
          </w:p>
          <w:p w:rsidR="007E6B9F" w:rsidRPr="007E6B9F" w:rsidRDefault="007E6B9F" w:rsidP="007E6B9F">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ensure an appropriate extent of public access to waterways and wetlands.</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lastRenderedPageBreak/>
              <w:t>E29</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Reconfiguring a lot ensures that:</w:t>
            </w:r>
          </w:p>
          <w:p w:rsidR="007E6B9F" w:rsidRPr="007E6B9F" w:rsidRDefault="007E6B9F" w:rsidP="007E6B9F">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no new lots are created within a riparian and wetland setback;</w:t>
            </w:r>
          </w:p>
          <w:p w:rsidR="007E6B9F" w:rsidRPr="007E6B9F" w:rsidRDefault="007E6B9F" w:rsidP="007E6B9F">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lastRenderedPageBreak/>
              <w:t>new public roads are located between the riparian and wetland setback and the proposed new lots.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01"/>
            </w:tblGrid>
            <w:tr w:rsidR="007E6B9F" w:rsidRPr="007E6B9F" w:rsidTr="007E6B9F">
              <w:trPr>
                <w:tblCellSpacing w:w="15" w:type="dxa"/>
              </w:trPr>
              <w:tc>
                <w:tcPr>
                  <w:tcW w:w="7445" w:type="dxa"/>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D26B10">
                    <w:rPr>
                      <w:rFonts w:ascii="Arial" w:eastAsia="Times New Roman" w:hAnsi="Arial" w:cs="Arial"/>
                      <w:sz w:val="18"/>
                      <w:szCs w:val="20"/>
                      <w:lang w:eastAsia="en-AU"/>
                    </w:rPr>
                    <w:t>Note - Riparian and wetlands are mapped on Schedule 2, Section 2.5 Overlay Maps – Riparian and wetland setbacks.</w:t>
                  </w:r>
                </w:p>
              </w:tc>
            </w:tr>
          </w:tbl>
          <w:p w:rsidR="007E6B9F" w:rsidRPr="007E6B9F" w:rsidRDefault="007E6B9F" w:rsidP="007E6B9F">
            <w:pPr>
              <w:spacing w:before="100" w:beforeAutospacing="1" w:after="100" w:afterAutospacing="1" w:line="240" w:lineRule="auto"/>
              <w:rPr>
                <w:rFonts w:ascii="Arial" w:eastAsia="Times New Roman" w:hAnsi="Arial" w:cs="Arial"/>
                <w:sz w:val="20"/>
                <w:szCs w:val="20"/>
                <w:lang w:eastAsia="en-AU"/>
              </w:rPr>
            </w:pP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201C67" w:rsidRPr="007E6B9F" w:rsidRDefault="00201C67" w:rsidP="007E6B9F">
      <w:pPr>
        <w:spacing w:before="100" w:beforeAutospacing="1" w:after="100" w:afterAutospacing="1" w:line="240" w:lineRule="auto"/>
        <w:ind w:left="3285"/>
        <w:rPr>
          <w:rFonts w:ascii="Arial" w:hAnsi="Arial" w:cs="Arial"/>
          <w:sz w:val="20"/>
          <w:szCs w:val="20"/>
        </w:rPr>
      </w:pPr>
    </w:p>
    <w:sectPr w:rsidR="00201C67" w:rsidRPr="007E6B9F" w:rsidSect="007E6B9F">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155" w:rsidRDefault="00E74155" w:rsidP="007E6B9F">
      <w:pPr>
        <w:spacing w:after="0" w:line="240" w:lineRule="auto"/>
      </w:pPr>
      <w:r>
        <w:separator/>
      </w:r>
    </w:p>
  </w:endnote>
  <w:endnote w:type="continuationSeparator" w:id="0">
    <w:p w:rsidR="00E74155" w:rsidRDefault="00E74155" w:rsidP="007E6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B9F" w:rsidRPr="007E6B9F" w:rsidRDefault="007E6B9F" w:rsidP="00240ED0">
    <w:pPr>
      <w:pStyle w:val="Footer"/>
      <w:jc w:val="center"/>
      <w:rPr>
        <w:rFonts w:ascii="Arial" w:hAnsi="Arial" w:cs="Arial"/>
        <w:i/>
        <w:sz w:val="20"/>
        <w:szCs w:val="20"/>
      </w:rPr>
    </w:pPr>
    <w:r w:rsidRPr="002C7A6D">
      <w:rPr>
        <w:rFonts w:ascii="Arial" w:hAnsi="Arial" w:cs="Arial"/>
        <w:i/>
        <w:sz w:val="20"/>
        <w:szCs w:val="20"/>
      </w:rPr>
      <w:t xml:space="preserve">MBRC Planning Scheme </w:t>
    </w:r>
    <w:r w:rsidR="00240ED0">
      <w:rPr>
        <w:rFonts w:ascii="Arial" w:hAnsi="Arial" w:cs="Arial"/>
        <w:i/>
        <w:sz w:val="20"/>
        <w:szCs w:val="20"/>
      </w:rPr>
      <w:t xml:space="preserve">Version </w:t>
    </w:r>
    <w:r w:rsidR="00424897">
      <w:rPr>
        <w:rFonts w:ascii="Arial" w:hAnsi="Arial" w:cs="Arial"/>
        <w:i/>
        <w:sz w:val="20"/>
        <w:szCs w:val="20"/>
      </w:rPr>
      <w:t>6</w:t>
    </w:r>
    <w:r w:rsidR="00240ED0">
      <w:rPr>
        <w:rFonts w:ascii="Arial" w:hAnsi="Arial" w:cs="Arial"/>
        <w:i/>
        <w:sz w:val="20"/>
        <w:szCs w:val="20"/>
      </w:rPr>
      <w:t xml:space="preserve"> </w:t>
    </w:r>
    <w:r w:rsidRPr="002C7A6D">
      <w:rPr>
        <w:rFonts w:ascii="Arial" w:hAnsi="Arial" w:cs="Arial"/>
        <w:i/>
        <w:sz w:val="20"/>
        <w:szCs w:val="20"/>
      </w:rPr>
      <w:t xml:space="preserve">- Other development codes - Reconfiguring a lot code - </w:t>
    </w:r>
    <w:r>
      <w:rPr>
        <w:rFonts w:ascii="Arial" w:hAnsi="Arial" w:cs="Arial"/>
        <w:i/>
        <w:sz w:val="20"/>
        <w:szCs w:val="20"/>
      </w:rPr>
      <w:t xml:space="preserve">Emerging community zone - Interim precinct </w:t>
    </w:r>
    <w:r w:rsidRPr="002C7A6D">
      <w:rPr>
        <w:rFonts w:ascii="Arial" w:hAnsi="Arial" w:cs="Arial"/>
        <w:i/>
        <w:sz w:val="20"/>
        <w:szCs w:val="20"/>
      </w:rPr>
      <w:t xml:space="preserve">- Assessable </w:t>
    </w:r>
    <w:r w:rsidRPr="002C7A6D">
      <w:rPr>
        <w:rFonts w:ascii="Arial" w:hAnsi="Arial" w:cs="Arial"/>
        <w:i/>
        <w:sz w:val="20"/>
        <w:szCs w:val="20"/>
      </w:rPr>
      <w:tab/>
    </w:r>
    <w:r w:rsidRPr="002C7A6D">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2C7A6D">
          <w:rPr>
            <w:rFonts w:ascii="Arial" w:hAnsi="Arial" w:cs="Arial"/>
            <w:sz w:val="20"/>
            <w:szCs w:val="20"/>
          </w:rPr>
          <w:fldChar w:fldCharType="begin"/>
        </w:r>
        <w:r w:rsidRPr="002C7A6D">
          <w:rPr>
            <w:rFonts w:ascii="Arial" w:hAnsi="Arial" w:cs="Arial"/>
            <w:sz w:val="20"/>
            <w:szCs w:val="20"/>
          </w:rPr>
          <w:instrText xml:space="preserve"> PAGE   \* MERGEFORMAT </w:instrText>
        </w:r>
        <w:r w:rsidRPr="002C7A6D">
          <w:rPr>
            <w:rFonts w:ascii="Arial" w:hAnsi="Arial" w:cs="Arial"/>
            <w:sz w:val="20"/>
            <w:szCs w:val="20"/>
          </w:rPr>
          <w:fldChar w:fldCharType="separate"/>
        </w:r>
        <w:r w:rsidR="009B5772">
          <w:rPr>
            <w:rFonts w:ascii="Arial" w:hAnsi="Arial" w:cs="Arial"/>
            <w:noProof/>
            <w:sz w:val="20"/>
            <w:szCs w:val="20"/>
          </w:rPr>
          <w:t>11</w:t>
        </w:r>
        <w:r w:rsidRPr="002C7A6D">
          <w:rPr>
            <w:rFonts w:ascii="Arial" w:hAnsi="Arial" w:cs="Arial"/>
            <w:noProof/>
            <w:sz w:val="20"/>
            <w:szCs w:val="20"/>
          </w:rPr>
          <w:fldChar w:fldCharType="end"/>
        </w:r>
      </w:sdtContent>
    </w:sdt>
  </w:p>
  <w:p w:rsidR="00424897" w:rsidRDefault="004248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155" w:rsidRDefault="00E74155" w:rsidP="007E6B9F">
      <w:pPr>
        <w:spacing w:after="0" w:line="240" w:lineRule="auto"/>
      </w:pPr>
      <w:r>
        <w:separator/>
      </w:r>
    </w:p>
  </w:footnote>
  <w:footnote w:type="continuationSeparator" w:id="0">
    <w:p w:rsidR="00E74155" w:rsidRDefault="00E74155" w:rsidP="007E6B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2CDB"/>
    <w:multiLevelType w:val="multilevel"/>
    <w:tmpl w:val="FE5C96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515E6B"/>
    <w:multiLevelType w:val="multilevel"/>
    <w:tmpl w:val="DF6CCF7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38F17FA"/>
    <w:multiLevelType w:val="multilevel"/>
    <w:tmpl w:val="2AD239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 w15:restartNumberingAfterBreak="0">
    <w:nsid w:val="1AA5563A"/>
    <w:multiLevelType w:val="multilevel"/>
    <w:tmpl w:val="58CE4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E5F4BB2"/>
    <w:multiLevelType w:val="multilevel"/>
    <w:tmpl w:val="5C0A43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0DD6BBB"/>
    <w:multiLevelType w:val="multilevel"/>
    <w:tmpl w:val="68F04E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D1B0F7B"/>
    <w:multiLevelType w:val="multilevel"/>
    <w:tmpl w:val="21BA3EE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D4019F5"/>
    <w:multiLevelType w:val="multilevel"/>
    <w:tmpl w:val="EF5C49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D52693C"/>
    <w:multiLevelType w:val="multilevel"/>
    <w:tmpl w:val="DB4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9C659F"/>
    <w:multiLevelType w:val="multilevel"/>
    <w:tmpl w:val="841A55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EBE5A2C"/>
    <w:multiLevelType w:val="multilevel"/>
    <w:tmpl w:val="00CA7F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26B5FA5"/>
    <w:multiLevelType w:val="multilevel"/>
    <w:tmpl w:val="28302E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FE45EC0"/>
    <w:multiLevelType w:val="multilevel"/>
    <w:tmpl w:val="7D0244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59953C4"/>
    <w:multiLevelType w:val="multilevel"/>
    <w:tmpl w:val="A244763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67D7727"/>
    <w:multiLevelType w:val="multilevel"/>
    <w:tmpl w:val="D37E2D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A56113C"/>
    <w:multiLevelType w:val="multilevel"/>
    <w:tmpl w:val="D86645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C760C0C"/>
    <w:multiLevelType w:val="multilevel"/>
    <w:tmpl w:val="B40E0B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CD41A3B"/>
    <w:multiLevelType w:val="multilevel"/>
    <w:tmpl w:val="E3562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1ED3AED"/>
    <w:multiLevelType w:val="multilevel"/>
    <w:tmpl w:val="B358DF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2694501"/>
    <w:multiLevelType w:val="multilevel"/>
    <w:tmpl w:val="10667E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27A6008"/>
    <w:multiLevelType w:val="multilevel"/>
    <w:tmpl w:val="D1AAF5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AEA0D00"/>
    <w:multiLevelType w:val="multilevel"/>
    <w:tmpl w:val="E13A1A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B5F191A"/>
    <w:multiLevelType w:val="multilevel"/>
    <w:tmpl w:val="583419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1747634"/>
    <w:multiLevelType w:val="multilevel"/>
    <w:tmpl w:val="FA4E0A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4E163AB"/>
    <w:multiLevelType w:val="multilevel"/>
    <w:tmpl w:val="C3E0DD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EA46BCD"/>
    <w:multiLevelType w:val="multilevel"/>
    <w:tmpl w:val="C0C2752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F415687"/>
    <w:multiLevelType w:val="multilevel"/>
    <w:tmpl w:val="9A32EF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9F630FF"/>
    <w:multiLevelType w:val="multilevel"/>
    <w:tmpl w:val="DEF60C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7ED50FA9"/>
    <w:multiLevelType w:val="multilevel"/>
    <w:tmpl w:val="EFE849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4"/>
  </w:num>
  <w:num w:numId="2">
    <w:abstractNumId w:val="0"/>
  </w:num>
  <w:num w:numId="3">
    <w:abstractNumId w:val="19"/>
  </w:num>
  <w:num w:numId="4">
    <w:abstractNumId w:val="17"/>
  </w:num>
  <w:num w:numId="5">
    <w:abstractNumId w:val="8"/>
  </w:num>
  <w:num w:numId="6">
    <w:abstractNumId w:val="7"/>
  </w:num>
  <w:num w:numId="7">
    <w:abstractNumId w:val="21"/>
  </w:num>
  <w:num w:numId="8">
    <w:abstractNumId w:val="20"/>
  </w:num>
  <w:num w:numId="9">
    <w:abstractNumId w:val="16"/>
  </w:num>
  <w:num w:numId="10">
    <w:abstractNumId w:val="6"/>
  </w:num>
  <w:num w:numId="11">
    <w:abstractNumId w:val="25"/>
  </w:num>
  <w:num w:numId="12">
    <w:abstractNumId w:val="11"/>
  </w:num>
  <w:num w:numId="13">
    <w:abstractNumId w:val="2"/>
  </w:num>
  <w:num w:numId="14">
    <w:abstractNumId w:val="26"/>
  </w:num>
  <w:num w:numId="15">
    <w:abstractNumId w:val="26"/>
    <w:lvlOverride w:ilvl="1">
      <w:startOverride w:val="1"/>
    </w:lvlOverride>
  </w:num>
  <w:num w:numId="16">
    <w:abstractNumId w:val="13"/>
  </w:num>
  <w:num w:numId="17">
    <w:abstractNumId w:val="12"/>
  </w:num>
  <w:num w:numId="18">
    <w:abstractNumId w:val="5"/>
  </w:num>
  <w:num w:numId="19">
    <w:abstractNumId w:val="15"/>
  </w:num>
  <w:num w:numId="20">
    <w:abstractNumId w:val="28"/>
  </w:num>
  <w:num w:numId="21">
    <w:abstractNumId w:val="1"/>
  </w:num>
  <w:num w:numId="22">
    <w:abstractNumId w:val="4"/>
  </w:num>
  <w:num w:numId="23">
    <w:abstractNumId w:val="22"/>
  </w:num>
  <w:num w:numId="24">
    <w:abstractNumId w:val="29"/>
  </w:num>
  <w:num w:numId="25">
    <w:abstractNumId w:val="10"/>
  </w:num>
  <w:num w:numId="26">
    <w:abstractNumId w:val="18"/>
  </w:num>
  <w:num w:numId="27">
    <w:abstractNumId w:val="24"/>
  </w:num>
  <w:num w:numId="28">
    <w:abstractNumId w:val="23"/>
  </w:num>
  <w:num w:numId="29">
    <w:abstractNumId w:val="27"/>
  </w:num>
  <w:num w:numId="30">
    <w:abstractNumId w:val="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B9F"/>
    <w:rsid w:val="00035BF6"/>
    <w:rsid w:val="00201C67"/>
    <w:rsid w:val="00240ED0"/>
    <w:rsid w:val="0038561D"/>
    <w:rsid w:val="003B7696"/>
    <w:rsid w:val="003C5E7E"/>
    <w:rsid w:val="00424897"/>
    <w:rsid w:val="00733496"/>
    <w:rsid w:val="007E6B9F"/>
    <w:rsid w:val="00861826"/>
    <w:rsid w:val="009B5772"/>
    <w:rsid w:val="00C94709"/>
    <w:rsid w:val="00D26B10"/>
    <w:rsid w:val="00E74155"/>
    <w:rsid w:val="00FA22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409BA"/>
  <w15:chartTrackingRefBased/>
  <w15:docId w15:val="{98444691-E3E8-4DFF-8AA2-D13B6440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6B9F"/>
    <w:rPr>
      <w:b/>
      <w:bCs/>
    </w:rPr>
  </w:style>
  <w:style w:type="paragraph" w:styleId="ListParagraph">
    <w:name w:val="List Paragraph"/>
    <w:basedOn w:val="Normal"/>
    <w:uiPriority w:val="34"/>
    <w:qFormat/>
    <w:rsid w:val="007E6B9F"/>
    <w:pPr>
      <w:spacing w:after="200" w:line="276" w:lineRule="auto"/>
      <w:ind w:left="720"/>
      <w:contextualSpacing/>
    </w:pPr>
    <w:rPr>
      <w:rFonts w:ascii="Arial" w:hAnsi="Arial"/>
    </w:rPr>
  </w:style>
  <w:style w:type="paragraph" w:styleId="Header">
    <w:name w:val="header"/>
    <w:basedOn w:val="Normal"/>
    <w:link w:val="HeaderChar"/>
    <w:uiPriority w:val="99"/>
    <w:unhideWhenUsed/>
    <w:rsid w:val="007E6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B9F"/>
  </w:style>
  <w:style w:type="paragraph" w:styleId="Footer">
    <w:name w:val="footer"/>
    <w:basedOn w:val="Normal"/>
    <w:link w:val="FooterChar"/>
    <w:uiPriority w:val="99"/>
    <w:unhideWhenUsed/>
    <w:rsid w:val="007E6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404714">
      <w:bodyDiv w:val="1"/>
      <w:marLeft w:val="0"/>
      <w:marRight w:val="0"/>
      <w:marTop w:val="0"/>
      <w:marBottom w:val="0"/>
      <w:divBdr>
        <w:top w:val="none" w:sz="0" w:space="0" w:color="auto"/>
        <w:left w:val="none" w:sz="0" w:space="0" w:color="auto"/>
        <w:bottom w:val="none" w:sz="0" w:space="0" w:color="auto"/>
        <w:right w:val="none" w:sz="0" w:space="0" w:color="auto"/>
      </w:divBdr>
      <w:divsChild>
        <w:div w:id="1358043713">
          <w:marLeft w:val="0"/>
          <w:marRight w:val="0"/>
          <w:marTop w:val="0"/>
          <w:marBottom w:val="0"/>
          <w:divBdr>
            <w:top w:val="none" w:sz="0" w:space="0" w:color="auto"/>
            <w:left w:val="none" w:sz="0" w:space="0" w:color="auto"/>
            <w:bottom w:val="none" w:sz="0" w:space="0" w:color="auto"/>
            <w:right w:val="none" w:sz="0" w:space="0" w:color="auto"/>
          </w:divBdr>
          <w:divsChild>
            <w:div w:id="1934975589">
              <w:marLeft w:val="0"/>
              <w:marRight w:val="0"/>
              <w:marTop w:val="150"/>
              <w:marBottom w:val="0"/>
              <w:divBdr>
                <w:top w:val="none" w:sz="0" w:space="0" w:color="auto"/>
                <w:left w:val="none" w:sz="0" w:space="0" w:color="auto"/>
                <w:bottom w:val="none" w:sz="0" w:space="0" w:color="auto"/>
                <w:right w:val="none" w:sz="0" w:space="0" w:color="auto"/>
              </w:divBdr>
              <w:divsChild>
                <w:div w:id="372461978">
                  <w:marLeft w:val="3300"/>
                  <w:marRight w:val="0"/>
                  <w:marTop w:val="0"/>
                  <w:marBottom w:val="0"/>
                  <w:divBdr>
                    <w:top w:val="none" w:sz="0" w:space="0" w:color="auto"/>
                    <w:left w:val="none" w:sz="0" w:space="0" w:color="auto"/>
                    <w:bottom w:val="none" w:sz="0" w:space="0" w:color="auto"/>
                    <w:right w:val="none" w:sz="0" w:space="0" w:color="auto"/>
                  </w:divBdr>
                  <w:divsChild>
                    <w:div w:id="837383343">
                      <w:marLeft w:val="0"/>
                      <w:marRight w:val="0"/>
                      <w:marTop w:val="0"/>
                      <w:marBottom w:val="0"/>
                      <w:divBdr>
                        <w:top w:val="single" w:sz="6" w:space="7" w:color="A8A8A8"/>
                        <w:left w:val="single" w:sz="2" w:space="14" w:color="A8A8A8"/>
                        <w:bottom w:val="single" w:sz="6" w:space="7" w:color="A8A8A8"/>
                        <w:right w:val="single" w:sz="2" w:space="14" w:color="A8A8A8"/>
                      </w:divBdr>
                      <w:divsChild>
                        <w:div w:id="2130512097">
                          <w:marLeft w:val="0"/>
                          <w:marRight w:val="0"/>
                          <w:marTop w:val="0"/>
                          <w:marBottom w:val="0"/>
                          <w:divBdr>
                            <w:top w:val="none" w:sz="0" w:space="0" w:color="auto"/>
                            <w:left w:val="none" w:sz="0" w:space="0" w:color="auto"/>
                            <w:bottom w:val="none" w:sz="0" w:space="0" w:color="auto"/>
                            <w:right w:val="none" w:sz="0" w:space="0" w:color="auto"/>
                          </w:divBdr>
                          <w:divsChild>
                            <w:div w:id="2103649349">
                              <w:marLeft w:val="0"/>
                              <w:marRight w:val="0"/>
                              <w:marTop w:val="0"/>
                              <w:marBottom w:val="0"/>
                              <w:divBdr>
                                <w:top w:val="none" w:sz="0" w:space="0" w:color="auto"/>
                                <w:left w:val="none" w:sz="0" w:space="0" w:color="auto"/>
                                <w:bottom w:val="none" w:sz="0" w:space="0" w:color="auto"/>
                                <w:right w:val="none" w:sz="0" w:space="0" w:color="auto"/>
                              </w:divBdr>
                              <w:divsChild>
                                <w:div w:id="642583459">
                                  <w:marLeft w:val="0"/>
                                  <w:marRight w:val="0"/>
                                  <w:marTop w:val="0"/>
                                  <w:marBottom w:val="0"/>
                                  <w:divBdr>
                                    <w:top w:val="none" w:sz="0" w:space="0" w:color="auto"/>
                                    <w:left w:val="none" w:sz="0" w:space="0" w:color="auto"/>
                                    <w:bottom w:val="none" w:sz="0" w:space="0" w:color="auto"/>
                                    <w:right w:val="none" w:sz="0" w:space="0" w:color="auto"/>
                                  </w:divBdr>
                                  <w:divsChild>
                                    <w:div w:id="915016125">
                                      <w:marLeft w:val="0"/>
                                      <w:marRight w:val="0"/>
                                      <w:marTop w:val="0"/>
                                      <w:marBottom w:val="0"/>
                                      <w:divBdr>
                                        <w:top w:val="none" w:sz="0" w:space="0" w:color="auto"/>
                                        <w:left w:val="none" w:sz="0" w:space="0" w:color="auto"/>
                                        <w:bottom w:val="none" w:sz="0" w:space="0" w:color="auto"/>
                                        <w:right w:val="none" w:sz="0" w:space="0" w:color="auto"/>
                                      </w:divBdr>
                                      <w:divsChild>
                                        <w:div w:id="535779125">
                                          <w:marLeft w:val="0"/>
                                          <w:marRight w:val="0"/>
                                          <w:marTop w:val="0"/>
                                          <w:marBottom w:val="0"/>
                                          <w:divBdr>
                                            <w:top w:val="none" w:sz="0" w:space="0" w:color="auto"/>
                                            <w:left w:val="none" w:sz="0" w:space="0" w:color="auto"/>
                                            <w:bottom w:val="none" w:sz="0" w:space="0" w:color="auto"/>
                                            <w:right w:val="none" w:sz="0" w:space="0" w:color="auto"/>
                                          </w:divBdr>
                                          <w:divsChild>
                                            <w:div w:id="438374982">
                                              <w:marLeft w:val="0"/>
                                              <w:marRight w:val="0"/>
                                              <w:marTop w:val="0"/>
                                              <w:marBottom w:val="0"/>
                                              <w:divBdr>
                                                <w:top w:val="none" w:sz="0" w:space="0" w:color="auto"/>
                                                <w:left w:val="none" w:sz="0" w:space="0" w:color="auto"/>
                                                <w:bottom w:val="none" w:sz="0" w:space="0" w:color="auto"/>
                                                <w:right w:val="none" w:sz="0" w:space="0" w:color="auto"/>
                                              </w:divBdr>
                                              <w:divsChild>
                                                <w:div w:id="1413502657">
                                                  <w:marLeft w:val="0"/>
                                                  <w:marRight w:val="0"/>
                                                  <w:marTop w:val="0"/>
                                                  <w:marBottom w:val="0"/>
                                                  <w:divBdr>
                                                    <w:top w:val="none" w:sz="0" w:space="0" w:color="auto"/>
                                                    <w:left w:val="none" w:sz="0" w:space="0" w:color="auto"/>
                                                    <w:bottom w:val="none" w:sz="0" w:space="0" w:color="auto"/>
                                                    <w:right w:val="none" w:sz="0" w:space="0" w:color="auto"/>
                                                  </w:divBdr>
                                                  <w:divsChild>
                                                    <w:div w:id="191694570">
                                                      <w:marLeft w:val="0"/>
                                                      <w:marRight w:val="0"/>
                                                      <w:marTop w:val="0"/>
                                                      <w:marBottom w:val="0"/>
                                                      <w:divBdr>
                                                        <w:top w:val="none" w:sz="0" w:space="0" w:color="auto"/>
                                                        <w:left w:val="none" w:sz="0" w:space="0" w:color="auto"/>
                                                        <w:bottom w:val="none" w:sz="0" w:space="0" w:color="auto"/>
                                                        <w:right w:val="none" w:sz="0" w:space="0" w:color="auto"/>
                                                      </w:divBdr>
                                                    </w:div>
                                                  </w:divsChild>
                                                </w:div>
                                                <w:div w:id="750812344">
                                                  <w:marLeft w:val="0"/>
                                                  <w:marRight w:val="0"/>
                                                  <w:marTop w:val="0"/>
                                                  <w:marBottom w:val="0"/>
                                                  <w:divBdr>
                                                    <w:top w:val="none" w:sz="0" w:space="0" w:color="auto"/>
                                                    <w:left w:val="none" w:sz="0" w:space="0" w:color="auto"/>
                                                    <w:bottom w:val="none" w:sz="0" w:space="0" w:color="auto"/>
                                                    <w:right w:val="none" w:sz="0" w:space="0" w:color="auto"/>
                                                  </w:divBdr>
                                                  <w:divsChild>
                                                    <w:div w:id="60913623">
                                                      <w:marLeft w:val="0"/>
                                                      <w:marRight w:val="0"/>
                                                      <w:marTop w:val="0"/>
                                                      <w:marBottom w:val="0"/>
                                                      <w:divBdr>
                                                        <w:top w:val="none" w:sz="0" w:space="0" w:color="auto"/>
                                                        <w:left w:val="none" w:sz="0" w:space="0" w:color="auto"/>
                                                        <w:bottom w:val="none" w:sz="0" w:space="0" w:color="auto"/>
                                                        <w:right w:val="none" w:sz="0" w:space="0" w:color="auto"/>
                                                      </w:divBdr>
                                                    </w:div>
                                                  </w:divsChild>
                                                </w:div>
                                                <w:div w:id="1377242516">
                                                  <w:marLeft w:val="0"/>
                                                  <w:marRight w:val="0"/>
                                                  <w:marTop w:val="0"/>
                                                  <w:marBottom w:val="0"/>
                                                  <w:divBdr>
                                                    <w:top w:val="none" w:sz="0" w:space="0" w:color="auto"/>
                                                    <w:left w:val="none" w:sz="0" w:space="0" w:color="auto"/>
                                                    <w:bottom w:val="none" w:sz="0" w:space="0" w:color="auto"/>
                                                    <w:right w:val="none" w:sz="0" w:space="0" w:color="auto"/>
                                                  </w:divBdr>
                                                  <w:divsChild>
                                                    <w:div w:id="1658074531">
                                                      <w:marLeft w:val="0"/>
                                                      <w:marRight w:val="0"/>
                                                      <w:marTop w:val="0"/>
                                                      <w:marBottom w:val="0"/>
                                                      <w:divBdr>
                                                        <w:top w:val="none" w:sz="0" w:space="0" w:color="auto"/>
                                                        <w:left w:val="none" w:sz="0" w:space="0" w:color="auto"/>
                                                        <w:bottom w:val="none" w:sz="0" w:space="0" w:color="auto"/>
                                                        <w:right w:val="none" w:sz="0" w:space="0" w:color="auto"/>
                                                      </w:divBdr>
                                                    </w:div>
                                                  </w:divsChild>
                                                </w:div>
                                                <w:div w:id="321547900">
                                                  <w:marLeft w:val="0"/>
                                                  <w:marRight w:val="0"/>
                                                  <w:marTop w:val="0"/>
                                                  <w:marBottom w:val="0"/>
                                                  <w:divBdr>
                                                    <w:top w:val="none" w:sz="0" w:space="0" w:color="auto"/>
                                                    <w:left w:val="none" w:sz="0" w:space="0" w:color="auto"/>
                                                    <w:bottom w:val="none" w:sz="0" w:space="0" w:color="auto"/>
                                                    <w:right w:val="none" w:sz="0" w:space="0" w:color="auto"/>
                                                  </w:divBdr>
                                                  <w:divsChild>
                                                    <w:div w:id="161745117">
                                                      <w:marLeft w:val="0"/>
                                                      <w:marRight w:val="0"/>
                                                      <w:marTop w:val="0"/>
                                                      <w:marBottom w:val="0"/>
                                                      <w:divBdr>
                                                        <w:top w:val="none" w:sz="0" w:space="0" w:color="auto"/>
                                                        <w:left w:val="none" w:sz="0" w:space="0" w:color="auto"/>
                                                        <w:bottom w:val="none" w:sz="0" w:space="0" w:color="auto"/>
                                                        <w:right w:val="none" w:sz="0" w:space="0" w:color="auto"/>
                                                      </w:divBdr>
                                                    </w:div>
                                                  </w:divsChild>
                                                </w:div>
                                                <w:div w:id="1371802724">
                                                  <w:marLeft w:val="0"/>
                                                  <w:marRight w:val="0"/>
                                                  <w:marTop w:val="0"/>
                                                  <w:marBottom w:val="0"/>
                                                  <w:divBdr>
                                                    <w:top w:val="none" w:sz="0" w:space="0" w:color="auto"/>
                                                    <w:left w:val="none" w:sz="0" w:space="0" w:color="auto"/>
                                                    <w:bottom w:val="none" w:sz="0" w:space="0" w:color="auto"/>
                                                    <w:right w:val="none" w:sz="0" w:space="0" w:color="auto"/>
                                                  </w:divBdr>
                                                  <w:divsChild>
                                                    <w:div w:id="340275422">
                                                      <w:marLeft w:val="0"/>
                                                      <w:marRight w:val="0"/>
                                                      <w:marTop w:val="0"/>
                                                      <w:marBottom w:val="0"/>
                                                      <w:divBdr>
                                                        <w:top w:val="none" w:sz="0" w:space="0" w:color="auto"/>
                                                        <w:left w:val="none" w:sz="0" w:space="0" w:color="auto"/>
                                                        <w:bottom w:val="none" w:sz="0" w:space="0" w:color="auto"/>
                                                        <w:right w:val="none" w:sz="0" w:space="0" w:color="auto"/>
                                                      </w:divBdr>
                                                    </w:div>
                                                  </w:divsChild>
                                                </w:div>
                                                <w:div w:id="113640850">
                                                  <w:marLeft w:val="0"/>
                                                  <w:marRight w:val="0"/>
                                                  <w:marTop w:val="0"/>
                                                  <w:marBottom w:val="0"/>
                                                  <w:divBdr>
                                                    <w:top w:val="none" w:sz="0" w:space="0" w:color="auto"/>
                                                    <w:left w:val="none" w:sz="0" w:space="0" w:color="auto"/>
                                                    <w:bottom w:val="none" w:sz="0" w:space="0" w:color="auto"/>
                                                    <w:right w:val="none" w:sz="0" w:space="0" w:color="auto"/>
                                                  </w:divBdr>
                                                  <w:divsChild>
                                                    <w:div w:id="1369917305">
                                                      <w:marLeft w:val="0"/>
                                                      <w:marRight w:val="0"/>
                                                      <w:marTop w:val="0"/>
                                                      <w:marBottom w:val="0"/>
                                                      <w:divBdr>
                                                        <w:top w:val="none" w:sz="0" w:space="0" w:color="auto"/>
                                                        <w:left w:val="none" w:sz="0" w:space="0" w:color="auto"/>
                                                        <w:bottom w:val="none" w:sz="0" w:space="0" w:color="auto"/>
                                                        <w:right w:val="none" w:sz="0" w:space="0" w:color="auto"/>
                                                      </w:divBdr>
                                                    </w:div>
                                                  </w:divsChild>
                                                </w:div>
                                                <w:div w:id="1239906651">
                                                  <w:marLeft w:val="0"/>
                                                  <w:marRight w:val="0"/>
                                                  <w:marTop w:val="0"/>
                                                  <w:marBottom w:val="0"/>
                                                  <w:divBdr>
                                                    <w:top w:val="none" w:sz="0" w:space="0" w:color="auto"/>
                                                    <w:left w:val="none" w:sz="0" w:space="0" w:color="auto"/>
                                                    <w:bottom w:val="none" w:sz="0" w:space="0" w:color="auto"/>
                                                    <w:right w:val="none" w:sz="0" w:space="0" w:color="auto"/>
                                                  </w:divBdr>
                                                  <w:divsChild>
                                                    <w:div w:id="1110977871">
                                                      <w:marLeft w:val="0"/>
                                                      <w:marRight w:val="0"/>
                                                      <w:marTop w:val="0"/>
                                                      <w:marBottom w:val="0"/>
                                                      <w:divBdr>
                                                        <w:top w:val="none" w:sz="0" w:space="0" w:color="auto"/>
                                                        <w:left w:val="none" w:sz="0" w:space="0" w:color="auto"/>
                                                        <w:bottom w:val="none" w:sz="0" w:space="0" w:color="auto"/>
                                                        <w:right w:val="none" w:sz="0" w:space="0" w:color="auto"/>
                                                      </w:divBdr>
                                                    </w:div>
                                                  </w:divsChild>
                                                </w:div>
                                                <w:div w:id="895119275">
                                                  <w:marLeft w:val="0"/>
                                                  <w:marRight w:val="0"/>
                                                  <w:marTop w:val="0"/>
                                                  <w:marBottom w:val="0"/>
                                                  <w:divBdr>
                                                    <w:top w:val="none" w:sz="0" w:space="0" w:color="auto"/>
                                                    <w:left w:val="none" w:sz="0" w:space="0" w:color="auto"/>
                                                    <w:bottom w:val="none" w:sz="0" w:space="0" w:color="auto"/>
                                                    <w:right w:val="none" w:sz="0" w:space="0" w:color="auto"/>
                                                  </w:divBdr>
                                                  <w:divsChild>
                                                    <w:div w:id="574899356">
                                                      <w:marLeft w:val="0"/>
                                                      <w:marRight w:val="0"/>
                                                      <w:marTop w:val="0"/>
                                                      <w:marBottom w:val="0"/>
                                                      <w:divBdr>
                                                        <w:top w:val="none" w:sz="0" w:space="0" w:color="auto"/>
                                                        <w:left w:val="none" w:sz="0" w:space="0" w:color="auto"/>
                                                        <w:bottom w:val="none" w:sz="0" w:space="0" w:color="auto"/>
                                                        <w:right w:val="none" w:sz="0" w:space="0" w:color="auto"/>
                                                      </w:divBdr>
                                                    </w:div>
                                                  </w:divsChild>
                                                </w:div>
                                                <w:div w:id="554241325">
                                                  <w:marLeft w:val="0"/>
                                                  <w:marRight w:val="0"/>
                                                  <w:marTop w:val="0"/>
                                                  <w:marBottom w:val="0"/>
                                                  <w:divBdr>
                                                    <w:top w:val="none" w:sz="0" w:space="0" w:color="auto"/>
                                                    <w:left w:val="none" w:sz="0" w:space="0" w:color="auto"/>
                                                    <w:bottom w:val="none" w:sz="0" w:space="0" w:color="auto"/>
                                                    <w:right w:val="none" w:sz="0" w:space="0" w:color="auto"/>
                                                  </w:divBdr>
                                                  <w:divsChild>
                                                    <w:div w:id="602035800">
                                                      <w:marLeft w:val="0"/>
                                                      <w:marRight w:val="0"/>
                                                      <w:marTop w:val="0"/>
                                                      <w:marBottom w:val="0"/>
                                                      <w:divBdr>
                                                        <w:top w:val="none" w:sz="0" w:space="0" w:color="auto"/>
                                                        <w:left w:val="none" w:sz="0" w:space="0" w:color="auto"/>
                                                        <w:bottom w:val="none" w:sz="0" w:space="0" w:color="auto"/>
                                                        <w:right w:val="none" w:sz="0" w:space="0" w:color="auto"/>
                                                      </w:divBdr>
                                                    </w:div>
                                                  </w:divsChild>
                                                </w:div>
                                                <w:div w:id="1759448626">
                                                  <w:marLeft w:val="0"/>
                                                  <w:marRight w:val="0"/>
                                                  <w:marTop w:val="0"/>
                                                  <w:marBottom w:val="0"/>
                                                  <w:divBdr>
                                                    <w:top w:val="none" w:sz="0" w:space="0" w:color="auto"/>
                                                    <w:left w:val="none" w:sz="0" w:space="0" w:color="auto"/>
                                                    <w:bottom w:val="none" w:sz="0" w:space="0" w:color="auto"/>
                                                    <w:right w:val="none" w:sz="0" w:space="0" w:color="auto"/>
                                                  </w:divBdr>
                                                  <w:divsChild>
                                                    <w:div w:id="1417022591">
                                                      <w:marLeft w:val="0"/>
                                                      <w:marRight w:val="0"/>
                                                      <w:marTop w:val="0"/>
                                                      <w:marBottom w:val="0"/>
                                                      <w:divBdr>
                                                        <w:top w:val="none" w:sz="0" w:space="0" w:color="auto"/>
                                                        <w:left w:val="none" w:sz="0" w:space="0" w:color="auto"/>
                                                        <w:bottom w:val="none" w:sz="0" w:space="0" w:color="auto"/>
                                                        <w:right w:val="none" w:sz="0" w:space="0" w:color="auto"/>
                                                      </w:divBdr>
                                                    </w:div>
                                                  </w:divsChild>
                                                </w:div>
                                                <w:div w:id="303050884">
                                                  <w:marLeft w:val="0"/>
                                                  <w:marRight w:val="0"/>
                                                  <w:marTop w:val="0"/>
                                                  <w:marBottom w:val="0"/>
                                                  <w:divBdr>
                                                    <w:top w:val="none" w:sz="0" w:space="0" w:color="auto"/>
                                                    <w:left w:val="none" w:sz="0" w:space="0" w:color="auto"/>
                                                    <w:bottom w:val="none" w:sz="0" w:space="0" w:color="auto"/>
                                                    <w:right w:val="none" w:sz="0" w:space="0" w:color="auto"/>
                                                  </w:divBdr>
                                                  <w:divsChild>
                                                    <w:div w:id="2052683948">
                                                      <w:marLeft w:val="0"/>
                                                      <w:marRight w:val="0"/>
                                                      <w:marTop w:val="0"/>
                                                      <w:marBottom w:val="0"/>
                                                      <w:divBdr>
                                                        <w:top w:val="none" w:sz="0" w:space="0" w:color="auto"/>
                                                        <w:left w:val="none" w:sz="0" w:space="0" w:color="auto"/>
                                                        <w:bottom w:val="none" w:sz="0" w:space="0" w:color="auto"/>
                                                        <w:right w:val="none" w:sz="0" w:space="0" w:color="auto"/>
                                                      </w:divBdr>
                                                    </w:div>
                                                  </w:divsChild>
                                                </w:div>
                                                <w:div w:id="8141988">
                                                  <w:marLeft w:val="0"/>
                                                  <w:marRight w:val="0"/>
                                                  <w:marTop w:val="0"/>
                                                  <w:marBottom w:val="0"/>
                                                  <w:divBdr>
                                                    <w:top w:val="none" w:sz="0" w:space="0" w:color="auto"/>
                                                    <w:left w:val="none" w:sz="0" w:space="0" w:color="auto"/>
                                                    <w:bottom w:val="none" w:sz="0" w:space="0" w:color="auto"/>
                                                    <w:right w:val="none" w:sz="0" w:space="0" w:color="auto"/>
                                                  </w:divBdr>
                                                  <w:divsChild>
                                                    <w:div w:id="231308767">
                                                      <w:marLeft w:val="0"/>
                                                      <w:marRight w:val="0"/>
                                                      <w:marTop w:val="0"/>
                                                      <w:marBottom w:val="0"/>
                                                      <w:divBdr>
                                                        <w:top w:val="none" w:sz="0" w:space="0" w:color="auto"/>
                                                        <w:left w:val="none" w:sz="0" w:space="0" w:color="auto"/>
                                                        <w:bottom w:val="none" w:sz="0" w:space="0" w:color="auto"/>
                                                        <w:right w:val="none" w:sz="0" w:space="0" w:color="auto"/>
                                                      </w:divBdr>
                                                    </w:div>
                                                  </w:divsChild>
                                                </w:div>
                                                <w:div w:id="983656042">
                                                  <w:marLeft w:val="0"/>
                                                  <w:marRight w:val="0"/>
                                                  <w:marTop w:val="0"/>
                                                  <w:marBottom w:val="0"/>
                                                  <w:divBdr>
                                                    <w:top w:val="none" w:sz="0" w:space="0" w:color="auto"/>
                                                    <w:left w:val="none" w:sz="0" w:space="0" w:color="auto"/>
                                                    <w:bottom w:val="none" w:sz="0" w:space="0" w:color="auto"/>
                                                    <w:right w:val="none" w:sz="0" w:space="0" w:color="auto"/>
                                                  </w:divBdr>
                                                  <w:divsChild>
                                                    <w:div w:id="623850678">
                                                      <w:marLeft w:val="0"/>
                                                      <w:marRight w:val="0"/>
                                                      <w:marTop w:val="0"/>
                                                      <w:marBottom w:val="0"/>
                                                      <w:divBdr>
                                                        <w:top w:val="none" w:sz="0" w:space="0" w:color="auto"/>
                                                        <w:left w:val="none" w:sz="0" w:space="0" w:color="auto"/>
                                                        <w:bottom w:val="none" w:sz="0" w:space="0" w:color="auto"/>
                                                        <w:right w:val="none" w:sz="0" w:space="0" w:color="auto"/>
                                                      </w:divBdr>
                                                    </w:div>
                                                  </w:divsChild>
                                                </w:div>
                                                <w:div w:id="283661920">
                                                  <w:marLeft w:val="0"/>
                                                  <w:marRight w:val="0"/>
                                                  <w:marTop w:val="0"/>
                                                  <w:marBottom w:val="0"/>
                                                  <w:divBdr>
                                                    <w:top w:val="none" w:sz="0" w:space="0" w:color="auto"/>
                                                    <w:left w:val="none" w:sz="0" w:space="0" w:color="auto"/>
                                                    <w:bottom w:val="none" w:sz="0" w:space="0" w:color="auto"/>
                                                    <w:right w:val="none" w:sz="0" w:space="0" w:color="auto"/>
                                                  </w:divBdr>
                                                  <w:divsChild>
                                                    <w:div w:id="821198046">
                                                      <w:marLeft w:val="0"/>
                                                      <w:marRight w:val="0"/>
                                                      <w:marTop w:val="0"/>
                                                      <w:marBottom w:val="0"/>
                                                      <w:divBdr>
                                                        <w:top w:val="none" w:sz="0" w:space="0" w:color="auto"/>
                                                        <w:left w:val="none" w:sz="0" w:space="0" w:color="auto"/>
                                                        <w:bottom w:val="none" w:sz="0" w:space="0" w:color="auto"/>
                                                        <w:right w:val="none" w:sz="0" w:space="0" w:color="auto"/>
                                                      </w:divBdr>
                                                    </w:div>
                                                  </w:divsChild>
                                                </w:div>
                                                <w:div w:id="1474640158">
                                                  <w:marLeft w:val="0"/>
                                                  <w:marRight w:val="0"/>
                                                  <w:marTop w:val="0"/>
                                                  <w:marBottom w:val="0"/>
                                                  <w:divBdr>
                                                    <w:top w:val="none" w:sz="0" w:space="0" w:color="auto"/>
                                                    <w:left w:val="none" w:sz="0" w:space="0" w:color="auto"/>
                                                    <w:bottom w:val="none" w:sz="0" w:space="0" w:color="auto"/>
                                                    <w:right w:val="none" w:sz="0" w:space="0" w:color="auto"/>
                                                  </w:divBdr>
                                                  <w:divsChild>
                                                    <w:div w:id="451484306">
                                                      <w:marLeft w:val="0"/>
                                                      <w:marRight w:val="0"/>
                                                      <w:marTop w:val="0"/>
                                                      <w:marBottom w:val="0"/>
                                                      <w:divBdr>
                                                        <w:top w:val="none" w:sz="0" w:space="0" w:color="auto"/>
                                                        <w:left w:val="none" w:sz="0" w:space="0" w:color="auto"/>
                                                        <w:bottom w:val="none" w:sz="0" w:space="0" w:color="auto"/>
                                                        <w:right w:val="none" w:sz="0" w:space="0" w:color="auto"/>
                                                      </w:divBdr>
                                                    </w:div>
                                                  </w:divsChild>
                                                </w:div>
                                                <w:div w:id="100493073">
                                                  <w:marLeft w:val="0"/>
                                                  <w:marRight w:val="0"/>
                                                  <w:marTop w:val="0"/>
                                                  <w:marBottom w:val="0"/>
                                                  <w:divBdr>
                                                    <w:top w:val="none" w:sz="0" w:space="0" w:color="auto"/>
                                                    <w:left w:val="none" w:sz="0" w:space="0" w:color="auto"/>
                                                    <w:bottom w:val="none" w:sz="0" w:space="0" w:color="auto"/>
                                                    <w:right w:val="none" w:sz="0" w:space="0" w:color="auto"/>
                                                  </w:divBdr>
                                                  <w:divsChild>
                                                    <w:div w:id="658925952">
                                                      <w:marLeft w:val="0"/>
                                                      <w:marRight w:val="0"/>
                                                      <w:marTop w:val="0"/>
                                                      <w:marBottom w:val="0"/>
                                                      <w:divBdr>
                                                        <w:top w:val="none" w:sz="0" w:space="0" w:color="auto"/>
                                                        <w:left w:val="none" w:sz="0" w:space="0" w:color="auto"/>
                                                        <w:bottom w:val="none" w:sz="0" w:space="0" w:color="auto"/>
                                                        <w:right w:val="none" w:sz="0" w:space="0" w:color="auto"/>
                                                      </w:divBdr>
                                                    </w:div>
                                                  </w:divsChild>
                                                </w:div>
                                                <w:div w:id="1024937758">
                                                  <w:marLeft w:val="0"/>
                                                  <w:marRight w:val="0"/>
                                                  <w:marTop w:val="0"/>
                                                  <w:marBottom w:val="0"/>
                                                  <w:divBdr>
                                                    <w:top w:val="none" w:sz="0" w:space="0" w:color="auto"/>
                                                    <w:left w:val="none" w:sz="0" w:space="0" w:color="auto"/>
                                                    <w:bottom w:val="none" w:sz="0" w:space="0" w:color="auto"/>
                                                    <w:right w:val="none" w:sz="0" w:space="0" w:color="auto"/>
                                                  </w:divBdr>
                                                  <w:divsChild>
                                                    <w:div w:id="1166047322">
                                                      <w:marLeft w:val="0"/>
                                                      <w:marRight w:val="0"/>
                                                      <w:marTop w:val="0"/>
                                                      <w:marBottom w:val="0"/>
                                                      <w:divBdr>
                                                        <w:top w:val="none" w:sz="0" w:space="0" w:color="auto"/>
                                                        <w:left w:val="none" w:sz="0" w:space="0" w:color="auto"/>
                                                        <w:bottom w:val="none" w:sz="0" w:space="0" w:color="auto"/>
                                                        <w:right w:val="none" w:sz="0" w:space="0" w:color="auto"/>
                                                      </w:divBdr>
                                                    </w:div>
                                                  </w:divsChild>
                                                </w:div>
                                                <w:div w:id="1476530307">
                                                  <w:marLeft w:val="0"/>
                                                  <w:marRight w:val="0"/>
                                                  <w:marTop w:val="0"/>
                                                  <w:marBottom w:val="0"/>
                                                  <w:divBdr>
                                                    <w:top w:val="none" w:sz="0" w:space="0" w:color="auto"/>
                                                    <w:left w:val="none" w:sz="0" w:space="0" w:color="auto"/>
                                                    <w:bottom w:val="none" w:sz="0" w:space="0" w:color="auto"/>
                                                    <w:right w:val="none" w:sz="0" w:space="0" w:color="auto"/>
                                                  </w:divBdr>
                                                  <w:divsChild>
                                                    <w:div w:id="100423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585378">
                  <w:marLeft w:val="3300"/>
                  <w:marRight w:val="0"/>
                  <w:marTop w:val="0"/>
                  <w:marBottom w:val="0"/>
                  <w:divBdr>
                    <w:top w:val="single" w:sz="2" w:space="0" w:color="A8A8A8"/>
                    <w:left w:val="single" w:sz="6" w:space="0" w:color="A8A8A8"/>
                    <w:bottom w:val="single" w:sz="2" w:space="0" w:color="A8A8A8"/>
                    <w:right w:val="single" w:sz="6" w:space="0" w:color="A8A8A8"/>
                  </w:divBdr>
                  <w:divsChild>
                    <w:div w:id="1947075167">
                      <w:marLeft w:val="-15"/>
                      <w:marRight w:val="-15"/>
                      <w:marTop w:val="0"/>
                      <w:marBottom w:val="0"/>
                      <w:divBdr>
                        <w:top w:val="none" w:sz="0" w:space="0" w:color="auto"/>
                        <w:left w:val="none" w:sz="0" w:space="0" w:color="auto"/>
                        <w:bottom w:val="none" w:sz="0" w:space="0" w:color="auto"/>
                        <w:right w:val="none" w:sz="0" w:space="0" w:color="auto"/>
                      </w:divBdr>
                      <w:divsChild>
                        <w:div w:id="17200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33274365818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ult.moretonbay.qld.gov.au/portal/mbrcpsv3?pointId=s133274365818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0"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3211</Words>
  <Characters>18309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21478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2021-10-13T01:43:00Z</dcterms:created>
  <dcterms:modified xsi:type="dcterms:W3CDTF">2021-11-11T06:08:00Z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A19440202</vt:lpwstr>
  </property>
  <property fmtid="{D5CDD505-2E9C-101B-9397-08002B2CF9AE}" pid="4" name="Objective-Title">
    <vt:lpwstr>9.4.1.3.1 Interim precinct Assessable - UPDATED</vt:lpwstr>
  </property>
  <property fmtid="{D5CDD505-2E9C-101B-9397-08002B2CF9AE}" pid="5" name="Objective-Comment">
    <vt:lpwstr/>
  </property>
  <property fmtid="{D5CDD505-2E9C-101B-9397-08002B2CF9AE}" pid="6" name="Objective-CreationStamp">
    <vt:filetime>2019-12-06T00:38:13Z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2020-01-07T05:41:53Z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