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090"/>
        <w:gridCol w:w="474"/>
        <w:gridCol w:w="30"/>
        <w:gridCol w:w="44"/>
        <w:gridCol w:w="76"/>
        <w:gridCol w:w="30"/>
        <w:gridCol w:w="30"/>
        <w:gridCol w:w="30"/>
        <w:gridCol w:w="30"/>
        <w:gridCol w:w="5922"/>
        <w:gridCol w:w="41"/>
        <w:gridCol w:w="71"/>
        <w:gridCol w:w="37"/>
        <w:gridCol w:w="30"/>
        <w:gridCol w:w="2272"/>
        <w:gridCol w:w="36"/>
        <w:gridCol w:w="87"/>
        <w:gridCol w:w="76"/>
        <w:gridCol w:w="30"/>
        <w:gridCol w:w="54"/>
        <w:gridCol w:w="30"/>
        <w:gridCol w:w="2785"/>
        <w:gridCol w:w="35"/>
        <w:gridCol w:w="58"/>
      </w:tblGrid>
      <w:tr w:rsidR="00A25512" w:rsidRPr="00201716" w:rsidTr="00A25512">
        <w:trPr>
          <w:tblCellSpacing w:w="15" w:type="dxa"/>
        </w:trPr>
        <w:tc>
          <w:tcPr>
            <w:tcW w:w="15338" w:type="dxa"/>
            <w:gridSpan w:val="24"/>
            <w:tcBorders>
              <w:top w:val="nil"/>
              <w:left w:val="nil"/>
              <w:bottom w:val="nil"/>
              <w:right w:val="nil"/>
            </w:tcBorders>
            <w:shd w:val="clear" w:color="auto" w:fill="CCCCCC"/>
            <w:vAlign w:val="center"/>
            <w:hideMark/>
          </w:tcPr>
          <w:p w:rsidR="00A25512" w:rsidRPr="00201716" w:rsidRDefault="00A25512" w:rsidP="00510260">
            <w:pPr>
              <w:spacing w:line="225" w:lineRule="atLeast"/>
              <w:jc w:val="center"/>
              <w:rPr>
                <w:rStyle w:val="Strong"/>
                <w:rFonts w:ascii="Arial" w:eastAsia="Times New Roman" w:hAnsi="Arial" w:cs="Arial"/>
                <w:sz w:val="20"/>
                <w:szCs w:val="20"/>
              </w:rPr>
            </w:pPr>
            <w:bookmarkStart w:id="0" w:name="_Hlk26874976"/>
            <w:r w:rsidRPr="00201716">
              <w:rPr>
                <w:rStyle w:val="Strong"/>
                <w:rFonts w:ascii="Arial" w:eastAsia="Times New Roman" w:hAnsi="Arial" w:cs="Arial"/>
                <w:sz w:val="20"/>
                <w:szCs w:val="20"/>
              </w:rPr>
              <w:t>Table 7.2.1.3.2 Assessable development - Kippa-Ring station precinct</w:t>
            </w: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Performance outcomes</w:t>
            </w:r>
          </w:p>
        </w:tc>
        <w:tc>
          <w:tcPr>
            <w:tcW w:w="6132" w:type="dxa"/>
            <w:gridSpan w:val="7"/>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Examples that achieve aspects of the Performance Outcomes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3754F8">
            <w:pPr>
              <w:pStyle w:val="NormalWeb"/>
              <w:spacing w:before="0" w:beforeAutospacing="0" w:after="0" w:afterAutospacing="0"/>
              <w:rPr>
                <w:rFonts w:ascii="Arial" w:hAnsi="Arial" w:cs="Arial"/>
                <w:b/>
                <w:bCs/>
                <w:sz w:val="20"/>
                <w:szCs w:val="20"/>
              </w:rPr>
            </w:pPr>
            <w:r w:rsidRPr="00201716">
              <w:rPr>
                <w:rFonts w:ascii="Arial" w:hAnsi="Arial" w:cs="Arial"/>
                <w:b/>
                <w:bCs/>
                <w:sz w:val="20"/>
                <w:szCs w:val="20"/>
              </w:rPr>
              <w:t>E Compliance</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Yes</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No See PO or</w:t>
            </w:r>
          </w:p>
          <w:p w:rsidR="003754F8" w:rsidRPr="00201716" w:rsidRDefault="003754F8" w:rsidP="003754F8">
            <w:pPr>
              <w:pStyle w:val="NormalWeb"/>
              <w:numPr>
                <w:ilvl w:val="0"/>
                <w:numId w:val="14"/>
              </w:numPr>
              <w:spacing w:before="0" w:beforeAutospacing="0" w:after="0" w:afterAutospacing="0"/>
              <w:rPr>
                <w:rStyle w:val="Strong"/>
                <w:rFonts w:ascii="Arial" w:hAnsi="Arial" w:cs="Arial"/>
                <w:sz w:val="20"/>
                <w:szCs w:val="20"/>
              </w:rPr>
            </w:pPr>
            <w:r w:rsidRPr="00201716">
              <w:rPr>
                <w:rFonts w:ascii="Arial" w:hAnsi="Arial" w:cs="Arial"/>
                <w:b/>
                <w:bCs/>
                <w:sz w:val="20"/>
                <w:szCs w:val="20"/>
              </w:rPr>
              <w:t>NA</w:t>
            </w: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r w:rsidRPr="00201716">
              <w:rPr>
                <w:rFonts w:ascii="Arial" w:hAnsi="Arial" w:cs="Arial"/>
                <w:b/>
                <w:bCs/>
                <w:sz w:val="20"/>
                <w:szCs w:val="20"/>
              </w:rPr>
              <w:t>Justification for compliance</w:t>
            </w:r>
          </w:p>
        </w:tc>
      </w:tr>
      <w:tr w:rsidR="00A25512" w:rsidRPr="00201716" w:rsidTr="00A25512">
        <w:trPr>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Style w:val="Strong"/>
                <w:rFonts w:ascii="Arial" w:hAnsi="Arial" w:cs="Arial"/>
                <w:sz w:val="20"/>
                <w:szCs w:val="20"/>
              </w:rPr>
            </w:pPr>
            <w:r w:rsidRPr="00201716">
              <w:rPr>
                <w:rStyle w:val="Strong"/>
                <w:rFonts w:ascii="Arial" w:hAnsi="Arial" w:cs="Arial"/>
                <w:sz w:val="20"/>
                <w:szCs w:val="20"/>
              </w:rPr>
              <w:t>General criteria</w:t>
            </w: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Role of the precinct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is consistent with the intended role of the precinct as a destination transit hub that serves as a gateway to the Redcliffe Peninsular centred on the railway station and bus interchange</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supports the use of the station plaza as a place for the community and commuters to gather.</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Setbacks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 building setbacks ensure buildings address and actively interface with streets and public spaces.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Side and rear setbacks are of a dimension to:</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lastRenderedPageBreak/>
              <w:t>ensure impacts from the use are buffered an ameliorated;</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compatible with established setbacks;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is sufficient to minimise overlooking and maintain privacy of adjoining properties;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is sufficient to ensure development is not visually dominant or overbearing on adjoining properties.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Minimum setback of all buildings and structures, unless otherwise indicated in a precinct, is:</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t>Side boundary - 3m;</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lastRenderedPageBreak/>
              <w:t>Rear boundary - 3m.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Site area</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Site area is sufficient in area and dimension to accommodate the use, buildings and structures as well as required buffering measures, treatments, access, parking and manoeuvring.</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315"/>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Building height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of a height, scale and bulk which:</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respect existing amenity and character;</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minimise the visual impact of large-scale built form;</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do not result in a significant loss of amenity;</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allows for distinctive and innovative design outcomes on prominent sites.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 height does not exceed the maximum height identified on Overlay map – Building heights.</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Built form</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designed and constructed to:</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incorporate a mix of colours and high quality materials to add diversification to treatments and finishes;</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avoid blank walls through façade articulation to create visual interest and deter graffiti and vandalism;</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activate and address the street, public areas and public open space;</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reduce cluttering of plant and equipment on building roofs.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Personal and property safety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10260">
        <w:trPr>
          <w:trHeight w:val="1067"/>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structures and spaces are designed and constructed to create a safe and secure environment by incorporating key crime prevention through environmental design principles (CPTED), including:</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casual surveillance opportunities and sight lines;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way-finding cues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defined different uses and private and public ownership through adequate fencing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 xml:space="preserve">light illuminates pathways and potential entrapment areas as well as maximising </w:t>
            </w:r>
            <w:r w:rsidRPr="00201716">
              <w:rPr>
                <w:rFonts w:ascii="Arial" w:hAnsi="Arial" w:cs="Arial"/>
                <w:sz w:val="20"/>
                <w:szCs w:val="20"/>
              </w:rPr>
              <w:lastRenderedPageBreak/>
              <w:t>opportunities for penetration of natural light into spaces;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minimise predictable routes and entrapment locations.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Amenity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amenity of the area and adjacent sensitive land uses are protected from the impacts of dust, odour, noise, light, chemicals and other environmental nuisances.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Accessibility and permeability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contributes to greater permeability within the precinct by facilitating a network of convenient and safe pedestrian walkways, cycle ways and mid block connections.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Car parking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car parking associated with an activity:</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provides safe and convenient on-site parking and manoeuvring to meet anticipated parking demand;</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does not result adverse impacts on the efficient and safe functioning of the road network;</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 xml:space="preserve">does not compromise the ongoing operation of existing </w:t>
            </w:r>
            <w:r w:rsidRPr="00201716">
              <w:rPr>
                <w:rFonts w:ascii="Arial" w:hAnsi="Arial" w:cs="Arial"/>
                <w:sz w:val="20"/>
                <w:szCs w:val="20"/>
              </w:rPr>
              <w:lastRenderedPageBreak/>
              <w:t>or planned infrastructure and utilities.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Refer to Planning scheme policy - Integrated transport assessment for guidance on how to achieve compliance with this outcome.</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Car parking is provided in accordance with Schedule 7 -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design of car parking areas:</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does not impact on the safety of the external road network;</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ensures the safety of pedestrians at all times;</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ensures the safe movement of vehicles within the site.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car parking areas are designed and constructed in accordance with Australian Standard AS2890.1 Parking facilities Part 1: Off-street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Loading and servicing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E31D7">
        <w:trPr>
          <w:trHeight w:val="784"/>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Loading and servicing areas:</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not visible from the street frontage;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integrated into the design of the building;</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include screening and buffers to reduce negative;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impacts on adjoining sensitive land uses are consolidated and shared with adjoining sites, where possible.</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t>Note - An access easement may be required to be registered to ensure shared access between properties is permitted.</w:t>
            </w:r>
          </w:p>
          <w:p w:rsidR="005E31D7" w:rsidRDefault="00510260" w:rsidP="005E31D7">
            <w:pPr>
              <w:pStyle w:val="NormalWeb"/>
              <w:rPr>
                <w:rFonts w:ascii="Arial" w:hAnsi="Arial" w:cs="Arial"/>
                <w:sz w:val="20"/>
                <w:szCs w:val="20"/>
              </w:rPr>
            </w:pPr>
            <w:r w:rsidRPr="00201716">
              <w:rPr>
                <w:rFonts w:ascii="Arial" w:hAnsi="Arial" w:cs="Arial"/>
                <w:sz w:val="20"/>
                <w:szCs w:val="20"/>
              </w:rPr>
              <w:lastRenderedPageBreak/>
              <w:t>Note - Refer to Planning scheme policy - Centre and neighbourhood hub design.</w:t>
            </w:r>
          </w:p>
          <w:p w:rsidR="005E31D7" w:rsidRPr="005E31D7" w:rsidRDefault="005E31D7" w:rsidP="005E31D7"/>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Waste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Bins and bin storage areas are provided, designed and managed in accordance with Planning scheme policy – Waste.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in the Planning scheme policy - Waste and is demonstrated in a waste management program.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Landscaping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Landscaping and screening is provided in a manner that: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achieves a high level of privacy and amenity to sensitive land use on adjoining properties and when viewed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reduces the visual impact of building bulk and presence and hard surface areas on the local character and amenity of adjoining sensitive land use and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creates a secure and safe environment by incorporating key elements of crime prevention through environmental design;</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achieves the design principles outlined in Planning scheme policy - Integrated design.</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Noise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rHeight w:val="2895"/>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PO15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generating uses do not adversely affect existing or potential noise sensitive uses.  </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t>Note - The use of walls, barriers or fences that are visible from or adjoin a road or public area are not appropriate noise attenuation measures.</w:t>
            </w:r>
          </w:p>
          <w:p w:rsidR="00510260" w:rsidRPr="00201716" w:rsidRDefault="00510260" w:rsidP="00510260">
            <w:pPr>
              <w:pStyle w:val="NormalWeb"/>
              <w:rPr>
                <w:rFonts w:ascii="Arial" w:hAnsi="Arial" w:cs="Arial"/>
                <w:sz w:val="20"/>
                <w:szCs w:val="20"/>
              </w:rPr>
            </w:pPr>
            <w:r w:rsidRPr="005E31D7">
              <w:rPr>
                <w:rFonts w:ascii="Arial" w:hAnsi="Arial" w:cs="Arial"/>
                <w:sz w:val="18"/>
                <w:szCs w:val="20"/>
              </w:rPr>
              <w:t>Note - A noise impact assessment may be required to demonstrate compliance with this PO.  Noise impact assessments are to be prepared in accordance with Planning scheme policy - Noise.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Sensitive land uses are provided with an appropriate acoustic environment within designated external private outdoor living spaces and internal areas while:</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maintaining the amenity of the streetscape. </w:t>
            </w:r>
          </w:p>
          <w:p w:rsidR="003754F8" w:rsidRPr="005E31D7" w:rsidRDefault="00510260" w:rsidP="00510260">
            <w:pPr>
              <w:rPr>
                <w:rFonts w:ascii="Arial" w:eastAsia="Times New Roman" w:hAnsi="Arial" w:cs="Arial"/>
                <w:sz w:val="18"/>
                <w:szCs w:val="20"/>
              </w:rPr>
            </w:pPr>
            <w:r w:rsidRPr="005E31D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p w:rsidR="00510260" w:rsidRPr="00201716" w:rsidRDefault="00510260" w:rsidP="00510260">
            <w:pPr>
              <w:rPr>
                <w:rFonts w:ascii="Arial" w:eastAsia="Times New Roman" w:hAnsi="Arial" w:cs="Arial"/>
                <w:sz w:val="20"/>
                <w:szCs w:val="20"/>
              </w:rPr>
            </w:pPr>
          </w:p>
          <w:p w:rsidR="00510260" w:rsidRPr="00201716" w:rsidRDefault="00510260" w:rsidP="00510260">
            <w:pPr>
              <w:rPr>
                <w:rFonts w:ascii="Arial" w:eastAsia="Times New Roman" w:hAnsi="Arial" w:cs="Arial"/>
                <w:sz w:val="20"/>
                <w:szCs w:val="20"/>
              </w:rPr>
            </w:pPr>
            <w:r w:rsidRPr="005E31D7">
              <w:rPr>
                <w:rFonts w:ascii="Arial" w:eastAsia="Times New Roman" w:hAnsi="Arial" w:cs="Arial"/>
                <w:sz w:val="18"/>
                <w:szCs w:val="20"/>
              </w:rPr>
              <w:lastRenderedPageBreak/>
              <w:t>Note - Refer to Planning Scheme Policy – Integrated design for details and examples of noise attenuation structures.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outlined in the Planning Scheme Policy – Noise.</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attenuation structures (e.g. walls, barriers or fences):</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visible from an adjoining road or public area unless:</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a motorway or rail line; or</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remove existing or prevent future active transport routes or connections to the street network;</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2"/>
            </w:tblGrid>
            <w:tr w:rsidR="003754F8" w:rsidRPr="00201716" w:rsidTr="00510260">
              <w:trPr>
                <w:tblCellSpacing w:w="15" w:type="dxa"/>
              </w:trPr>
              <w:tc>
                <w:tcPr>
                  <w:tcW w:w="1044" w:type="dxa"/>
                  <w:vAlign w:val="center"/>
                  <w:hideMark/>
                </w:tcPr>
                <w:p w:rsidR="003754F8"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Planning scheme policy – Integrated design for details and examples of noise attenuation structures.</w:t>
                  </w:r>
                </w:p>
              </w:tc>
            </w:tr>
            <w:tr w:rsidR="003754F8" w:rsidRPr="00201716" w:rsidTr="00510260">
              <w:trPr>
                <w:tblCellSpacing w:w="15" w:type="dxa"/>
              </w:trPr>
              <w:tc>
                <w:tcPr>
                  <w:tcW w:w="1044" w:type="dxa"/>
                  <w:vAlign w:val="center"/>
                  <w:hideMark/>
                </w:tcPr>
                <w:p w:rsidR="00510260"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Overlay map – Active transport for future active transport routes.</w:t>
                  </w:r>
                </w:p>
              </w:tc>
            </w:tr>
          </w:tbl>
          <w:p w:rsidR="003754F8" w:rsidRPr="00201716" w:rsidRDefault="003754F8" w:rsidP="00510260">
            <w:pPr>
              <w:rPr>
                <w:rFonts w:ascii="Arial" w:eastAsia="Times New Roman"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Lighting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Lighting is designed to provide adequate levels of illumination to public and communal spaces to maximise safety while minimising adverse impacts on sensitive land uses.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Clearing of habitat trees where not located within the Environmental areas overlay map</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PO18</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ensures that the biodiversity quality and integrity of habitats is not adversely impacted upon but maintained and protected.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 xml:space="preserve">Development does not result in soil erosion or land degradation or leave land exposed for an unreasonable period of time but is </w:t>
            </w:r>
            <w:r w:rsidRPr="00201716">
              <w:rPr>
                <w:rFonts w:ascii="Arial" w:hAnsi="Arial" w:cs="Arial"/>
                <w:sz w:val="20"/>
                <w:szCs w:val="20"/>
              </w:rPr>
              <w:lastRenderedPageBreak/>
              <w:t>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Further guidance on habitat trees is provided in Planning scheme policy - Environmental areas</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225"/>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Style w:val="Strong"/>
                <w:rFonts w:ascii="Arial" w:hAnsi="Arial" w:cs="Arial"/>
                <w:sz w:val="20"/>
                <w:szCs w:val="20"/>
              </w:rPr>
            </w:pPr>
            <w:r w:rsidRPr="00201716">
              <w:rPr>
                <w:rStyle w:val="Strong"/>
                <w:rFonts w:ascii="Arial" w:hAnsi="Arial" w:cs="Arial"/>
                <w:sz w:val="20"/>
                <w:szCs w:val="20"/>
              </w:rPr>
              <w:t>Works criteria</w:t>
            </w:r>
          </w:p>
        </w:tc>
      </w:tr>
      <w:tr w:rsidR="003754F8" w:rsidRPr="00201716" w:rsidTr="00A25512">
        <w:trPr>
          <w:gridAfter w:val="1"/>
          <w:wAfter w:w="13" w:type="dxa"/>
          <w:tblCellSpacing w:w="15" w:type="dxa"/>
        </w:trPr>
        <w:tc>
          <w:tcPr>
            <w:tcW w:w="9752"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color w:val="000000"/>
                <w:sz w:val="20"/>
                <w:szCs w:val="20"/>
              </w:rPr>
            </w:pPr>
            <w:bookmarkStart w:id="1" w:name="_Hlk26875050"/>
            <w:bookmarkEnd w:id="0"/>
            <w:r w:rsidRPr="00201716">
              <w:rPr>
                <w:rStyle w:val="Strong"/>
                <w:rFonts w:ascii="Arial" w:hAnsi="Arial" w:cs="Arial"/>
                <w:color w:val="000000"/>
                <w:sz w:val="20"/>
                <w:szCs w:val="20"/>
              </w:rPr>
              <w:t>Utilities</w:t>
            </w:r>
          </w:p>
        </w:tc>
        <w:tc>
          <w:tcPr>
            <w:tcW w:w="2416"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c>
          <w:tcPr>
            <w:tcW w:w="3067" w:type="dxa"/>
            <w:gridSpan w:val="7"/>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r>
      <w:tr w:rsidR="003754F8" w:rsidRPr="00201716" w:rsidTr="00A25512">
        <w:trPr>
          <w:gridAfter w:val="1"/>
          <w:wAfter w:w="13" w:type="dxa"/>
          <w:tblCellSpacing w:w="15" w:type="dxa"/>
        </w:trPr>
        <w:tc>
          <w:tcPr>
            <w:tcW w:w="3519" w:type="dxa"/>
            <w:gridSpan w:val="2"/>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3754F8" w:rsidRPr="00201716" w:rsidRDefault="003754F8" w:rsidP="00510260">
            <w:pPr>
              <w:rPr>
                <w:rFonts w:ascii="Arial" w:eastAsia="Times New Roman" w:hAnsi="Arial" w:cs="Arial"/>
                <w:sz w:val="20"/>
                <w:szCs w:val="20"/>
              </w:rPr>
            </w:pPr>
          </w:p>
        </w:tc>
        <w:tc>
          <w:tcPr>
            <w:tcW w:w="6203"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416"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067"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9860" w:type="dxa"/>
            <w:gridSpan w:val="13"/>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sz w:val="20"/>
                <w:szCs w:val="20"/>
              </w:rPr>
            </w:pPr>
            <w:bookmarkStart w:id="2" w:name="_Hlk26875098"/>
            <w:bookmarkEnd w:id="1"/>
            <w:r w:rsidRPr="00201716">
              <w:rPr>
                <w:rStyle w:val="Strong"/>
                <w:rFonts w:ascii="Arial" w:hAnsi="Arial" w:cs="Arial"/>
                <w:sz w:val="20"/>
                <w:szCs w:val="20"/>
              </w:rPr>
              <w:t>Access</w:t>
            </w:r>
          </w:p>
        </w:tc>
        <w:tc>
          <w:tcPr>
            <w:tcW w:w="2395" w:type="dxa"/>
            <w:gridSpan w:val="4"/>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provides functional and integrated car parking and vehicle access, that:</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provides safety and security of people and property at all times;</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impede active transport options;</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does not impact on the safe and efficient movement of traffic external to the site;</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Centre and neighbourhood hub design for details and examples</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layout of the development does not compromise:</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development of the road network in the area;</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function or safety of the road network;</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Residential developments should consider amalgamation with the lot to the rear and gaining access via a laneway.</w:t>
                  </w:r>
                </w:p>
              </w:tc>
            </w:tr>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provides for the extension of the road network in the area in accordance with Council’s road network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The development does not compromise future road widening of frontage roads in accordance with the relevant standard and Council’s road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layout allows forward vehicular access to and from the site.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Safe access is provided for all vehicles required to access the site.</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Site access and driveways are designed, located and constructed in accordance with:</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not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AS/NZS2890.1 Parking facilities Part 1: Off street car parking;</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 2890.2 - Parking facilities Part 2: Off-street commercial vehicle facilities;</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Internal driveways, car parks and access ways are designed and constructed with a sealed pavement and in accordance with: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AS/NZS 2890.1 Parking Facilities Part 1: Off street car parking;</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 2890.2 Parking Facilities Part 2: Off street commercial vehicle facilities;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lastRenderedPageBreak/>
              <w:t>Planning scheme policy - Integrated design; and</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This includes queue lengths (refer to Schedule 8 - Service vehicle requirements), pavement widths and construction.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Landscaping (including shade trees) is provided within car parks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Editor's note - Where associated with a State-controlled road, further requirements may apply, and approvals 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Roads which provide access to the site from an arterial or sub-arterial road remain trafficable during major storm events without flooding or impacting </w:t>
            </w:r>
            <w:r w:rsidRPr="00201716">
              <w:rPr>
                <w:rFonts w:ascii="Arial" w:hAnsi="Arial" w:cs="Arial"/>
                <w:sz w:val="20"/>
                <w:szCs w:val="20"/>
              </w:rPr>
              <w:lastRenderedPageBreak/>
              <w:t>upon residential properties or other premises.</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w:t>
                  </w:r>
                </w:p>
              </w:tc>
            </w:tr>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requirements regarding trafficability</w:t>
                  </w:r>
                  <w:r w:rsidRPr="00201716">
                    <w:rPr>
                      <w:rFonts w:ascii="Arial" w:hAnsi="Arial" w:cs="Arial"/>
                      <w:sz w:val="20"/>
                      <w:szCs w:val="20"/>
                    </w:rPr>
                    <w:t>.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Culverts and causeways do not increase inundation levels or increase velocities, for all events up to the defined flood event, to upstream or downstream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3" w:name="_Hlk26875135"/>
            <w:bookmarkEnd w:id="2"/>
            <w:r w:rsidRPr="00201716">
              <w:rPr>
                <w:rStyle w:val="Strong"/>
                <w:rFonts w:ascii="Arial" w:hAnsi="Arial" w:cs="Arial"/>
                <w:sz w:val="20"/>
                <w:szCs w:val="20"/>
              </w:rPr>
              <w:t>Street design and layout</w:t>
            </w: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access to premises by providing convenient vehicular movement for residents between their homes and the major road network;</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safe and convenient pedestrian and cycle movement;</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adequate on street parking;</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stormwater drainage paths and treatment facilities;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efficient public transport routes;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utility services location;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emergency access and waste collection;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setting and approach (streetscape, landscaping and street furniture) for adjoining residences;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expected traffic speeds and volumes; and</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Note - Preliminary road design (including all services, street lighting, stormwater infrastructure, access locations, street trees and pedestrian network) may be required to demonstrate compliance with this PO.</w:t>
                  </w:r>
                </w:p>
              </w:tc>
            </w:tr>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Environmental areas and corridors for examples of when and where wildlife movement infrastructure is required.</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89" w:type="dxa"/>
            <w:gridSpan w:val="9"/>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is within 200m of a transport sensitive location such as a school, shopping centre, bus or train station or a large generator of pedestrian or vehicular traffic;</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access onto a sub arterial, or arterial road or within 100m of a signalised intersection;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Residential development greater than 50 lots or dwellings;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Offices greater than 4,000m</w:t>
                  </w:r>
                  <w:r w:rsidRPr="005E31D7">
                    <w:rPr>
                      <w:rFonts w:ascii="Arial" w:hAnsi="Arial" w:cs="Arial"/>
                      <w:sz w:val="18"/>
                      <w:szCs w:val="20"/>
                      <w:vertAlign w:val="superscript"/>
                    </w:rPr>
                    <w:t>2</w:t>
                  </w:r>
                  <w:r w:rsidRPr="005E31D7">
                    <w:rPr>
                      <w:rFonts w:ascii="Arial" w:hAnsi="Arial" w:cs="Arial"/>
                      <w:sz w:val="18"/>
                      <w:szCs w:val="20"/>
                    </w:rPr>
                    <w:t> Gross Floor Area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lastRenderedPageBreak/>
                    <w:t>Retail activities including Hardware and trade supplies, Showroom, Shop or Shopping centre greater than 1,000m</w:t>
                  </w:r>
                  <w:r w:rsidRPr="005E31D7">
                    <w:rPr>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Warehouses and Industry greater than 6,000m</w:t>
                  </w:r>
                  <w:r w:rsidRPr="005E31D7">
                    <w:rPr>
                      <w:rStyle w:val="Emphasis"/>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On-site carpark greater than 100 spaces;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has a trip generation rate of 100 vehicles or more within the peak hour;</w:t>
                  </w:r>
                </w:p>
                <w:p w:rsidR="003754F8" w:rsidRPr="00201716" w:rsidRDefault="003754F8" w:rsidP="003754F8">
                  <w:pPr>
                    <w:numPr>
                      <w:ilvl w:val="0"/>
                      <w:numId w:val="20"/>
                    </w:numPr>
                    <w:spacing w:before="100" w:beforeAutospacing="1" w:after="100" w:afterAutospacing="1"/>
                    <w:rPr>
                      <w:rFonts w:ascii="Arial" w:hAnsi="Arial" w:cs="Arial"/>
                      <w:sz w:val="20"/>
                      <w:szCs w:val="20"/>
                    </w:rPr>
                  </w:pPr>
                  <w:r w:rsidRPr="005E31D7">
                    <w:rPr>
                      <w:rFonts w:ascii="Arial" w:hAnsi="Arial" w:cs="Arial"/>
                      <w:sz w:val="18"/>
                      <w:szCs w:val="20"/>
                    </w:rPr>
                    <w:t>Development which dissects or significantly impacts on an environmental area or an environmental corridor.</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new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upgraded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active transport network is extended in accordance with Planning scheme policy - Integrated design.</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Council controlled frontage roads adjoining the development are designed and constructed in accordance with Planning scheme policy - Integrated </w:t>
            </w:r>
            <w:r w:rsidRPr="00201716">
              <w:rPr>
                <w:rFonts w:ascii="Arial" w:hAnsi="Arial" w:cs="Arial"/>
                <w:sz w:val="20"/>
                <w:szCs w:val="20"/>
              </w:rPr>
              <w:lastRenderedPageBreak/>
              <w:t>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Frontage roads include streets where no direct lot access is provided.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Design and construct all Council controlled frontage roads in accordance with Planning scheme policy - Integrated design, </w:t>
            </w:r>
            <w:r w:rsidRPr="00201716">
              <w:rPr>
                <w:rFonts w:ascii="Arial" w:hAnsi="Arial" w:cs="Arial"/>
                <w:sz w:val="20"/>
                <w:szCs w:val="20"/>
              </w:rPr>
              <w:lastRenderedPageBreak/>
              <w:t>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17"/>
              <w:gridCol w:w="2918"/>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construction</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unconstructed or gravel road only;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sealed but not constructed* to Planning scheme policy - Integrated design standard;</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minimum total travel lane width is: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6m for minor roads;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7m for major roads.</w:t>
                  </w:r>
                </w:p>
                <w:p w:rsidR="003754F8" w:rsidRPr="00201716" w:rsidRDefault="003754F8" w:rsidP="00510260">
                  <w:pPr>
                    <w:rPr>
                      <w:rFonts w:ascii="Arial" w:eastAsia="Times New Roman" w:hAnsi="Arial" w:cs="Arial"/>
                      <w:sz w:val="20"/>
                      <w:szCs w:val="20"/>
                    </w:rPr>
                  </w:pP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Major roads are sub-arterial roads and arterial roads.  Minor roads are roads that are not major roads.</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Construction includes all associated works (services, street lighting and linemarking).</w:t>
                  </w:r>
                </w:p>
              </w:tc>
            </w:tr>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Alignment within road reserves is to be agreed with Council.</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4" w:name="_Hlk26875202"/>
            <w:bookmarkEnd w:id="3"/>
            <w:r w:rsidRPr="00201716">
              <w:rPr>
                <w:rStyle w:val="Strong"/>
                <w:rFonts w:ascii="Arial" w:hAnsi="Arial" w:cs="Arial"/>
                <w:sz w:val="20"/>
                <w:szCs w:val="20"/>
              </w:rPr>
              <w:t>Stormwater</w:t>
            </w: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PO29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capacity of all minor drainage systems are designed in accordance with Planning scheme policy - Integrated design.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network capacity is to be calculated in accordance with the Hydraulic Grade Line method as detailed in Australian Rainfall and Runoff or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provided in accordance with the relevant level as identified in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Major stormwater drainage system(s) have the capacity to safely convey stormwater flows for the 1% AEP event for the fully developed upstream catchment.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internal drainage system safely and adequately conveys the stormwater flows for the 1% AEP event for the fully developed upstream catchment through the site.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201716" w:rsidTr="00510260">
              <w:trPr>
                <w:tblCellSpacing w:w="15" w:type="dxa"/>
              </w:trPr>
              <w:tc>
                <w:tcPr>
                  <w:tcW w:w="6091"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recommended average flow velocities.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stormwater drainage system is designed and constructed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for details.</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 xml:space="preserve">Note - A watercourse as defined in the Water Act may be accepted as a lawful </w:t>
                  </w:r>
                  <w:r w:rsidRPr="005E31D7">
                    <w:rPr>
                      <w:rFonts w:ascii="Arial" w:hAnsi="Arial" w:cs="Arial"/>
                      <w:sz w:val="18"/>
                      <w:szCs w:val="20"/>
                    </w:rPr>
                    <w:lastRenderedPageBreak/>
                    <w:t>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5E31D7">
                    <w:rPr>
                      <w:rFonts w:ascii="Arial" w:hAnsi="Arial" w:cs="Arial"/>
                      <w:sz w:val="18"/>
                      <w:szCs w:val="20"/>
                    </w:rPr>
                    <w:br/>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A downstream drainage discharge report in accordance with Planning scheme policy - Stormwater management may be required to demonstrate achievement of this performance outcome.</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development:</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rPr>
              <w:t>is for an urban purpose that involves a land area of 2500m</w:t>
            </w:r>
            <w:r w:rsidRPr="00201716">
              <w:rPr>
                <w:rFonts w:ascii="Arial" w:hAnsi="Arial" w:cs="Arial"/>
                <w:sz w:val="20"/>
                <w:szCs w:val="20"/>
                <w:vertAlign w:val="superscript"/>
              </w:rPr>
              <w:t>2</w:t>
            </w:r>
            <w:r w:rsidRPr="00201716">
              <w:rPr>
                <w:rFonts w:ascii="Arial" w:hAnsi="Arial" w:cs="Arial"/>
                <w:sz w:val="20"/>
                <w:szCs w:val="20"/>
              </w:rPr>
              <w:t xml:space="preserve"> or greater; and</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will result in:</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6 or more dwellings; or</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an </w:t>
            </w:r>
            <w:r w:rsidRPr="00201716">
              <w:rPr>
                <w:rFonts w:ascii="Arial" w:hAnsi="Arial" w:cs="Arial"/>
                <w:sz w:val="20"/>
                <w:szCs w:val="20"/>
              </w:rPr>
              <w:t>impervious area greater than 25% of the net developable area,</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stormwater quality management systems are designed, constructed, established and maintained to minimise the environmental impact of stormwater on </w:t>
            </w:r>
            <w:r w:rsidRPr="00201716">
              <w:rPr>
                <w:rFonts w:ascii="Arial" w:hAnsi="Arial" w:cs="Arial"/>
                <w:sz w:val="20"/>
                <w:szCs w:val="20"/>
              </w:rPr>
              <w:lastRenderedPageBreak/>
              <w:t>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32"/>
              <w:gridCol w:w="2933"/>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easement width (excluding access requirements)</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3.0m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4.0m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Easement boundary to be 1m clear of the outside wall of the stormwater pipe (each side). </w:t>
                  </w: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Additional easement width may be required in certain circumstances in order to facilitate maintenance access to the stormwater system. </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(Appendix C) for easement requirements over open channels.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management facilities (excluding outlets) are located outside of riparian areas and prevent increased channel bed and bank erosion.</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5" w:name="_Hlk26875274"/>
            <w:bookmarkEnd w:id="4"/>
            <w:r w:rsidRPr="00201716">
              <w:rPr>
                <w:rStyle w:val="Strong"/>
                <w:rFonts w:ascii="Arial" w:hAnsi="Arial" w:cs="Arial"/>
                <w:sz w:val="20"/>
                <w:szCs w:val="20"/>
              </w:rPr>
              <w:t>Site works and construction management</w:t>
            </w: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site and any existing structures are maintained in a tidy and safe condition.</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works on-site are managed to:</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minimise as far as practicable, impacts on adjoining or adjacent premises and the streetscape in regard to erosion and sedimentation, dust, noise, safety and light;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minimise as far as possible, impacts on the natural environment;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ensure stormwater discharge is managed in a manner that does not cause actionable nuisance to any person or premises;</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avoid adverse impacts on street trees and their critical root zone.</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is not discharged to adjacent properties in a manner that differs significantly from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discharged to adjoining and downstream properties does not cause scour or erosion of any kind;</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 rates do not exceed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minimum design storm for all temporary diversion drains and sedimentation basins in accordance with Schedule 10 - Stormwater management design objectives;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ponding or concentration of stormwater does not occur on adjoining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measures are adjusted on-site to maximise their effectiveness.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Dust suppression measures are implemented during soil disturbances and construction works to protect nearby premises from unreasonable dust impacts.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dust emissions extend beyond the boundaries of the site during soil disturbances and construction works.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development works including the transportation of material to and from the site are managed to not negatively impact the existing road network, the </w:t>
            </w:r>
            <w:r w:rsidRPr="00201716">
              <w:rPr>
                <w:rFonts w:ascii="Arial" w:hAnsi="Arial" w:cs="Arial"/>
                <w:sz w:val="20"/>
                <w:szCs w:val="20"/>
              </w:rPr>
              <w:lastRenderedPageBreak/>
              <w:t>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haulage route must be identified and approved by Council where imported or exported material is transported to the site via a road of Local Collector standard or less, and:</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t>the aggregate volume of imported or exported material is greater than 1000m3; or</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t>the aggregate volume of imported or exported material is greater than 200m3 per day; or</w:t>
                  </w:r>
                </w:p>
                <w:p w:rsidR="003754F8" w:rsidRPr="005E31D7" w:rsidRDefault="00FF5747" w:rsidP="00FF5747">
                  <w:pPr>
                    <w:pStyle w:val="NormalWeb"/>
                    <w:numPr>
                      <w:ilvl w:val="0"/>
                      <w:numId w:val="62"/>
                    </w:numPr>
                    <w:rPr>
                      <w:rFonts w:ascii="Arial" w:hAnsi="Arial" w:cs="Arial"/>
                      <w:sz w:val="18"/>
                      <w:szCs w:val="20"/>
                    </w:rPr>
                  </w:pPr>
                  <w:r w:rsidRPr="005E31D7">
                    <w:rPr>
                      <w:rFonts w:ascii="Arial" w:hAnsi="Arial" w:cs="Arial"/>
                      <w:sz w:val="18"/>
                      <w:szCs w:val="20"/>
                    </w:rPr>
                    <w:t>the proposed haulage route involves a vulnerable land use or shopping centre.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(including photographs) may be required for the haulage route to demonstrate compliance with this PO.</w:t>
                  </w:r>
                </w:p>
              </w:tc>
            </w:tr>
            <w:tr w:rsidR="003754F8" w:rsidRPr="005E31D7"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Where associated with a State-controlled road, further requirements may apply, and approval 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3754F8" w:rsidRPr="00201716" w:rsidRDefault="003754F8" w:rsidP="00510260">
            <w:pPr>
              <w:spacing w:after="240"/>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Any material dropped, deposited or spilled on the road(s) as a result of construction processes associated with the site are to be cleaned at all times.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may be required to demonstrate compliance with this 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to the development site is obtained via an existing lawful access point.</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Integrated design for details.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At completion of construction all disturbed areas of the site are to be:</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topsoiled with a minimum compacted thickness of fifty (50) millimetres;</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These areas are to be maintained during any maintenance period to maximise grass coverage.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Soil disturbances are staged into manageable areas of not greater than 3.5 ha.</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clearing of vegetation on-site:</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 xml:space="preserve">is limited to the area of infrastructure works, building </w:t>
            </w:r>
            <w:r w:rsidRPr="00201716">
              <w:rPr>
                <w:rFonts w:ascii="Arial" w:hAnsi="Arial" w:cs="Arial"/>
                <w:sz w:val="20"/>
                <w:szCs w:val="20"/>
              </w:rPr>
              <w:lastRenderedPageBreak/>
              <w:t>areas and other necessary areas for the works; 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includes the removal of declared weeds and other materials which are detrimental to the intended use of the land;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No burning of cleared vegetation is permitted.</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No parking of vehicles or storage of machinery or goods is to occur in these areas during development works.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Disposal of materials is managed in one or more of the following ways:</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cleared vegetation, declared weeds, stumps, rubbish, car bodies, scrap metal and the like are removed and disposed of in a Council land fill facility; or</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chipped vegetation must be stored in an</w:t>
                  </w:r>
                  <w:r w:rsidR="00FF5747" w:rsidRPr="005E31D7">
                    <w:rPr>
                      <w:rFonts w:ascii="Arial" w:hAnsi="Arial" w:cs="Arial"/>
                      <w:sz w:val="18"/>
                      <w:szCs w:val="20"/>
                    </w:rPr>
                    <w:t xml:space="preserve"> </w:t>
                  </w:r>
                  <w:r w:rsidRPr="005E31D7">
                    <w:rPr>
                      <w:rFonts w:ascii="Arial" w:hAnsi="Arial" w:cs="Arial"/>
                      <w:sz w:val="18"/>
                      <w:szCs w:val="20"/>
                    </w:rPr>
                    <w:t>approved location.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development works are carried out at times which minimise noise impacts to residents.</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development works are carried out within the following times:</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Monday to Saturday (other than public holidays) between 6:30am and 6:30pm on the same day;</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6" w:name="_Hlk26875325"/>
            <w:bookmarkEnd w:id="5"/>
            <w:r w:rsidRPr="00201716">
              <w:rPr>
                <w:rStyle w:val="Strong"/>
                <w:rFonts w:ascii="Arial" w:hAnsi="Arial" w:cs="Arial"/>
                <w:sz w:val="20"/>
                <w:szCs w:val="20"/>
              </w:rPr>
              <w:t>Earthworks</w:t>
            </w: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PO46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earthworks are designed to consider the visual and amenity impact as they relate to:</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natural topographical features of the 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short and long-term slope stability;</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soft or compressible foundation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reactive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low density or potentially collapsing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existing fill and soil contamination that may exist on-site;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stability and maintenance of steep slopes and batters;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excavation (cut) and fill and impacts on the amenity of adjoining lots (e.g. residential). </w:t>
            </w:r>
          </w:p>
          <w:p w:rsidR="003754F8" w:rsidRPr="00201716" w:rsidRDefault="003754F8" w:rsidP="00510260">
            <w:pPr>
              <w:spacing w:after="240"/>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Stabilisation measures are provided, as necessary, to ensure long-term stability and low maintenance of steep slopes and batters.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Inspection and certification of steep slopes and batters is required by a suitably qualified and experienced RPEQ.</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filling or excavation is contained on-site and is free draining.</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 placed on-site is:</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limited to that area necessary for the approved use;</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clean and uncontaminated (i.e. no building waste, concrete, green waste, actual acid sulfate soils, potential acid sulfate soils or contaminated material etc.).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fill is to be inspected and tested in accordance with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PO47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Embankments are stepped, terraced and landscaped to not adversely impact on the visual amenity of the surrounding area.</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E47</w:t>
            </w:r>
          </w:p>
          <w:p w:rsidR="003754F8" w:rsidRDefault="003754F8" w:rsidP="00510260">
            <w:pPr>
              <w:pStyle w:val="NormalWeb"/>
              <w:rPr>
                <w:rFonts w:ascii="Arial" w:hAnsi="Arial" w:cs="Arial"/>
                <w:sz w:val="20"/>
                <w:szCs w:val="20"/>
              </w:rPr>
            </w:pPr>
            <w:r w:rsidRPr="00201716">
              <w:rPr>
                <w:rFonts w:ascii="Arial" w:hAnsi="Arial" w:cs="Arial"/>
                <w:sz w:val="20"/>
                <w:szCs w:val="20"/>
              </w:rPr>
              <w:t>Any embankments more than 1.5 metres in height are stepped, terraced and landscaped.</w:t>
            </w:r>
          </w:p>
          <w:p w:rsidR="005E31D7" w:rsidRPr="00201716" w:rsidRDefault="005E31D7" w:rsidP="005E31D7">
            <w:pPr>
              <w:pStyle w:val="NormalWeb"/>
              <w:jc w:val="center"/>
              <w:rPr>
                <w:rFonts w:ascii="Arial" w:hAnsi="Arial" w:cs="Arial"/>
                <w:sz w:val="20"/>
                <w:szCs w:val="20"/>
              </w:rPr>
            </w:pPr>
            <w:r w:rsidRPr="005E31D7">
              <w:rPr>
                <w:rFonts w:ascii="Arial" w:hAnsi="Arial" w:cs="Arial"/>
                <w:b/>
                <w:bCs/>
                <w:sz w:val="20"/>
                <w:szCs w:val="20"/>
              </w:rPr>
              <w:t>Figure - Embankment</w:t>
            </w:r>
          </w:p>
          <w:p w:rsidR="003754F8" w:rsidRPr="00201716" w:rsidRDefault="005E31D7" w:rsidP="00510260">
            <w:pPr>
              <w:pStyle w:val="NormalWeb"/>
              <w:jc w:val="center"/>
              <w:rPr>
                <w:rFonts w:ascii="Arial" w:hAnsi="Arial" w:cs="Arial"/>
                <w:sz w:val="20"/>
                <w:szCs w:val="20"/>
              </w:rPr>
            </w:pPr>
            <w:r>
              <w:rPr>
                <w:noProof/>
              </w:rPr>
              <w:drawing>
                <wp:inline distT="0" distB="0" distL="0" distR="0" wp14:anchorId="2DBA1A24" wp14:editId="4CDCF337">
                  <wp:extent cx="3855085" cy="147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5085" cy="1475740"/>
                          </a:xfrm>
                          <a:prstGeom prst="rect">
                            <a:avLst/>
                          </a:prstGeom>
                        </pic:spPr>
                      </pic:pic>
                    </a:graphicData>
                  </a:graphic>
                </wp:inline>
              </w:drawing>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is undertaken in a manner that:</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does not adversely impact on a Council or public sector entity maintained infrastructure or any drainage feature on, or adjacent to the land;</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Public sector entity is defined in Schedule 2 of the Act.</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Public sector entity is defined in Schedule 2 of the Act</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that would result in any of the following is not carried out on-site:</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 reduction in cover over any Council or public sector entity infrastructure service to less than 600mm;</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 xml:space="preserve">prevent reasonable access to Council or public sector entity maintained infrastructure or any drainage feature on, or </w:t>
            </w:r>
            <w:r w:rsidRPr="00201716">
              <w:rPr>
                <w:rFonts w:ascii="Arial" w:hAnsi="Arial" w:cs="Arial"/>
                <w:sz w:val="20"/>
                <w:szCs w:val="20"/>
              </w:rPr>
              <w:lastRenderedPageBreak/>
              <w:t>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Public sector entity is defined in Schedule 2 of the Act.</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building work covered by QDC MP1.4 is excluded from this provision.</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adverse impacts on the hydrological and hydraulic capacity of the waterway or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increased flood inundation outside the site;</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reduction in the flood storage capacity in the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To demonstrate compliance with this outcome, Planning Scheme Policy - Stormwater Management provides guidance on the preparation of a site based</w:t>
                  </w:r>
                  <w:r w:rsidR="008055DD" w:rsidRPr="005E31D7">
                    <w:rPr>
                      <w:rFonts w:ascii="Arial" w:hAnsi="Arial" w:cs="Arial"/>
                      <w:sz w:val="18"/>
                      <w:szCs w:val="20"/>
                    </w:rPr>
                    <w:t xml:space="preserve"> </w:t>
                  </w:r>
                  <w:r w:rsidRPr="005E31D7">
                    <w:rPr>
                      <w:rFonts w:ascii="Arial" w:hAnsi="Arial" w:cs="Arial"/>
                      <w:sz w:val="18"/>
                      <w:szCs w:val="20"/>
                    </w:rPr>
                    <w:t xml:space="preserve">stormwater management plan </w:t>
                  </w:r>
                  <w:r w:rsidRPr="005E31D7">
                    <w:rPr>
                      <w:rFonts w:ascii="Arial" w:hAnsi="Arial" w:cs="Arial"/>
                      <w:sz w:val="18"/>
                      <w:szCs w:val="20"/>
                    </w:rPr>
                    <w:lastRenderedPageBreak/>
                    <w:t>by a suitably qualified professional. Refer to Planning scheme policy - Integrated design for guidance on infrastructure design and modelling requirements.</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and excavation undertaken on the development site are shaped in a manner which does not:</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prevent stormwater surface flow which, prior to commencement of the earthworks, passed onto the development site, from entering the land;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redirect stormwater surface flow away from existing flow paths;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divert stormwater surface flow onto adjacent land, (other than a road), in a manner which: </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concentrates the flow;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increases the flow rates of stormwater over the affected section of the adjacent land above the situation which existed prior to the diversion;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causes actionable nuisance to any person, property or premises.</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69"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bookmarkStart w:id="7" w:name="_Hlk26875547"/>
            <w:bookmarkEnd w:id="6"/>
            <w:r w:rsidRPr="00201716">
              <w:rPr>
                <w:rStyle w:val="Strong"/>
                <w:rFonts w:ascii="Arial" w:hAnsi="Arial" w:cs="Arial"/>
                <w:sz w:val="20"/>
                <w:szCs w:val="20"/>
              </w:rPr>
              <w:t>PO52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79"/>
            </w:tblGrid>
            <w:tr w:rsidR="003754F8" w:rsidRPr="00201716" w:rsidTr="00510260">
              <w:trPr>
                <w:tblCellSpacing w:w="15" w:type="dxa"/>
              </w:trPr>
              <w:tc>
                <w:tcPr>
                  <w:tcW w:w="3484"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Residential design for guidance on how to achieve compliance with this performance outcome.</w:t>
                  </w:r>
                </w:p>
              </w:tc>
            </w:tr>
          </w:tbl>
          <w:p w:rsidR="003754F8" w:rsidRPr="00201716" w:rsidRDefault="003754F8" w:rsidP="00510260">
            <w:pPr>
              <w:rPr>
                <w:rFonts w:ascii="Arial" w:eastAsia="Times New Roman" w:hAnsi="Arial" w:cs="Arial"/>
                <w:sz w:val="20"/>
                <w:szCs w:val="20"/>
              </w:rPr>
            </w:pPr>
          </w:p>
        </w:tc>
        <w:tc>
          <w:tcPr>
            <w:tcW w:w="6124"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 retaining structures: </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constructed of boulder rocks or timber;</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no greater than 900mm, are provided in accordance with Figure - Retaining on a boundary;</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Retaining on boundary</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lastRenderedPageBreak/>
              <w:drawing>
                <wp:inline distT="0" distB="0" distL="0" distR="0" wp14:anchorId="52CDD03A" wp14:editId="3CBA1969">
                  <wp:extent cx="2876550" cy="1838325"/>
                  <wp:effectExtent l="0" t="0" r="0" b="9525"/>
                  <wp:docPr id="29"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3754F8" w:rsidRPr="00201716" w:rsidRDefault="003754F8" w:rsidP="00510260">
            <w:pPr>
              <w:rPr>
                <w:rFonts w:ascii="Arial" w:eastAsia="Times New Roman" w:hAnsi="Arial" w:cs="Arial"/>
                <w:sz w:val="20"/>
                <w:szCs w:val="20"/>
              </w:rPr>
            </w:pP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1.5m, are to be setback and stepped 1.5m vertical: 1.5m horizontal, terraced, landscaped and drained as shown below.</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Cut</w:t>
            </w:r>
          </w:p>
          <w:p w:rsidR="003754F8"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A6DB0E7" wp14:editId="6D286D00">
                  <wp:extent cx="2876550" cy="2533650"/>
                  <wp:effectExtent l="0" t="0" r="0" b="0"/>
                  <wp:docPr id="30"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5E31D7" w:rsidRPr="00201716" w:rsidRDefault="005E31D7" w:rsidP="005E31D7">
            <w:pPr>
              <w:jc w:val="center"/>
              <w:rPr>
                <w:rFonts w:ascii="Arial" w:eastAsia="Times New Roman" w:hAnsi="Arial" w:cs="Arial"/>
                <w:sz w:val="20"/>
                <w:szCs w:val="20"/>
              </w:rPr>
            </w:pPr>
          </w:p>
          <w:p w:rsidR="003754F8" w:rsidRPr="00201716" w:rsidRDefault="003754F8" w:rsidP="00510260">
            <w:pPr>
              <w:rPr>
                <w:rFonts w:ascii="Arial" w:eastAsia="Times New Roman" w:hAnsi="Arial" w:cs="Arial"/>
                <w:sz w:val="20"/>
                <w:szCs w:val="20"/>
              </w:rPr>
            </w:pPr>
            <w:r w:rsidRPr="00201716">
              <w:rPr>
                <w:rFonts w:ascii="Arial" w:eastAsia="Times New Roman" w:hAnsi="Arial" w:cs="Arial"/>
                <w:sz w:val="20"/>
                <w:szCs w:val="20"/>
              </w:rPr>
              <w:t> </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lastRenderedPageBreak/>
              <w:t>Figure - Fill</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2EA8619" wp14:editId="3A27328B">
                  <wp:extent cx="3360313" cy="2567635"/>
                  <wp:effectExtent l="0" t="0" r="0" b="4445"/>
                  <wp:docPr id="31"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2"/>
                          <a:stretch/>
                        </pic:blipFill>
                        <pic:spPr bwMode="auto">
                          <a:xfrm>
                            <a:off x="0" y="0"/>
                            <a:ext cx="3369936" cy="2574988"/>
                          </a:xfrm>
                          <a:prstGeom prst="rect">
                            <a:avLst/>
                          </a:prstGeom>
                          <a:noFill/>
                          <a:ln>
                            <a:noFill/>
                          </a:ln>
                          <a:extLst>
                            <a:ext uri="{53640926-AAD7-44D8-BBD7-CCE9431645EC}">
                              <a14:shadowObscured xmlns:a14="http://schemas.microsoft.com/office/drawing/2010/main"/>
                            </a:ext>
                          </a:extLst>
                        </pic:spPr>
                      </pic:pic>
                    </a:graphicData>
                  </a:graphic>
                </wp:inline>
              </w:drawing>
            </w:r>
          </w:p>
          <w:p w:rsidR="003754F8" w:rsidRPr="00201716" w:rsidRDefault="003754F8" w:rsidP="00510260">
            <w:pPr>
              <w:spacing w:after="240"/>
              <w:rPr>
                <w:rFonts w:ascii="Arial" w:eastAsia="Times New Roman" w:hAnsi="Arial" w:cs="Arial"/>
                <w:sz w:val="20"/>
                <w:szCs w:val="20"/>
              </w:rPr>
            </w:pPr>
          </w:p>
        </w:tc>
        <w:tc>
          <w:tcPr>
            <w:tcW w:w="2538"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39" w:type="dxa"/>
            <w:gridSpan w:val="3"/>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bookmarkStart w:id="8" w:name="_Hlk26875588"/>
            <w:bookmarkEnd w:id="7"/>
            <w:r w:rsidRPr="00201716">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provisions under this heading only apply if:</w:t>
                  </w:r>
                </w:p>
                <w:p w:rsidR="00A25512" w:rsidRPr="00201716" w:rsidRDefault="00A25512" w:rsidP="003754F8">
                  <w:pPr>
                    <w:numPr>
                      <w:ilvl w:val="0"/>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the development is for, or incorporates:</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reconfiguring a lot for a community title scheme creating 1 or more vacant lots;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2 or more sole occupancy units on the same lot, or within the same community titles scheme;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a Tourist park</w:t>
                  </w:r>
                  <w:r w:rsidRPr="00201716">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01716">
                      <w:rPr>
                        <w:rStyle w:val="Hyperlink"/>
                        <w:rFonts w:ascii="Arial" w:eastAsia="Times New Roman" w:hAnsi="Arial" w:cs="Arial"/>
                        <w:sz w:val="20"/>
                        <w:szCs w:val="20"/>
                        <w:vertAlign w:val="superscript"/>
                      </w:rPr>
                      <w:t>84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xml:space="preserve"> with accommodation in the form of caravans or tents;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outdoor sales</w:t>
                  </w:r>
                  <w:r w:rsidRPr="00201716">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01716">
                      <w:rPr>
                        <w:rStyle w:val="Hyperlink"/>
                        <w:rFonts w:ascii="Arial" w:eastAsia="Times New Roman" w:hAnsi="Arial" w:cs="Arial"/>
                        <w:sz w:val="20"/>
                        <w:szCs w:val="20"/>
                        <w:vertAlign w:val="superscript"/>
                      </w:rPr>
                      <w:t>54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outdoor processing or outdoor storage where involving combustible materials.</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AND</w:t>
                  </w:r>
                </w:p>
                <w:p w:rsidR="00A25512" w:rsidRPr="00201716" w:rsidRDefault="00A25512" w:rsidP="003754F8">
                  <w:pPr>
                    <w:numPr>
                      <w:ilvl w:val="0"/>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none of the following exceptions apply:</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the distributor-retailer for the area has indicated, in its netserv plan, that the premises will not be served by that entity’s reticulated water supply; or</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A25512" w:rsidRPr="00201716" w:rsidTr="00510260">
              <w:trPr>
                <w:tblCellSpacing w:w="15" w:type="dxa"/>
              </w:trPr>
              <w:tc>
                <w:tcPr>
                  <w:tcW w:w="9732" w:type="dxa"/>
                  <w:vAlign w:val="center"/>
                  <w:hideMark/>
                </w:tcPr>
                <w:p w:rsidR="00A25512" w:rsidRPr="00201716" w:rsidRDefault="00A25512" w:rsidP="00510260">
                  <w:pPr>
                    <w:rPr>
                      <w:rFonts w:ascii="Arial" w:eastAsia="Times New Roman" w:hAnsi="Arial" w:cs="Arial"/>
                      <w:sz w:val="20"/>
                      <w:szCs w:val="20"/>
                    </w:rPr>
                  </w:pPr>
                  <w:r w:rsidRPr="00201716">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PO53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incorporates a fire fighting system that:</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satisfies the reasonable needs of the fire fighting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appropriate for the size, shape and topography of the development and its surrounds;</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compatible with the operational equipment available to the fire fighting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materials comprising the development and their proximity to one another;</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surrounds to the development site;</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External fire hydrant facilities are provided on site to the standard prescribed under the relevant parts of </w:t>
            </w:r>
            <w:r w:rsidRPr="00201716">
              <w:rPr>
                <w:rStyle w:val="Emphasis"/>
                <w:rFonts w:ascii="Arial" w:hAnsi="Arial" w:cs="Arial"/>
                <w:sz w:val="20"/>
                <w:szCs w:val="20"/>
              </w:rPr>
              <w:t>Australian Standard AS 2419.1 (2005) – Fire Hydrant Installations</w:t>
            </w:r>
            <w:r w:rsidRPr="00201716">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For this requirement for accepted development, the following are the relevant parts of AS 2419.1 (2005) that may be applicable: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form of any fire hydrant - Part 8.5 and Part 3.2.2.1, with the exception that for Tourist parks</w:t>
                  </w:r>
                  <w:r w:rsidRPr="005E31D7">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E31D7">
                      <w:rPr>
                        <w:rStyle w:val="Hyperlink"/>
                        <w:rFonts w:ascii="Arial" w:eastAsia="Times New Roman" w:hAnsi="Arial" w:cs="Arial"/>
                        <w:sz w:val="18"/>
                        <w:szCs w:val="20"/>
                        <w:vertAlign w:val="superscript"/>
                      </w:rPr>
                      <w:t>84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general locational requirements for fire hydrants - Part 3.2.2.2 (a), (e), (f), (g) and (h) as well as Appendix B of AS 2419.1 (2005);</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proximity of hydrants to buildings and other facilities - Part 3.2.2.2 (b), (c) and (d), with the exception that:</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dwellings and their associated outbuildings, hydrant coverage need only extend to the roof and external walls of those buildings;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caravans and tents, hydrant coverage need only extend to the roof of those tents and caravans;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outdoor sales</w:t>
                  </w:r>
                  <w:r w:rsidRPr="005E31D7">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processing or storage facilities, hydrant coverage is required across the entire area of the outdoor sales</w:t>
                  </w:r>
                  <w:r w:rsidRPr="005E31D7">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outdoor processing and outdoor storage facilities;</w:t>
                  </w:r>
                </w:p>
                <w:p w:rsidR="003754F8" w:rsidRPr="00201716" w:rsidRDefault="003754F8" w:rsidP="003754F8">
                  <w:pPr>
                    <w:numPr>
                      <w:ilvl w:val="0"/>
                      <w:numId w:val="41"/>
                    </w:numPr>
                    <w:spacing w:before="100" w:beforeAutospacing="1" w:after="100" w:afterAutospacing="1"/>
                    <w:rPr>
                      <w:rFonts w:ascii="Arial" w:eastAsia="Times New Roman" w:hAnsi="Arial" w:cs="Arial"/>
                      <w:sz w:val="20"/>
                      <w:szCs w:val="20"/>
                    </w:rPr>
                  </w:pPr>
                  <w:r w:rsidRPr="005E31D7">
                    <w:rPr>
                      <w:rFonts w:ascii="Arial" w:eastAsia="Times New Roman" w:hAnsi="Arial" w:cs="Arial"/>
                      <w:sz w:val="18"/>
                      <w:szCs w:val="20"/>
                    </w:rPr>
                    <w:t>in regard to fire hydrant accessibility and clearance requirements - Part 3.5 and, where applicable, Part 3.6.</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width of no less than 3.5m;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height of no less than 4.8m;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constructed to be readily traversed by a 17 tonne HRV fire brigade pumping appliance;</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area for a fire brigade pumping appliance to stand within 20m of each fire hydrant and 8m of each hydrant booster point.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On-site fire hydrant facilities are maintained in effective operating order in a manner prescribed in </w:t>
            </w:r>
            <w:r w:rsidRPr="00201716">
              <w:rPr>
                <w:rStyle w:val="Emphasis"/>
                <w:rFonts w:ascii="Arial" w:hAnsi="Arial" w:cs="Arial"/>
                <w:sz w:val="20"/>
                <w:szCs w:val="20"/>
              </w:rPr>
              <w:t>Australian Standard AS1851 (2012) – Routine service of fire protection systems and equipment</w:t>
            </w:r>
            <w:r w:rsidRPr="00201716">
              <w:rPr>
                <w:rFonts w:ascii="Arial" w:hAnsi="Arial" w:cs="Arial"/>
                <w:sz w:val="20"/>
                <w:szCs w:val="20"/>
              </w:rPr>
              <w: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For development that contains on-site fire hydrants external to buildings:</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those external hydrants can be seen from the vehicular entry point to the site; or</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a sign identifying the following is provided at the vehicular entry point to the site: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overall layout of the development (to scale);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internal road names (where used);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all communal facilities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reception area and on-site manager’s office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external hydrants and hydrant booster points;</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sign prescribed above, and the graphics used are to be: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in a form;</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of a size;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illuminated to a level;</w:t>
                  </w:r>
                </w:p>
                <w:p w:rsidR="003754F8" w:rsidRPr="00201716" w:rsidRDefault="003754F8" w:rsidP="00510260">
                  <w:pPr>
                    <w:pStyle w:val="NormalWeb"/>
                    <w:rPr>
                      <w:rFonts w:ascii="Arial" w:hAnsi="Arial" w:cs="Arial"/>
                      <w:sz w:val="20"/>
                      <w:szCs w:val="20"/>
                    </w:rPr>
                  </w:pPr>
                  <w:r w:rsidRPr="005E31D7">
                    <w:rPr>
                      <w:rFonts w:ascii="Arial" w:hAnsi="Arial" w:cs="Arial"/>
                      <w:sz w:val="18"/>
                      <w:szCs w:val="20"/>
                    </w:rPr>
                    <w:t>which allows the information on the sign to be readily understood, at all times, by a person in a fire fighting appliance up to 4.5m from the 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201716">
              <w:rPr>
                <w:rStyle w:val="Emphasis"/>
                <w:rFonts w:ascii="Arial" w:hAnsi="Arial" w:cs="Arial"/>
                <w:sz w:val="20"/>
                <w:szCs w:val="20"/>
              </w:rPr>
              <w:t>Fire hydrant indication system</w:t>
            </w:r>
            <w:r w:rsidRPr="00201716">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lastRenderedPageBreak/>
                    <w:t>Note - Technical note Fire hydrant indication system is available on the website of the Queensland Department of Transport and Main Roads.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Fonts w:ascii="Arial" w:hAnsi="Arial" w:cs="Arial"/>
                <w:sz w:val="20"/>
                <w:szCs w:val="20"/>
              </w:rPr>
            </w:pPr>
            <w:r w:rsidRPr="00201716">
              <w:rPr>
                <w:rStyle w:val="Strong"/>
                <w:rFonts w:ascii="Arial" w:hAnsi="Arial" w:cs="Arial"/>
                <w:sz w:val="20"/>
                <w:szCs w:val="20"/>
              </w:rPr>
              <w:t>Use specific criteria</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Redcliffe Activity Centre Strategy</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compromise opportunities that may be identified in the Redcliffe activity centre strategy.</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rHeight w:val="330"/>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Major electricity infrastructure, substation and utility installation</w:t>
            </w:r>
            <w:r w:rsidRPr="00201716">
              <w:rPr>
                <w:rFonts w:ascii="Arial" w:hAnsi="Arial" w:cs="Arial"/>
                <w:sz w:val="20"/>
                <w:szCs w:val="20"/>
                <w:vertAlign w:val="superscript"/>
              </w:rPr>
              <w:t>(</w:t>
            </w:r>
            <w:hyperlink r:id="rId16"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does not have an adverse impact on the visual amenity of a locality and is: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high quality design and construction;</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located behind the main building line;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camouflaged through the use of colours and materials which blend into the landscape;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E57.1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minimise surrounding land use conflicts by ensuring infrastructure, buildings, structures and other equipment:</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enclosed within buildings or structures;</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located behind the main building line;</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a similar height, bulk and scale to the surrounding fabric;</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horizontal and vertical articulation applied to all exterior walls.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outside of the fenced area, between the development and street frontage, side and rear boundaries.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Infrastructure does not have an impact on pedestrian health and safety.</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control arrangements: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create dead-ends or dark alleyways adjacent to the infrastructure;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 the number and width of crossovers and entry points;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provide safe vehicular access to the site;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utilise barbed wire or razor wire.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activities associated with the development occur within an environment incorporating sufficient controls to ensure the facility:</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generates no audible sound at the site boundaries where in a residential setting; or</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meet the objectives as set out in the Environmental Protection (Noise) Policy 2008.</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Telecommunications facility</w:t>
            </w:r>
            <w:r w:rsidRPr="00201716">
              <w:rPr>
                <w:rFonts w:ascii="Arial" w:hAnsi="Arial" w:cs="Arial"/>
                <w:sz w:val="20"/>
                <w:szCs w:val="20"/>
                <w:vertAlign w:val="superscript"/>
              </w:rPr>
              <w:t>(</w:t>
            </w:r>
            <w:hyperlink r:id="rId1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 xml:space="preserve">Editor's note - In accordance with the Federal legislation Telecommunications facilities </w:t>
                  </w:r>
                  <w:r w:rsidRPr="00201716">
                    <w:rPr>
                      <w:rFonts w:ascii="Arial" w:hAnsi="Arial" w:cs="Arial"/>
                      <w:sz w:val="20"/>
                      <w:szCs w:val="20"/>
                      <w:vertAlign w:val="superscript"/>
                    </w:rPr>
                    <w:t>(</w:t>
                  </w:r>
                  <w:hyperlink r:id="rId1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PO60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1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with existing telecommunications facilities</w:t>
            </w:r>
            <w:r w:rsidRPr="00201716">
              <w:rPr>
                <w:rFonts w:ascii="Arial" w:hAnsi="Arial" w:cs="Arial"/>
                <w:sz w:val="20"/>
                <w:szCs w:val="20"/>
                <w:vertAlign w:val="superscript"/>
              </w:rPr>
              <w:t>(</w:t>
            </w:r>
            <w:hyperlink r:id="rId2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Utility installation</w:t>
            </w:r>
            <w:r w:rsidRPr="00201716">
              <w:rPr>
                <w:rFonts w:ascii="Arial" w:hAnsi="Arial" w:cs="Arial"/>
                <w:sz w:val="20"/>
                <w:szCs w:val="20"/>
                <w:vertAlign w:val="superscript"/>
              </w:rPr>
              <w:t>(</w:t>
            </w:r>
            <w:hyperlink r:id="rId21"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r w:rsidRPr="00201716">
              <w:rPr>
                <w:rFonts w:ascii="Arial" w:hAnsi="Arial" w:cs="Arial"/>
                <w:sz w:val="20"/>
                <w:szCs w:val="20"/>
              </w:rPr>
              <w:t>, Major electricity infrastructure</w:t>
            </w:r>
            <w:r w:rsidRPr="00201716">
              <w:rPr>
                <w:rFonts w:ascii="Arial" w:hAnsi="Arial" w:cs="Arial"/>
                <w:sz w:val="20"/>
                <w:szCs w:val="20"/>
                <w:vertAlign w:val="superscript"/>
              </w:rPr>
              <w:t>(</w:t>
            </w:r>
            <w:hyperlink r:id="rId22"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01716">
                <w:rPr>
                  <w:rStyle w:val="Hyperlink"/>
                  <w:rFonts w:ascii="Arial" w:hAnsi="Arial" w:cs="Arial"/>
                  <w:sz w:val="20"/>
                  <w:szCs w:val="20"/>
                  <w:vertAlign w:val="superscript"/>
                </w:rPr>
                <w:t>43</w:t>
              </w:r>
            </w:hyperlink>
            <w:r w:rsidRPr="00201716">
              <w:rPr>
                <w:rFonts w:ascii="Arial" w:hAnsi="Arial" w:cs="Arial"/>
                <w:sz w:val="20"/>
                <w:szCs w:val="20"/>
                <w:vertAlign w:val="superscript"/>
              </w:rPr>
              <w:t>)</w:t>
            </w:r>
            <w:r w:rsidRPr="00201716">
              <w:rPr>
                <w:rFonts w:ascii="Arial" w:hAnsi="Arial" w:cs="Arial"/>
                <w:sz w:val="20"/>
                <w:szCs w:val="20"/>
              </w:rPr>
              <w:t xml:space="preserve"> or Substation</w:t>
            </w:r>
            <w:r w:rsidRPr="00201716">
              <w:rPr>
                <w:rFonts w:ascii="Arial" w:hAnsi="Arial" w:cs="Arial"/>
                <w:sz w:val="20"/>
                <w:szCs w:val="20"/>
                <w:vertAlign w:val="superscript"/>
              </w:rPr>
              <w:t>(</w:t>
            </w:r>
            <w:hyperlink r:id="rId23" w:anchor="target-d768251e572400" w:tooltip="Substation - Premises forming part of a transmission grid or supply network under the Electricity Act 1994, and used for:" w:history="1">
              <w:r w:rsidRPr="00201716">
                <w:rPr>
                  <w:rStyle w:val="Hyperlink"/>
                  <w:rFonts w:ascii="Arial" w:hAnsi="Arial" w:cs="Arial"/>
                  <w:sz w:val="20"/>
                  <w:szCs w:val="20"/>
                  <w:vertAlign w:val="superscript"/>
                </w:rPr>
                <w:t>80</w:t>
              </w:r>
            </w:hyperlink>
            <w:r w:rsidRPr="00201716">
              <w:rPr>
                <w:rFonts w:ascii="Arial" w:hAnsi="Arial" w:cs="Arial"/>
                <w:sz w:val="20"/>
                <w:szCs w:val="20"/>
                <w:vertAlign w:val="superscript"/>
              </w:rPr>
              <w:t>)</w:t>
            </w:r>
            <w:r w:rsidRPr="00201716">
              <w:rPr>
                <w:rFonts w:ascii="Arial" w:hAnsi="Arial" w:cs="Arial"/>
                <w:sz w:val="20"/>
                <w:szCs w:val="20"/>
              </w:rPr>
              <w:t xml:space="preserve"> if there is already a facility in the same coverage area.</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telecommunication facilities</w:t>
            </w:r>
            <w:r w:rsidRPr="00201716">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on existing towers with new equipment shelter and associated structures positioned adjacent to the existing shelters and structures.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If not co-located with an existing facility, all co-location opportunities have been investigated and fully exhausted within a 2km radius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new Telecommunications facility</w:t>
            </w:r>
            <w:r w:rsidRPr="00201716">
              <w:rPr>
                <w:rFonts w:ascii="Arial" w:hAnsi="Arial" w:cs="Arial"/>
                <w:sz w:val="20"/>
                <w:szCs w:val="20"/>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is designed and constructed to ensure co-masting or co-siting with other carriers both on the tower or pole and at ground level is possible in the future.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area of 45m</w:t>
            </w:r>
            <w:r w:rsidRPr="00201716">
              <w:rPr>
                <w:rFonts w:ascii="Arial" w:hAnsi="Arial" w:cs="Arial"/>
                <w:sz w:val="20"/>
                <w:szCs w:val="20"/>
                <w:vertAlign w:val="superscript"/>
              </w:rPr>
              <w:t>2</w:t>
            </w:r>
            <w:r w:rsidRPr="00201716">
              <w:rPr>
                <w:rFonts w:ascii="Arial" w:hAnsi="Arial" w:cs="Arial"/>
                <w:sz w:val="20"/>
                <w:szCs w:val="20"/>
              </w:rPr>
              <w:t xml:space="preserve"> is available to allow for additional equipment shelters and associated structures for the purpose of co-locating on the proposed facility.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 not conflict with lawful existing land uses both on and adjoining the site.</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Telecommunications facility</w:t>
            </w:r>
            <w:r w:rsidRPr="00201716">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does not have an adverse impact on the visual amenity of a locality and is: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high quality design and construction;</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located behind the main building line;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camouflaged through the use of colours and materials which blend into the landscape;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 all other areas towers do not exceed 35m in height.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Towers, equipment shelters and associated structures are of a design, colour and material to:</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reduce recognition in the landscape;</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reduce glare and reflectivity.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there is no established building line the facility is located at the rear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facility is enclosed by security fencing or by other means to ensure public access is prohibited.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Landscaping is provided in accordance with Planning scheme policy - Integrated design.</w:t>
                  </w:r>
                </w:p>
              </w:tc>
            </w:tr>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Lawful access is maintained to the site at all times that does not alter the amenity of the landscape or surrounding uses.</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 Access and Landscape Plan demonstrates how 24 hour vehicular access will be obtained and maintained to the facility in a manner that is appropriate to the site’s context.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activities associated with the development occur within an </w:t>
            </w:r>
            <w:r w:rsidRPr="00201716">
              <w:rPr>
                <w:rFonts w:ascii="Arial" w:hAnsi="Arial" w:cs="Arial"/>
                <w:sz w:val="20"/>
                <w:szCs w:val="20"/>
              </w:rPr>
              <w:lastRenderedPageBreak/>
              <w:t>environment incorporating sufficient controls to ensure the facility generates no audible sound at the site boundaries where in a residential setting.</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equipment comprising the Telecommunications facility</w:t>
            </w:r>
            <w:r w:rsidRPr="00201716">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which produces audible or non-audible sound is housed within a fully enclosed </w:t>
            </w:r>
            <w:r w:rsidRPr="00201716">
              <w:rPr>
                <w:rFonts w:ascii="Arial" w:hAnsi="Arial" w:cs="Arial"/>
                <w:sz w:val="20"/>
                <w:szCs w:val="20"/>
              </w:rPr>
              <w:lastRenderedPageBreak/>
              <w:t>building incorporating sound control measures sufficient to ensure no noise from this equipment can be heard, or felt at the site boundary.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Fonts w:ascii="Arial" w:hAnsi="Arial" w:cs="Arial"/>
                <w:sz w:val="20"/>
                <w:szCs w:val="20"/>
              </w:rPr>
            </w:pPr>
            <w:r w:rsidRPr="00201716">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jc w:val="center"/>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A25512" w:rsidRPr="00201716" w:rsidRDefault="00A25512" w:rsidP="00510260">
            <w:pPr>
              <w:pStyle w:val="NormalWeb"/>
              <w:jc w:val="center"/>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avoids disturbing acid sulfate soils. Where development disturbs acid sulfate soils, development: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managed to avoid or minimise the release of surface or groundwater flows containing acid and metal contaminants into the environment;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protects the environmental and ecological values and health of receiving waters;</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protects buildings and infrastructure from the effects of acid sulfate soils.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involve:</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excavation or otherwise removing of more than 100m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soil or sediment where below than 5m Australian Height datum AHD; or</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filling of land of more than 500m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material with an average depth of 0.5m or greater where below the 5m Australian Height datum AHD.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lastRenderedPageBreak/>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A25512" w:rsidRPr="00201716" w:rsidRDefault="00A25512" w:rsidP="00A25512">
                  <w:pPr>
                    <w:rPr>
                      <w:rFonts w:ascii="Arial" w:hAnsi="Arial" w:cs="Arial"/>
                      <w:sz w:val="20"/>
                      <w:szCs w:val="20"/>
                    </w:rPr>
                  </w:pPr>
                  <w:r w:rsidRPr="00201716">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will:</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diminish or cause irreversible damage to the cultural heritage values present on the site, and associated with a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 the fabric and setting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 consistent with the form, scale and style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utilise similar materials to those existing, or where this is not reasonable or practicable, neutral materials and finishes;</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incorporate complementary elements, detailing and ornamentation to those </w:t>
            </w:r>
            <w:r w:rsidRPr="00201716">
              <w:rPr>
                <w:rFonts w:ascii="Arial" w:eastAsia="Times New Roman" w:hAnsi="Arial" w:cs="Arial"/>
                <w:sz w:val="20"/>
                <w:szCs w:val="20"/>
              </w:rPr>
              <w:lastRenderedPageBreak/>
              <w:t>present on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retain public access where this is currently provided.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Demolition and removal is only considered where:</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demolition is confined to the removal of outbuildings, extensions and alterations that are not part of the original structure;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limited demolition is performed in the course of repairs, maintenance or restoration;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demolition is performed following a catastrophic event which substantially destroys the building or object.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Where development is occurring on land adjoining a site of </w:t>
            </w:r>
            <w:r w:rsidRPr="00201716">
              <w:rPr>
                <w:rFonts w:ascii="Arial" w:hAnsi="Arial" w:cs="Arial"/>
                <w:sz w:val="20"/>
                <w:szCs w:val="20"/>
              </w:rPr>
              <w:lastRenderedPageBreak/>
              <w:t>cultural heritage value, the development is to be sympathetic to and consistent with the cultural heritage values present on the site and not result in their values being eroded, degraded or unreasonably obscured from public view.</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result in the removal of a significant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occur within 20m of a protected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involve pruning of a tree in accordance with Australian Standard AS 4373-2007 – Pruning of Amenity Trees.</w:t>
            </w:r>
          </w:p>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 </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Development:</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minimises the risk to persons from overland flow;</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lastRenderedPageBreak/>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directly, indirectly or cumulatively cause any increase in overland flow velocity or level;</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Open concrete drains greater than 1m in width are not an acceptable outcome, nor are any other design options that may increase scouring.</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Development which is not in a Rural zone ensures that overland flow is not conveyed from a road </w:t>
            </w:r>
            <w:r w:rsidRPr="00201716">
              <w:rPr>
                <w:rFonts w:ascii="Arial" w:hAnsi="Arial" w:cs="Arial"/>
                <w:sz w:val="20"/>
                <w:szCs w:val="20"/>
              </w:rPr>
              <w:lastRenderedPageBreak/>
              <w:t>or public open space onto a private lot.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roof and allotment drainage infrastructure is provided in accordance with the following relevant level as identified in QUDM:</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Urban area – Level III;</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Rural area – N/A;</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Industrial area – Level V;</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Commercial area – Level V.</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protects the conveyance of overland flow such that an easement for drainage purposes is provided over:</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 stormwater pipe if the nominal pipe diameter exceeds 300mm;</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an overland flow path where it crosses more than one premises;</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Refer to Planning scheme policy - Integrated design for details and examples.</w:t>
                  </w:r>
                </w:p>
              </w:tc>
            </w:tr>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Stormwater Drainage easement dimensions are provided in accordance with Section 3.8.5 of QUDM.</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vAlign w:val="center"/>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Additional criteria for development for a Park</w:t>
            </w: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that the design and layout responds to the nature of the overland flow affecting the premises such that:</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public benefit and enjoyment is maximised;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impacts on the asset life and integrity of park structures is minimised;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maintenance and replacement costs are minimised.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works are provided in accordance with the requirements set out in Appendix B of the Planning scheme policy - Integrated design.</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bl>
    <w:p w:rsidR="003754F8" w:rsidRPr="004E0E41" w:rsidRDefault="003754F8">
      <w:pPr>
        <w:rPr>
          <w:rFonts w:ascii="Arial" w:hAnsi="Arial" w:cs="Arial"/>
        </w:rPr>
      </w:pPr>
      <w:bookmarkStart w:id="9" w:name="_GoBack"/>
      <w:bookmarkEnd w:id="8"/>
      <w:bookmarkEnd w:id="9"/>
    </w:p>
    <w:sectPr w:rsidR="003754F8" w:rsidRPr="004E0E41" w:rsidSect="003754F8">
      <w:foot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8CB" w:rsidRDefault="005448CB" w:rsidP="00AC569A">
      <w:r>
        <w:separator/>
      </w:r>
    </w:p>
  </w:endnote>
  <w:endnote w:type="continuationSeparator" w:id="0">
    <w:p w:rsidR="005448CB" w:rsidRDefault="005448CB" w:rsidP="00AC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1D7" w:rsidRPr="007C50B8" w:rsidRDefault="005E31D7" w:rsidP="00AC569A">
    <w:pPr>
      <w:pStyle w:val="Footer"/>
      <w:jc w:val="cen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AE5ABF">
      <w:rPr>
        <w:rFonts w:ascii="Arial" w:hAnsi="Arial" w:cs="Arial"/>
        <w:i/>
        <w:sz w:val="20"/>
        <w:szCs w:val="20"/>
      </w:rPr>
      <w:t>6</w:t>
    </w:r>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Kippa-Ring station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p w:rsidR="005E31D7" w:rsidRPr="00AC569A" w:rsidRDefault="005E31D7" w:rsidP="00AC5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8CB" w:rsidRDefault="005448CB" w:rsidP="00AC569A">
      <w:r>
        <w:separator/>
      </w:r>
    </w:p>
  </w:footnote>
  <w:footnote w:type="continuationSeparator" w:id="0">
    <w:p w:rsidR="005448CB" w:rsidRDefault="005448CB" w:rsidP="00AC5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03976"/>
    <w:multiLevelType w:val="multilevel"/>
    <w:tmpl w:val="5D7A7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15A54DB"/>
    <w:multiLevelType w:val="multilevel"/>
    <w:tmpl w:val="25FA2C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E24AC7"/>
    <w:multiLevelType w:val="multilevel"/>
    <w:tmpl w:val="0DAA7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3C47A9D"/>
    <w:multiLevelType w:val="multilevel"/>
    <w:tmpl w:val="6C209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690547A"/>
    <w:multiLevelType w:val="multilevel"/>
    <w:tmpl w:val="2AFA20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7054A15"/>
    <w:multiLevelType w:val="multilevel"/>
    <w:tmpl w:val="9216C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8F6434F"/>
    <w:multiLevelType w:val="multilevel"/>
    <w:tmpl w:val="CF3CB8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F93246"/>
    <w:multiLevelType w:val="multilevel"/>
    <w:tmpl w:val="E228A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765F46"/>
    <w:multiLevelType w:val="multilevel"/>
    <w:tmpl w:val="AC9424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1338E7"/>
    <w:multiLevelType w:val="multilevel"/>
    <w:tmpl w:val="78E0BC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313E78"/>
    <w:multiLevelType w:val="multilevel"/>
    <w:tmpl w:val="A57864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B4373E7"/>
    <w:multiLevelType w:val="multilevel"/>
    <w:tmpl w:val="6F047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C6D0553"/>
    <w:multiLevelType w:val="multilevel"/>
    <w:tmpl w:val="DB4CAC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F446E73"/>
    <w:multiLevelType w:val="multilevel"/>
    <w:tmpl w:val="F0CA1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F592CE9"/>
    <w:multiLevelType w:val="multilevel"/>
    <w:tmpl w:val="42D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C67CE6"/>
    <w:multiLevelType w:val="multilevel"/>
    <w:tmpl w:val="A43C4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18336B2"/>
    <w:multiLevelType w:val="multilevel"/>
    <w:tmpl w:val="2708D1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4822688"/>
    <w:multiLevelType w:val="multilevel"/>
    <w:tmpl w:val="E486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4AA1BF8"/>
    <w:multiLevelType w:val="multilevel"/>
    <w:tmpl w:val="5D8672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4FB2FDD"/>
    <w:multiLevelType w:val="multilevel"/>
    <w:tmpl w:val="CB422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8DA456D"/>
    <w:multiLevelType w:val="multilevel"/>
    <w:tmpl w:val="6EA4EC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16062A"/>
    <w:multiLevelType w:val="multilevel"/>
    <w:tmpl w:val="33525A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C65133"/>
    <w:multiLevelType w:val="multilevel"/>
    <w:tmpl w:val="A7D8B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C6D5040"/>
    <w:multiLevelType w:val="multilevel"/>
    <w:tmpl w:val="DD7A3F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CCA5496"/>
    <w:multiLevelType w:val="multilevel"/>
    <w:tmpl w:val="81D421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E8B1D81"/>
    <w:multiLevelType w:val="multilevel"/>
    <w:tmpl w:val="193464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F317635"/>
    <w:multiLevelType w:val="multilevel"/>
    <w:tmpl w:val="28CC7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F347D9B"/>
    <w:multiLevelType w:val="multilevel"/>
    <w:tmpl w:val="D25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5224F"/>
    <w:multiLevelType w:val="multilevel"/>
    <w:tmpl w:val="F6F0E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2AF01FE"/>
    <w:multiLevelType w:val="multilevel"/>
    <w:tmpl w:val="123E2684"/>
    <w:lvl w:ilvl="0">
      <w:start w:val="1"/>
      <w:numFmt w:val="lowerLetter"/>
      <w:lvlText w:val="%1."/>
      <w:lvlJc w:val="left"/>
      <w:pPr>
        <w:tabs>
          <w:tab w:val="num" w:pos="-1830"/>
        </w:tabs>
        <w:ind w:left="-1830" w:hanging="360"/>
      </w:pPr>
    </w:lvl>
    <w:lvl w:ilvl="1" w:tentative="1">
      <w:start w:val="1"/>
      <w:numFmt w:val="lowerLetter"/>
      <w:lvlText w:val="%2."/>
      <w:lvlJc w:val="left"/>
      <w:pPr>
        <w:tabs>
          <w:tab w:val="num" w:pos="-1110"/>
        </w:tabs>
        <w:ind w:left="-1110" w:hanging="360"/>
      </w:pPr>
    </w:lvl>
    <w:lvl w:ilvl="2" w:tentative="1">
      <w:start w:val="1"/>
      <w:numFmt w:val="lowerLetter"/>
      <w:lvlText w:val="%3."/>
      <w:lvlJc w:val="left"/>
      <w:pPr>
        <w:tabs>
          <w:tab w:val="num" w:pos="-390"/>
        </w:tabs>
        <w:ind w:left="-390" w:hanging="360"/>
      </w:pPr>
    </w:lvl>
    <w:lvl w:ilvl="3" w:tentative="1">
      <w:start w:val="1"/>
      <w:numFmt w:val="lowerLetter"/>
      <w:lvlText w:val="%4."/>
      <w:lvlJc w:val="left"/>
      <w:pPr>
        <w:tabs>
          <w:tab w:val="num" w:pos="330"/>
        </w:tabs>
        <w:ind w:left="330" w:hanging="360"/>
      </w:pPr>
    </w:lvl>
    <w:lvl w:ilvl="4" w:tentative="1">
      <w:start w:val="1"/>
      <w:numFmt w:val="lowerLetter"/>
      <w:lvlText w:val="%5."/>
      <w:lvlJc w:val="left"/>
      <w:pPr>
        <w:tabs>
          <w:tab w:val="num" w:pos="1050"/>
        </w:tabs>
        <w:ind w:left="1050" w:hanging="360"/>
      </w:pPr>
    </w:lvl>
    <w:lvl w:ilvl="5" w:tentative="1">
      <w:start w:val="1"/>
      <w:numFmt w:val="lowerLetter"/>
      <w:lvlText w:val="%6."/>
      <w:lvlJc w:val="left"/>
      <w:pPr>
        <w:tabs>
          <w:tab w:val="num" w:pos="1770"/>
        </w:tabs>
        <w:ind w:left="1770" w:hanging="360"/>
      </w:pPr>
    </w:lvl>
    <w:lvl w:ilvl="6" w:tentative="1">
      <w:start w:val="1"/>
      <w:numFmt w:val="lowerLetter"/>
      <w:lvlText w:val="%7."/>
      <w:lvlJc w:val="left"/>
      <w:pPr>
        <w:tabs>
          <w:tab w:val="num" w:pos="2490"/>
        </w:tabs>
        <w:ind w:left="2490" w:hanging="360"/>
      </w:pPr>
    </w:lvl>
    <w:lvl w:ilvl="7" w:tentative="1">
      <w:start w:val="1"/>
      <w:numFmt w:val="lowerLetter"/>
      <w:lvlText w:val="%8."/>
      <w:lvlJc w:val="left"/>
      <w:pPr>
        <w:tabs>
          <w:tab w:val="num" w:pos="3210"/>
        </w:tabs>
        <w:ind w:left="3210" w:hanging="360"/>
      </w:pPr>
    </w:lvl>
    <w:lvl w:ilvl="8" w:tentative="1">
      <w:start w:val="1"/>
      <w:numFmt w:val="lowerLetter"/>
      <w:lvlText w:val="%9."/>
      <w:lvlJc w:val="left"/>
      <w:pPr>
        <w:tabs>
          <w:tab w:val="num" w:pos="3930"/>
        </w:tabs>
        <w:ind w:left="3930" w:hanging="360"/>
      </w:pPr>
    </w:lvl>
  </w:abstractNum>
  <w:abstractNum w:abstractNumId="31" w15:restartNumberingAfterBreak="0">
    <w:nsid w:val="43374BFC"/>
    <w:multiLevelType w:val="multilevel"/>
    <w:tmpl w:val="99B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5D1958"/>
    <w:multiLevelType w:val="multilevel"/>
    <w:tmpl w:val="16425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47211A"/>
    <w:multiLevelType w:val="multilevel"/>
    <w:tmpl w:val="50540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B774F11"/>
    <w:multiLevelType w:val="multilevel"/>
    <w:tmpl w:val="040EC4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6F62B1"/>
    <w:multiLevelType w:val="multilevel"/>
    <w:tmpl w:val="D7FEC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F8570E2"/>
    <w:multiLevelType w:val="multilevel"/>
    <w:tmpl w:val="BD748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38F5B78"/>
    <w:multiLevelType w:val="multilevel"/>
    <w:tmpl w:val="9C76F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3E11426"/>
    <w:multiLevelType w:val="multilevel"/>
    <w:tmpl w:val="4C8AD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7010549"/>
    <w:multiLevelType w:val="multilevel"/>
    <w:tmpl w:val="DF289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9A44044"/>
    <w:multiLevelType w:val="multilevel"/>
    <w:tmpl w:val="7FFC4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B4F3B17"/>
    <w:multiLevelType w:val="multilevel"/>
    <w:tmpl w:val="461863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160BB7"/>
    <w:multiLevelType w:val="multilevel"/>
    <w:tmpl w:val="39FE1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D3338D9"/>
    <w:multiLevelType w:val="multilevel"/>
    <w:tmpl w:val="59940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E936B0C"/>
    <w:multiLevelType w:val="multilevel"/>
    <w:tmpl w:val="DC38DF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0812F1"/>
    <w:multiLevelType w:val="multilevel"/>
    <w:tmpl w:val="A52AC9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0BE2A31"/>
    <w:multiLevelType w:val="multilevel"/>
    <w:tmpl w:val="97A66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20354DC"/>
    <w:multiLevelType w:val="multilevel"/>
    <w:tmpl w:val="8E40CC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8B1576"/>
    <w:multiLevelType w:val="multilevel"/>
    <w:tmpl w:val="1D42BA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6AC273D"/>
    <w:multiLevelType w:val="multilevel"/>
    <w:tmpl w:val="2BB4E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622FAC"/>
    <w:multiLevelType w:val="multilevel"/>
    <w:tmpl w:val="45A63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AD07964"/>
    <w:multiLevelType w:val="multilevel"/>
    <w:tmpl w:val="9C5AA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25379E"/>
    <w:multiLevelType w:val="multilevel"/>
    <w:tmpl w:val="D646D9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16747F0"/>
    <w:multiLevelType w:val="multilevel"/>
    <w:tmpl w:val="F2F445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045491"/>
    <w:multiLevelType w:val="multilevel"/>
    <w:tmpl w:val="08503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3BE0503"/>
    <w:multiLevelType w:val="multilevel"/>
    <w:tmpl w:val="09345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0217FC"/>
    <w:multiLevelType w:val="hybridMultilevel"/>
    <w:tmpl w:val="93386A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AF3397"/>
    <w:multiLevelType w:val="multilevel"/>
    <w:tmpl w:val="EB00F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052C6F"/>
    <w:multiLevelType w:val="multilevel"/>
    <w:tmpl w:val="971C8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978485B"/>
    <w:multiLevelType w:val="multilevel"/>
    <w:tmpl w:val="F9364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AE316FB"/>
    <w:multiLevelType w:val="multilevel"/>
    <w:tmpl w:val="89DAED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C744080"/>
    <w:multiLevelType w:val="multilevel"/>
    <w:tmpl w:val="5EB23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61"/>
  </w:num>
  <w:num w:numId="3">
    <w:abstractNumId w:val="17"/>
  </w:num>
  <w:num w:numId="4">
    <w:abstractNumId w:val="41"/>
  </w:num>
  <w:num w:numId="5">
    <w:abstractNumId w:val="32"/>
  </w:num>
  <w:num w:numId="6">
    <w:abstractNumId w:val="23"/>
  </w:num>
  <w:num w:numId="7">
    <w:abstractNumId w:val="40"/>
  </w:num>
  <w:num w:numId="8">
    <w:abstractNumId w:val="2"/>
  </w:num>
  <w:num w:numId="9">
    <w:abstractNumId w:val="26"/>
  </w:num>
  <w:num w:numId="10">
    <w:abstractNumId w:val="54"/>
  </w:num>
  <w:num w:numId="11">
    <w:abstractNumId w:val="27"/>
  </w:num>
  <w:num w:numId="12">
    <w:abstractNumId w:val="42"/>
  </w:num>
  <w:num w:numId="13">
    <w:abstractNumId w:val="58"/>
  </w:num>
  <w:num w:numId="14">
    <w:abstractNumId w:val="6"/>
  </w:num>
  <w:num w:numId="15">
    <w:abstractNumId w:val="49"/>
  </w:num>
  <w:num w:numId="16">
    <w:abstractNumId w:val="0"/>
  </w:num>
  <w:num w:numId="17">
    <w:abstractNumId w:val="48"/>
  </w:num>
  <w:num w:numId="18">
    <w:abstractNumId w:val="36"/>
  </w:num>
  <w:num w:numId="19">
    <w:abstractNumId w:val="51"/>
  </w:num>
  <w:num w:numId="20">
    <w:abstractNumId w:val="28"/>
  </w:num>
  <w:num w:numId="21">
    <w:abstractNumId w:val="31"/>
  </w:num>
  <w:num w:numId="22">
    <w:abstractNumId w:val="25"/>
  </w:num>
  <w:num w:numId="23">
    <w:abstractNumId w:val="10"/>
  </w:num>
  <w:num w:numId="24">
    <w:abstractNumId w:val="39"/>
  </w:num>
  <w:num w:numId="25">
    <w:abstractNumId w:val="30"/>
  </w:num>
  <w:num w:numId="26">
    <w:abstractNumId w:val="7"/>
  </w:num>
  <w:num w:numId="27">
    <w:abstractNumId w:val="15"/>
  </w:num>
  <w:num w:numId="28">
    <w:abstractNumId w:val="9"/>
  </w:num>
  <w:num w:numId="29">
    <w:abstractNumId w:val="47"/>
  </w:num>
  <w:num w:numId="30">
    <w:abstractNumId w:val="59"/>
  </w:num>
  <w:num w:numId="31">
    <w:abstractNumId w:val="57"/>
  </w:num>
  <w:num w:numId="32">
    <w:abstractNumId w:val="37"/>
  </w:num>
  <w:num w:numId="33">
    <w:abstractNumId w:val="43"/>
  </w:num>
  <w:num w:numId="34">
    <w:abstractNumId w:val="16"/>
  </w:num>
  <w:num w:numId="35">
    <w:abstractNumId w:val="38"/>
  </w:num>
  <w:num w:numId="36">
    <w:abstractNumId w:val="12"/>
  </w:num>
  <w:num w:numId="37">
    <w:abstractNumId w:val="22"/>
  </w:num>
  <w:num w:numId="38">
    <w:abstractNumId w:val="21"/>
  </w:num>
  <w:num w:numId="39">
    <w:abstractNumId w:val="19"/>
  </w:num>
  <w:num w:numId="40">
    <w:abstractNumId w:val="45"/>
  </w:num>
  <w:num w:numId="41">
    <w:abstractNumId w:val="44"/>
  </w:num>
  <w:num w:numId="42">
    <w:abstractNumId w:val="46"/>
  </w:num>
  <w:num w:numId="43">
    <w:abstractNumId w:val="35"/>
  </w:num>
  <w:num w:numId="44">
    <w:abstractNumId w:val="20"/>
  </w:num>
  <w:num w:numId="45">
    <w:abstractNumId w:val="1"/>
  </w:num>
  <w:num w:numId="46">
    <w:abstractNumId w:val="55"/>
  </w:num>
  <w:num w:numId="47">
    <w:abstractNumId w:val="8"/>
  </w:num>
  <w:num w:numId="48">
    <w:abstractNumId w:val="50"/>
  </w:num>
  <w:num w:numId="49">
    <w:abstractNumId w:val="52"/>
  </w:num>
  <w:num w:numId="50">
    <w:abstractNumId w:val="24"/>
  </w:num>
  <w:num w:numId="51">
    <w:abstractNumId w:val="33"/>
  </w:num>
  <w:num w:numId="52">
    <w:abstractNumId w:val="60"/>
  </w:num>
  <w:num w:numId="53">
    <w:abstractNumId w:val="13"/>
  </w:num>
  <w:num w:numId="54">
    <w:abstractNumId w:val="14"/>
  </w:num>
  <w:num w:numId="55">
    <w:abstractNumId w:val="34"/>
  </w:num>
  <w:num w:numId="56">
    <w:abstractNumId w:val="18"/>
  </w:num>
  <w:num w:numId="57">
    <w:abstractNumId w:val="5"/>
  </w:num>
  <w:num w:numId="58">
    <w:abstractNumId w:val="3"/>
  </w:num>
  <w:num w:numId="59">
    <w:abstractNumId w:val="29"/>
  </w:num>
  <w:num w:numId="60">
    <w:abstractNumId w:val="11"/>
  </w:num>
  <w:num w:numId="61">
    <w:abstractNumId w:val="53"/>
  </w:num>
  <w:num w:numId="62">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F8"/>
    <w:rsid w:val="00005D21"/>
    <w:rsid w:val="0009106E"/>
    <w:rsid w:val="000D7D1E"/>
    <w:rsid w:val="00201716"/>
    <w:rsid w:val="00307210"/>
    <w:rsid w:val="003754F8"/>
    <w:rsid w:val="004E0E41"/>
    <w:rsid w:val="00510260"/>
    <w:rsid w:val="005448CB"/>
    <w:rsid w:val="005E31D7"/>
    <w:rsid w:val="00641E2E"/>
    <w:rsid w:val="00651B79"/>
    <w:rsid w:val="008055DD"/>
    <w:rsid w:val="00884C9C"/>
    <w:rsid w:val="008D40D5"/>
    <w:rsid w:val="00A13A3C"/>
    <w:rsid w:val="00A25512"/>
    <w:rsid w:val="00A36F59"/>
    <w:rsid w:val="00AC569A"/>
    <w:rsid w:val="00AE5ABF"/>
    <w:rsid w:val="00BA2D25"/>
    <w:rsid w:val="00C662F2"/>
    <w:rsid w:val="00D402D6"/>
    <w:rsid w:val="00D755D7"/>
    <w:rsid w:val="00FF5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12ACF"/>
  <w15:chartTrackingRefBased/>
  <w15:docId w15:val="{2C6A2A52-129E-45BE-830E-563715BC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4F8"/>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54F8"/>
    <w:pPr>
      <w:spacing w:before="100" w:beforeAutospacing="1" w:after="100" w:afterAutospacing="1"/>
    </w:pPr>
  </w:style>
  <w:style w:type="character" w:styleId="Strong">
    <w:name w:val="Strong"/>
    <w:basedOn w:val="DefaultParagraphFont"/>
    <w:uiPriority w:val="22"/>
    <w:qFormat/>
    <w:rsid w:val="003754F8"/>
    <w:rPr>
      <w:b/>
      <w:bCs/>
    </w:rPr>
  </w:style>
  <w:style w:type="character" w:styleId="Emphasis">
    <w:name w:val="Emphasis"/>
    <w:basedOn w:val="DefaultParagraphFont"/>
    <w:uiPriority w:val="20"/>
    <w:qFormat/>
    <w:rsid w:val="003754F8"/>
    <w:rPr>
      <w:i/>
      <w:iCs/>
    </w:rPr>
  </w:style>
  <w:style w:type="paragraph" w:styleId="BalloonText">
    <w:name w:val="Balloon Text"/>
    <w:basedOn w:val="Normal"/>
    <w:link w:val="BalloonTextChar"/>
    <w:uiPriority w:val="99"/>
    <w:semiHidden/>
    <w:unhideWhenUsed/>
    <w:rsid w:val="00375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4F8"/>
    <w:rPr>
      <w:rFonts w:ascii="Segoe UI" w:eastAsiaTheme="minorEastAsia" w:hAnsi="Segoe UI" w:cs="Segoe UI"/>
      <w:sz w:val="18"/>
      <w:szCs w:val="18"/>
      <w:lang w:eastAsia="en-AU"/>
    </w:rPr>
  </w:style>
  <w:style w:type="character" w:styleId="Hyperlink">
    <w:name w:val="Hyperlink"/>
    <w:basedOn w:val="DefaultParagraphFont"/>
    <w:uiPriority w:val="99"/>
    <w:semiHidden/>
    <w:unhideWhenUsed/>
    <w:rsid w:val="003754F8"/>
    <w:rPr>
      <w:color w:val="0000FF"/>
      <w:u w:val="single"/>
    </w:rPr>
  </w:style>
  <w:style w:type="character" w:customStyle="1" w:styleId="newwindow">
    <w:name w:val="newwindow"/>
    <w:basedOn w:val="DefaultParagraphFont"/>
    <w:rsid w:val="003754F8"/>
  </w:style>
  <w:style w:type="paragraph" w:styleId="Header">
    <w:name w:val="header"/>
    <w:basedOn w:val="Normal"/>
    <w:link w:val="HeaderChar"/>
    <w:uiPriority w:val="99"/>
    <w:unhideWhenUsed/>
    <w:rsid w:val="00AC569A"/>
    <w:pPr>
      <w:tabs>
        <w:tab w:val="center" w:pos="4513"/>
        <w:tab w:val="right" w:pos="9026"/>
      </w:tabs>
    </w:pPr>
  </w:style>
  <w:style w:type="character" w:customStyle="1" w:styleId="HeaderChar">
    <w:name w:val="Header Char"/>
    <w:basedOn w:val="DefaultParagraphFont"/>
    <w:link w:val="Header"/>
    <w:uiPriority w:val="99"/>
    <w:rsid w:val="00AC569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AC569A"/>
    <w:pPr>
      <w:tabs>
        <w:tab w:val="center" w:pos="4513"/>
        <w:tab w:val="right" w:pos="9026"/>
      </w:tabs>
    </w:pPr>
  </w:style>
  <w:style w:type="character" w:customStyle="1" w:styleId="FooterChar">
    <w:name w:val="Footer Char"/>
    <w:basedOn w:val="DefaultParagraphFont"/>
    <w:link w:val="Footer"/>
    <w:uiPriority w:val="99"/>
    <w:rsid w:val="00AC569A"/>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FF5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45</Pages>
  <Words>10835</Words>
  <Characters>61766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8</cp:revision>
  <dcterms:created xsi:type="dcterms:W3CDTF">2019-12-10T03:29:00Z</dcterms:created>
  <dcterms:modified xsi:type="dcterms:W3CDTF">2021-11-11T02:29:00Z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A19463416</vt:lpwstr>
  </property>
  <property fmtid="{D5CDD505-2E9C-101B-9397-08002B2CF9AE}" pid="4" name="Objective-Title">
    <vt:lpwstr>7.2.1.3.2 Kippa-Ring station precinct - Assessable UPDATED</vt:lpwstr>
  </property>
  <property fmtid="{D5CDD505-2E9C-101B-9397-08002B2CF9AE}" pid="5" name="Objective-Comment">
    <vt:lpwstr/>
  </property>
  <property fmtid="{D5CDD505-2E9C-101B-9397-08002B2CF9AE}" pid="6" name="Objective-CreationStamp">
    <vt:filetime>2019-12-11T23:45:36Z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2020-01-06T04:38:08Z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