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r w:rsidRPr="00325D93">
              <w:rPr>
                <w:rFonts w:ascii="Arial" w:eastAsia="Times New Roman" w:hAnsi="Arial" w:cs="Arial"/>
                <w:b/>
                <w:bCs/>
                <w:sz w:val="20"/>
                <w:szCs w:val="20"/>
                <w:lang w:eastAsia="en-AU"/>
              </w:rPr>
              <w:t>Table 6.2.3.2.1.2 Assessable development - Transition precinct, developable lot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86"/>
        <w:gridCol w:w="5413"/>
        <w:gridCol w:w="2061"/>
        <w:gridCol w:w="3013"/>
      </w:tblGrid>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2F6CE3">
            <w:pPr>
              <w:pStyle w:val="ListParagraph"/>
              <w:numPr>
                <w:ilvl w:val="0"/>
                <w:numId w:val="9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Servicing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is a developable lot that is not serviced with all local government networks including water and sewer.</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fragment or alienate the land or result in the loss of land for future urban purposes;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minimal investment;</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prejudice or delay the use of the land for urban purposes.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adequately serviced with necessary infrastructure to meet on-site needs and requirements;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size and scale that maintains the low density, low intensity and open area landscape character anticipated in the interim precinct; </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designed, located and operated in a manner that avoids nuisance impacts on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requires minimal filling or excavation. Where this occurs, visual impacts are reduced through screening;</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visually dominant from the streetscape or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utilise materials, finishes and colours that are consistent with existing semi-rural environment.</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EF26DF" w:rsidRPr="00EF26DF" w:rsidRDefault="00EF26DF" w:rsidP="00EF26DF">
            <w:pPr>
              <w:rPr>
                <w:rFonts w:ascii="Arial" w:eastAsia="Times New Roman" w:hAnsi="Arial" w:cs="Arial"/>
                <w:sz w:val="20"/>
                <w:szCs w:val="20"/>
                <w:lang w:eastAsia="en-AU"/>
              </w:rPr>
            </w:pPr>
          </w:p>
          <w:p w:rsidR="00EF26DF" w:rsidRPr="00EF26DF" w:rsidRDefault="00EF26DF" w:rsidP="00EF26DF">
            <w:pPr>
              <w:rPr>
                <w:rFonts w:ascii="Arial" w:eastAsia="Times New Roman" w:hAnsi="Arial" w:cs="Arial"/>
                <w:sz w:val="20"/>
                <w:szCs w:val="20"/>
                <w:lang w:eastAsia="en-AU"/>
              </w:rPr>
            </w:pPr>
          </w:p>
          <w:p w:rsidR="00EF26DF" w:rsidRPr="00EF26DF" w:rsidRDefault="00EF26DF" w:rsidP="00EF26DF">
            <w:pPr>
              <w:rPr>
                <w:rFonts w:ascii="Arial" w:eastAsia="Times New Roman" w:hAnsi="Arial" w:cs="Arial"/>
                <w:sz w:val="20"/>
                <w:szCs w:val="20"/>
                <w:lang w:eastAsia="en-AU"/>
              </w:rPr>
            </w:pPr>
          </w:p>
          <w:p w:rsidR="00EF26DF" w:rsidRPr="00EF26DF" w:rsidRDefault="00EF26DF" w:rsidP="00EF26DF">
            <w:pPr>
              <w:rPr>
                <w:rFonts w:ascii="Arial" w:eastAsia="Times New Roman" w:hAnsi="Arial" w:cs="Arial"/>
                <w:sz w:val="20"/>
                <w:szCs w:val="20"/>
                <w:lang w:eastAsia="en-AU"/>
              </w:rPr>
            </w:pPr>
          </w:p>
          <w:p w:rsidR="00EF26DF" w:rsidRPr="00EF26DF" w:rsidRDefault="00EF26DF" w:rsidP="00EF26DF">
            <w:pPr>
              <w:rPr>
                <w:rFonts w:ascii="Arial" w:eastAsia="Times New Roman" w:hAnsi="Arial" w:cs="Arial"/>
                <w:sz w:val="20"/>
                <w:szCs w:val="20"/>
                <w:lang w:eastAsia="en-AU"/>
              </w:rPr>
            </w:pPr>
            <w:bookmarkStart w:id="0" w:name="_GoBack"/>
            <w:bookmarkEnd w:id="0"/>
          </w:p>
          <w:p w:rsidR="00EF26DF" w:rsidRPr="00EF26DF" w:rsidRDefault="00EF26DF" w:rsidP="00EF26DF">
            <w:pPr>
              <w:rPr>
                <w:rFonts w:ascii="Arial" w:eastAsia="Times New Roman" w:hAnsi="Arial" w:cs="Arial"/>
                <w:sz w:val="20"/>
                <w:szCs w:val="20"/>
                <w:lang w:eastAsia="en-AU"/>
              </w:rPr>
            </w:pPr>
          </w:p>
          <w:p w:rsidR="00EF26DF" w:rsidRPr="00EF26DF" w:rsidRDefault="00EF26DF" w:rsidP="00EF26DF">
            <w:pPr>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density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result in residential density exceeding more than one dwelling house</w:t>
            </w:r>
            <w:r w:rsidRPr="00325D93">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lot. </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height of buildings and structures:</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consistent with the existing low rise, open area and low density character and amenity of the Interim precinct;</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unduly impact </w:t>
            </w:r>
            <w:proofErr w:type="gramStart"/>
            <w:r w:rsidRPr="00325D93">
              <w:rPr>
                <w:rFonts w:ascii="Arial" w:eastAsia="Times New Roman" w:hAnsi="Arial" w:cs="Arial"/>
                <w:sz w:val="20"/>
                <w:szCs w:val="20"/>
                <w:lang w:eastAsia="en-AU"/>
              </w:rPr>
              <w:t>on  access</w:t>
            </w:r>
            <w:proofErr w:type="gramEnd"/>
            <w:r w:rsidRPr="00325D93">
              <w:rPr>
                <w:rFonts w:ascii="Arial" w:eastAsia="Times New Roman" w:hAnsi="Arial" w:cs="Arial"/>
                <w:sz w:val="20"/>
                <w:szCs w:val="20"/>
                <w:lang w:eastAsia="en-AU"/>
              </w:rPr>
              <w:t xml:space="preserve"> to daylight, sunlight, overshadowing or privacy experienced by adjoining premises.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otherwise specified in this code, the height of all buildings and structures does not exceed 5m.</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2700"/>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 setback to:</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semi-rural character of the area;</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the privacy of adjoining.</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specified elsewhere in the zone code, the minimum setback from a boundary is as follows:</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Front boundary – 6m;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Side boundary – 4.5m;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3"/>
            </w:tblGrid>
            <w:tr w:rsidR="00325D93" w:rsidRPr="00325D93" w:rsidTr="00A915A5">
              <w:trPr>
                <w:tblCellSpacing w:w="15" w:type="dxa"/>
              </w:trPr>
              <w:tc>
                <w:tcPr>
                  <w:tcW w:w="555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Non-residential uses are setback to ensure: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chemical spray, fumes, odour, dust are contained on-site;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and </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buildings and other structures are consistent with the open area, low density, low built form character and amenity associated with the interim precinct.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and associated buildings are setback from all property boundaries as follows:</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husbandry</w:t>
            </w:r>
            <w:r w:rsidRPr="00325D93">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9"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keeping</w:t>
            </w:r>
            <w:r w:rsidRPr="00325D93">
              <w:rPr>
                <w:rFonts w:ascii="Arial" w:eastAsia="Times New Roman" w:hAnsi="Arial" w:cs="Arial"/>
                <w:sz w:val="20"/>
                <w:szCs w:val="20"/>
                <w:vertAlign w:val="superscript"/>
                <w:lang w:eastAsia="en-AU"/>
              </w:rPr>
              <w:t>(</w:t>
            </w:r>
            <w:hyperlink r:id="rId10"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excluding catteries and kennels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Intensive horticulture</w:t>
            </w:r>
            <w:r w:rsidRPr="00325D93">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325D93">
                <w:rPr>
                  <w:rFonts w:ascii="Arial" w:eastAsia="Times New Roman" w:hAnsi="Arial" w:cs="Arial"/>
                  <w:color w:val="0000FF"/>
                  <w:sz w:val="20"/>
                  <w:szCs w:val="20"/>
                  <w:vertAlign w:val="superscript"/>
                  <w:lang w:eastAsia="en-AU"/>
                </w:rPr>
                <w:t>40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1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Wholesale nursery</w:t>
            </w:r>
            <w:r w:rsidRPr="00325D93">
              <w:rPr>
                <w:rFonts w:ascii="Arial" w:eastAsia="Times New Roman" w:hAnsi="Arial" w:cs="Arial"/>
                <w:sz w:val="20"/>
                <w:szCs w:val="20"/>
                <w:vertAlign w:val="superscript"/>
                <w:lang w:eastAsia="en-AU"/>
              </w:rPr>
              <w:t>(</w:t>
            </w:r>
            <w:hyperlink r:id="rId14"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Veterinary services</w:t>
            </w:r>
            <w:r w:rsidRPr="00325D93">
              <w:rPr>
                <w:rFonts w:ascii="Arial" w:eastAsia="Times New Roman" w:hAnsi="Arial" w:cs="Arial"/>
                <w:sz w:val="20"/>
                <w:szCs w:val="20"/>
                <w:vertAlign w:val="superscript"/>
                <w:lang w:eastAsia="en-AU"/>
              </w:rPr>
              <w:t>(</w:t>
            </w:r>
            <w:hyperlink r:id="rId15"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w:t>
            </w:r>
          </w:p>
          <w:p w:rsidR="00325D93" w:rsidRPr="00325D93" w:rsidRDefault="00325D93" w:rsidP="00A915A5">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a development footprint has been identified as part of a development approval for reconfiguring a lot, all development occurs with</w:t>
            </w:r>
            <w:r w:rsidR="00A915A5">
              <w:rPr>
                <w:rFonts w:ascii="Arial" w:eastAsia="Times New Roman" w:hAnsi="Arial" w:cs="Arial"/>
                <w:sz w:val="20"/>
                <w:szCs w:val="20"/>
                <w:lang w:eastAsia="en-AU"/>
              </w:rPr>
              <w:t>in that development footprint.</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Amenity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amenity of the area and adjacent sensitive land uses are protected from the impacts of dust, </w:t>
            </w:r>
            <w:r w:rsidRPr="00325D93">
              <w:rPr>
                <w:rFonts w:ascii="Arial" w:eastAsia="Times New Roman" w:hAnsi="Arial" w:cs="Arial"/>
                <w:sz w:val="20"/>
                <w:szCs w:val="20"/>
                <w:lang w:eastAsia="en-AU"/>
              </w:rPr>
              <w:lastRenderedPageBreak/>
              <w:t xml:space="preserve">odour, noise, light, chemicals and other environmental nuisances.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located, designed and operated to avoid nuisance impacts caused by glare and lighting on another property.  Nuisance effects generated as a result of development are to be contained to the development site.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Illumination does not exceed the recommended maximum values of light technical parameters for the control of obtrusive light in Table 2.1 of the Australian Standard AS 4282 (1997) Control of Obtrusive Effects of Outdoor Lighting.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25D93">
                    <w:rPr>
                      <w:rFonts w:ascii="Arial" w:eastAsia="Times New Roman" w:hAnsi="Arial" w:cs="Arial"/>
                      <w:i/>
                      <w:iCs/>
                      <w:sz w:val="20"/>
                      <w:szCs w:val="20"/>
                      <w:lang w:eastAsia="en-AU"/>
                    </w:rPr>
                    <w:t>State Planning Policy Guideline - Guidance on development involving hazardous chemicals</w:t>
                  </w:r>
                  <w:r w:rsidRPr="00325D93">
                    <w:rPr>
                      <w:rFonts w:ascii="Arial" w:eastAsia="Times New Roman" w:hAnsi="Arial" w:cs="Arial"/>
                      <w:sz w:val="20"/>
                      <w:szCs w:val="20"/>
                      <w:lang w:eastAsia="en-AU"/>
                    </w:rPr>
                    <w:t xml:space="preserv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E12.1 (a) or (b) cannot be achieved, then the risk of any foreseeable hazard scenario shall not exceed an individual fatality risk level of 0.5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w:t>
            </w:r>
            <w:r w:rsidRPr="00325D93">
              <w:rPr>
                <w:rFonts w:ascii="Arial" w:eastAsia="Times New Roman" w:hAnsi="Arial" w:cs="Arial"/>
                <w:sz w:val="20"/>
                <w:szCs w:val="20"/>
                <w:lang w:eastAsia="en-AU"/>
              </w:rPr>
              <w:lastRenderedPageBreak/>
              <w:t xml:space="preserve">boundary of a commercial or community activity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E12.2 (a) or (b) cannot be achieved, then the risk of any foreseeable hazard scenario shall not exceed an individual fatality risk level of 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14kPa overpressure;</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12.6kW/m2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E12.3 (a) or (b) cannot be achieved, then the risk of any foreseeable hazard scenario shall not exceed an individual fatality risk level of 50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bulk tanks are anchored so they cannot float if submerged or inundated by water; and</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 tank openings not provided with a liquid tight seal, i.e. an atmospheric vent, are extended above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Waste Treatment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on-site is treated and disposed of in an acceptable manner to mitigate any impacts on soil, surface water or ground water quality.  Development resulting in the degradation </w:t>
            </w:r>
            <w:r w:rsidRPr="00325D93">
              <w:rPr>
                <w:rFonts w:ascii="Arial" w:eastAsia="Times New Roman" w:hAnsi="Arial" w:cs="Arial"/>
                <w:sz w:val="20"/>
                <w:szCs w:val="20"/>
                <w:lang w:eastAsia="en-AU"/>
              </w:rPr>
              <w:lastRenderedPageBreak/>
              <w:t xml:space="preserve">of soil, surface water or ground water quality is avoided. </w:t>
            </w:r>
          </w:p>
        </w:tc>
        <w:tc>
          <w:tcPr>
            <w:tcW w:w="1751"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concentrated animal use areas (e.g. Sheds, pens, holding yards, stables, kennels and other animal enclosures) are provided with site drainage to ensure all run-off is directed to suitable detention basins, filtration or other treatment areas. </w:t>
            </w:r>
          </w:p>
        </w:tc>
        <w:tc>
          <w:tcPr>
            <w:tcW w:w="66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Traffic generation, vehicle movement and on-site car parking associated with an activity:</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convenient and accessible access for vehicles and pedestrians;</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and convenient on-site parking and manoeuvring to meet anticipated parking demand;</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3015"/>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Noise generating uses do not adversely affect existing or potential noise sensitive uses.  Noise is to be mitigated in accordance with Planning scheme policy - Noise.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use of walls, barriers or fences that are visible from a road or public area are not appropriate noise attenuation measures unless adjoining a motorway, arterial road or rail line. </w:t>
                  </w:r>
                </w:p>
              </w:tc>
            </w:tr>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w:t>
                  </w:r>
                  <w:r w:rsidRPr="00325D93">
                    <w:rPr>
                      <w:rFonts w:ascii="Arial" w:eastAsia="Times New Roman" w:hAnsi="Arial" w:cs="Arial"/>
                      <w:sz w:val="20"/>
                      <w:szCs w:val="20"/>
                      <w:lang w:eastAsia="en-AU"/>
                    </w:rPr>
                    <w:lastRenderedPageBreak/>
                    <w:t xml:space="preserve">prepared in accordance with Planning scheme policy - Noise.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designed to meet the criteria outlined in the Planning Scheme Policy – Noise</w:t>
            </w:r>
            <w:r w:rsidRPr="00325D93">
              <w:rPr>
                <w:rFonts w:ascii="Arial" w:eastAsia="Times New Roman" w:hAnsi="Arial" w:cs="Arial"/>
                <w:i/>
                <w:iCs/>
                <w:sz w:val="20"/>
                <w:szCs w:val="20"/>
                <w:lang w:eastAsia="en-AU"/>
              </w:rPr>
              <w:t>.</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Noise attenuation structures (e.g. walls, barriers or fences):</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visible from an adjoining road or public area unless: </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adjoining a motorway or rail line; or</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remove existing or prevent future active transport routes or connections to the street network;</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constructed and landscaped in accordance with Planning scheme policy - Integrated design.</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Clearing of habitat trees where not located within the Environmental areas overlay map</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E016C">
              <w:rPr>
                <w:rFonts w:ascii="Arial" w:eastAsia="Times New Roman" w:hAnsi="Arial" w:cs="Arial"/>
                <w:b/>
                <w:bCs/>
                <w:sz w:val="20"/>
                <w:szCs w:val="20"/>
                <w:lang w:eastAsia="en-AU"/>
              </w:rPr>
              <w:t>19</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09"/>
        <w:gridCol w:w="5300"/>
        <w:gridCol w:w="1887"/>
        <w:gridCol w:w="3677"/>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0</w:t>
            </w:r>
          </w:p>
          <w:p w:rsidR="00DE016C" w:rsidRPr="00325D93"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scheme policy - Integrated design (Appendix A).</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0</w:t>
            </w:r>
          </w:p>
          <w:p w:rsidR="00325D93"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required, access easements contain a driveway and provision for services appropriate to the use. The easement covers </w:t>
            </w:r>
            <w:r w:rsidRPr="00325D93">
              <w:rPr>
                <w:rFonts w:ascii="Arial" w:eastAsia="Times New Roman" w:hAnsi="Arial" w:cs="Arial"/>
                <w:sz w:val="20"/>
                <w:szCs w:val="20"/>
                <w:lang w:eastAsia="en-AU"/>
              </w:rPr>
              <w:lastRenderedPageBreak/>
              <w:t xml:space="preserve">all works associated with the access in accordance with Planning scheme policy - Integrated design. </w:t>
            </w: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provides for the extension of the road network in the area in accordance with Council’s road network planning.</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w:t>
            </w:r>
            <w:r w:rsidR="00DE016C">
              <w:rPr>
                <w:rFonts w:ascii="Arial" w:eastAsia="Times New Roman" w:hAnsi="Arial" w:cs="Arial"/>
                <w:sz w:val="20"/>
                <w:szCs w:val="20"/>
                <w:lang w:eastAsia="en-AU"/>
              </w:rPr>
              <w:t>development</w:t>
            </w:r>
            <w:r w:rsidRPr="00325D93">
              <w:rPr>
                <w:rFonts w:ascii="Arial" w:eastAsia="Times New Roman" w:hAnsi="Arial" w:cs="Arial"/>
                <w:sz w:val="20"/>
                <w:szCs w:val="20"/>
                <w:lang w:eastAsia="en-AU"/>
              </w:rPr>
              <w:t xml:space="preserve"> layout allows forward </w:t>
            </w:r>
            <w:r w:rsidR="00DE016C">
              <w:rPr>
                <w:rFonts w:ascii="Arial" w:eastAsia="Times New Roman" w:hAnsi="Arial" w:cs="Arial"/>
                <w:sz w:val="20"/>
                <w:szCs w:val="20"/>
                <w:lang w:eastAsia="en-AU"/>
              </w:rPr>
              <w:t xml:space="preserve">vehicular </w:t>
            </w:r>
            <w:r w:rsidRPr="00325D93">
              <w:rPr>
                <w:rFonts w:ascii="Arial" w:eastAsia="Times New Roman" w:hAnsi="Arial" w:cs="Arial"/>
                <w:sz w:val="20"/>
                <w:szCs w:val="20"/>
                <w:lang w:eastAsia="en-AU"/>
              </w:rPr>
              <w:t>access to and from the site.</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.1</w:t>
            </w:r>
          </w:p>
          <w:p w:rsidR="00DE016C" w:rsidRPr="00DE016C" w:rsidRDefault="00DE016C" w:rsidP="00DE016C">
            <w:pPr>
              <w:spacing w:before="100" w:beforeAutospacing="1" w:after="100" w:afterAutospacing="1" w:line="240" w:lineRule="auto"/>
              <w:ind w:left="172"/>
              <w:rPr>
                <w:rFonts w:ascii="Arial" w:eastAsia="Times New Roman" w:hAnsi="Arial" w:cs="Arial"/>
                <w:sz w:val="20"/>
                <w:szCs w:val="20"/>
                <w:lang w:eastAsia="en-AU"/>
              </w:rPr>
            </w:pPr>
            <w:r w:rsidRPr="00DE016C">
              <w:rPr>
                <w:rFonts w:ascii="Arial" w:eastAsia="Times New Roman" w:hAnsi="Arial" w:cs="Arial"/>
                <w:sz w:val="20"/>
                <w:szCs w:val="20"/>
                <w:lang w:eastAsia="en-AU"/>
              </w:rPr>
              <w:t>Site access and driveways are designed, located and constructed in accordance with:</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not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AS/NZS2890.1 Parking facilities Part 1: Off street car parking;</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 2890.2 - Parking facilities Part 2: Off-street commercial vehicle facilities;</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 xml:space="preserve">where for a State-Controlled road, the Safe Intersection Sight Distance requirements in Austroads and the appropriate IPWEAQ standard </w:t>
            </w:r>
            <w:r w:rsidRPr="00DE016C">
              <w:rPr>
                <w:rFonts w:ascii="Arial" w:eastAsia="Times New Roman" w:hAnsi="Arial" w:cs="Arial"/>
                <w:sz w:val="20"/>
                <w:szCs w:val="20"/>
                <w:lang w:eastAsia="en-AU"/>
              </w:rPr>
              <w:lastRenderedPageBreak/>
              <w:t>drawings, or a copy of a Transport Infrastructure Act 1994, section 62 approval.</w:t>
            </w:r>
          </w:p>
          <w:p w:rsidR="00DE016C" w:rsidRPr="00325D93" w:rsidRDefault="00DE016C" w:rsidP="00DE016C">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.2</w:t>
            </w:r>
          </w:p>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Internal driveways, car parks and access ways are designed and constructed with a sealed pavement and in accordance with: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AS/NZS 2890.1 Parking Facilities Part 1: Off street car parking;</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 2890.2 Parking Facilities Part 2: Off street commercial vehicle facilities;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 and</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tbl>
            <w:tblPr>
              <w:tblW w:w="51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153"/>
            </w:tblGrid>
            <w:tr w:rsidR="00DE016C" w:rsidRPr="00DE016C" w:rsidTr="00DE016C">
              <w:trPr>
                <w:tblCellSpacing w:w="15" w:type="dxa"/>
              </w:trPr>
              <w:tc>
                <w:tcPr>
                  <w:tcW w:w="5093" w:type="dxa"/>
                  <w:tcBorders>
                    <w:top w:val="single" w:sz="6" w:space="0" w:color="CCCCCC"/>
                    <w:left w:val="single" w:sz="6" w:space="0" w:color="CCCCCC"/>
                    <w:bottom w:val="single" w:sz="6" w:space="0" w:color="CCCCCC"/>
                    <w:right w:val="single" w:sz="6" w:space="0" w:color="CCCCCC"/>
                  </w:tcBorders>
                  <w:vAlign w:val="center"/>
                  <w:hideMark/>
                </w:tcPr>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Note - This includes queue lengths (refer to Schedule 8 - Service vehicle requirements), pavement widths and construction.</w:t>
                  </w:r>
                </w:p>
              </w:tc>
            </w:tr>
          </w:tbl>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.3</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bottom w:val="outset" w:sz="6" w:space="0" w:color="auto"/>
              <w:right w:val="outset" w:sz="6" w:space="0" w:color="auto"/>
            </w:tcBorders>
            <w:vAlign w:val="center"/>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DE016C" w:rsidRPr="00DE016C" w:rsidRDefault="00DE016C" w:rsidP="00DE016C">
            <w:pPr>
              <w:spacing w:before="100" w:beforeAutospacing="1" w:after="100" w:afterAutospacing="1" w:line="240" w:lineRule="auto"/>
              <w:ind w:left="150" w:right="150"/>
              <w:rPr>
                <w:rFonts w:ascii="Arial" w:eastAsia="Times New Roman" w:hAnsi="Arial" w:cs="Arial"/>
                <w:b/>
                <w:bCs/>
                <w:sz w:val="20"/>
                <w:szCs w:val="20"/>
                <w:lang w:eastAsia="en-AU"/>
              </w:rPr>
            </w:pPr>
            <w:r w:rsidRPr="00DE016C">
              <w:rPr>
                <w:rFonts w:ascii="Arial" w:eastAsia="Times New Roman" w:hAnsi="Arial" w:cs="Arial"/>
                <w:b/>
                <w:bCs/>
                <w:sz w:val="20"/>
                <w:szCs w:val="20"/>
                <w:lang w:eastAsia="en-AU"/>
              </w:rPr>
              <w:t>E2</w:t>
            </w:r>
            <w:r w:rsidR="00EE1718">
              <w:rPr>
                <w:rFonts w:ascii="Arial" w:eastAsia="Times New Roman" w:hAnsi="Arial" w:cs="Arial"/>
                <w:b/>
                <w:bCs/>
                <w:sz w:val="20"/>
                <w:szCs w:val="20"/>
                <w:lang w:eastAsia="en-AU"/>
              </w:rPr>
              <w:t>3</w:t>
            </w:r>
            <w:r w:rsidRPr="00DE016C">
              <w:rPr>
                <w:rFonts w:ascii="Arial" w:eastAsia="Times New Roman" w:hAnsi="Arial" w:cs="Arial"/>
                <w:b/>
                <w:bCs/>
                <w:sz w:val="20"/>
                <w:szCs w:val="20"/>
                <w:lang w:eastAsia="en-AU"/>
              </w:rPr>
              <w:t>.4</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8"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PO24</w:t>
            </w:r>
          </w:p>
          <w:p w:rsid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Editor's note - Where associated with a State-controlled road, further requirements may apply, and approvals may be required from the Department of Transport and Main Roads.</w:t>
            </w: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sz w:val="20"/>
                <w:szCs w:val="20"/>
                <w:lang w:eastAsia="en-AU"/>
              </w:rPr>
            </w:pPr>
            <w:r w:rsidRPr="00EE1718">
              <w:rPr>
                <w:rFonts w:ascii="Arial" w:eastAsia="Times New Roman" w:hAnsi="Arial" w:cs="Arial"/>
                <w:b/>
                <w:sz w:val="20"/>
                <w:szCs w:val="20"/>
                <w:lang w:eastAsia="en-AU"/>
              </w:rPr>
              <w:lastRenderedPageBreak/>
              <w:t>E24</w:t>
            </w:r>
          </w:p>
          <w:p w:rsid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EE1718" w:rsidRPr="00325D93"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Note - The road network is mapped on Overlay map - Road hierarchy. </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val="restart"/>
            <w:tcBorders>
              <w:top w:val="outset" w:sz="6" w:space="0" w:color="auto"/>
              <w:left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5</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.1</w:t>
            </w:r>
          </w:p>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 xml:space="preserve">Access roads to the development have </w:t>
            </w:r>
            <w:proofErr w:type="gramStart"/>
            <w:r w:rsidRPr="00EE1718">
              <w:rPr>
                <w:rFonts w:ascii="Arial" w:eastAsia="Times New Roman" w:hAnsi="Arial" w:cs="Arial"/>
                <w:sz w:val="20"/>
                <w:szCs w:val="20"/>
                <w:lang w:eastAsia="en-AU"/>
              </w:rPr>
              <w:t>sufficient</w:t>
            </w:r>
            <w:proofErr w:type="gramEnd"/>
            <w:r w:rsidRPr="00EE1718">
              <w:rPr>
                <w:rFonts w:ascii="Arial" w:eastAsia="Times New Roman" w:hAnsi="Arial" w:cs="Arial"/>
                <w:sz w:val="20"/>
                <w:szCs w:val="20"/>
                <w:lang w:eastAsia="en-AU"/>
              </w:rPr>
              <w:t xml:space="preserve">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The road network is mapped on Overlay map - Road hierarchy.</w:t>
                  </w:r>
                </w:p>
              </w:tc>
            </w:tr>
          </w:tbl>
          <w:p w:rsidR="00EE1718" w:rsidRPr="00EE1718" w:rsidRDefault="00EE1718" w:rsidP="00EE1718">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Refer to QUDM for requirements regarding trafficability. </w:t>
                  </w:r>
                </w:p>
              </w:tc>
            </w:tr>
          </w:tbl>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tcBorders>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.2</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608"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EE171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Street design and layout</w:t>
            </w: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6</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EE1718">
              <w:rPr>
                <w:rFonts w:ascii="Arial" w:eastAsia="Times New Roman" w:hAnsi="Arial" w:cs="Arial"/>
                <w:bCs/>
                <w:sz w:val="20"/>
                <w:szCs w:val="20"/>
                <w:lang w:eastAsia="en-AU"/>
              </w:rPr>
              <w:t>accommodates</w:t>
            </w:r>
            <w:proofErr w:type="gramEnd"/>
            <w:r w:rsidRPr="00EE1718">
              <w:rPr>
                <w:rFonts w:ascii="Arial" w:eastAsia="Times New Roman" w:hAnsi="Arial" w:cs="Arial"/>
                <w:bCs/>
                <w:sz w:val="20"/>
                <w:szCs w:val="20"/>
                <w:lang w:eastAsia="en-AU"/>
              </w:rPr>
              <w:t xml:space="preserve"> the following functions: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access to premises by providing convenient vehicular movement for residents between their homes and the major road network;</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safe and convenient pedestrian and cycle movement;</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adequate on street parking;</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stormwater drainage paths and treatment facilities;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efficient public transport routes;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utility services location;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emergency access and waste collection;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setting and approach (streetscape, landscaping and street furniture) for adjoining residences;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expected traffic speeds and volumes; and</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wildlife movement (where relevant).</w:t>
            </w: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EE1718" w:rsidRPr="00804F9C" w:rsidRDefault="00EE1718" w:rsidP="00EE1718">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val="restart"/>
            <w:hideMark/>
          </w:tcPr>
          <w:p w:rsidR="00766D37" w:rsidRPr="002A30F2"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A30F2">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7</w:t>
            </w:r>
          </w:p>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Retail activities including Hardware and trade supplies, Showroom, Shop 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804F9C">
                    <w:rPr>
                      <w:rFonts w:ascii="Arial" w:eastAsia="Times New Roman" w:hAnsi="Arial" w:cs="Arial"/>
                      <w:bCs/>
                      <w:sz w:val="20"/>
                      <w:szCs w:val="20"/>
                      <w:lang w:eastAsia="en-AU"/>
                    </w:rPr>
                    <w:t>sufficient</w:t>
                  </w:r>
                  <w:proofErr w:type="gramEnd"/>
                  <w:r w:rsidRPr="00804F9C">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w:t>
                  </w:r>
                  <w:r w:rsidRPr="00804F9C">
                    <w:rPr>
                      <w:rFonts w:ascii="Arial" w:eastAsia="Times New Roman" w:hAnsi="Arial" w:cs="Arial"/>
                      <w:bCs/>
                      <w:sz w:val="20"/>
                      <w:szCs w:val="20"/>
                      <w:lang w:eastAsia="en-AU"/>
                    </w:rPr>
                    <w:lastRenderedPageBreak/>
                    <w:t>ultimate developed catchment’s impacts and necessary ameliorative works, and the works or contribution required by the applicant as identified in the study.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lastRenderedPageBreak/>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.1</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new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.2</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 xml:space="preserve">Existing intersections external to the site are upgraded as necessary to accommodate increased traffic from the development.  Design is in accordance with </w:t>
            </w:r>
            <w:r w:rsidRPr="00766D37">
              <w:rPr>
                <w:rFonts w:ascii="Arial" w:eastAsia="Times New Roman" w:hAnsi="Arial" w:cs="Arial"/>
                <w:sz w:val="20"/>
                <w:szCs w:val="20"/>
                <w:lang w:eastAsia="en-AU"/>
              </w:rPr>
              <w:lastRenderedPageBreak/>
              <w:t>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b/>
                <w:sz w:val="20"/>
                <w:szCs w:val="20"/>
                <w:lang w:eastAsia="en-AU"/>
              </w:rPr>
            </w:pPr>
            <w:r w:rsidRPr="00766D37">
              <w:rPr>
                <w:rFonts w:ascii="Arial" w:eastAsia="Times New Roman" w:hAnsi="Arial" w:cs="Arial"/>
                <w:b/>
                <w:sz w:val="20"/>
                <w:szCs w:val="20"/>
                <w:lang w:eastAsia="en-AU"/>
              </w:rPr>
              <w:t>E2</w:t>
            </w:r>
            <w:r w:rsidR="00AF1E0D">
              <w:rPr>
                <w:rFonts w:ascii="Arial" w:eastAsia="Times New Roman" w:hAnsi="Arial" w:cs="Arial"/>
                <w:b/>
                <w:sz w:val="20"/>
                <w:szCs w:val="20"/>
                <w:lang w:eastAsia="en-AU"/>
              </w:rPr>
              <w:t>7</w:t>
            </w:r>
            <w:r w:rsidRPr="00766D37">
              <w:rPr>
                <w:rFonts w:ascii="Arial" w:eastAsia="Times New Roman" w:hAnsi="Arial" w:cs="Arial"/>
                <w:b/>
                <w:sz w:val="20"/>
                <w:szCs w:val="20"/>
                <w:lang w:eastAsia="en-AU"/>
              </w:rPr>
              <w:t>.3</w:t>
            </w:r>
          </w:p>
          <w:p w:rsidR="00766D37" w:rsidRPr="00325D93"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The active transport network is extended in accordance with Planning scheme policy - Integrated design.</w:t>
            </w:r>
          </w:p>
        </w:tc>
        <w:tc>
          <w:tcPr>
            <w:tcW w:w="608"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C944B3" w:rsidRPr="00F320E6" w:rsidRDefault="00C944B3" w:rsidP="00C944B3">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8</w:t>
            </w:r>
          </w:p>
          <w:p w:rsidR="00766D37"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for all users.</w:t>
            </w:r>
          </w:p>
          <w:p w:rsid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Refer Planning scheme policy - Integrated design and Planning scheme policy - Operational works inspection, maintenance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bonding procedures for design and construction standards.</w:t>
            </w:r>
          </w:p>
          <w:p w:rsidR="00C944B3" w:rsidRP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An Integrated Transport Assessment (ITA) including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preliminary intersection designs, prepared in accordance with</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Planning scheme policy - Integrated transport assessment may be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required to demonstrate compliance with this PO. Intersection</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spacing will be determined based on the deceleration and queue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storage distances required for the intersection after considering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vehicle speed and present/forecast turning and through volumes.</w:t>
            </w:r>
          </w:p>
        </w:tc>
        <w:tc>
          <w:tcPr>
            <w:tcW w:w="1715" w:type="pct"/>
            <w:tcBorders>
              <w:top w:val="outset" w:sz="6" w:space="0" w:color="auto"/>
              <w:left w:val="outset" w:sz="6" w:space="0" w:color="auto"/>
              <w:bottom w:val="outset" w:sz="6" w:space="0" w:color="auto"/>
              <w:right w:val="outset" w:sz="6" w:space="0" w:color="auto"/>
            </w:tcBorders>
          </w:tcPr>
          <w:p w:rsidR="00766D37" w:rsidRPr="00F320E6" w:rsidRDefault="00F320E6" w:rsidP="00766D37">
            <w:pPr>
              <w:spacing w:before="100" w:beforeAutospacing="1" w:after="100" w:afterAutospacing="1" w:line="240" w:lineRule="auto"/>
              <w:ind w:right="150"/>
              <w:rPr>
                <w:rFonts w:ascii="Arial" w:eastAsia="Times New Roman" w:hAnsi="Arial" w:cs="Arial"/>
                <w:b/>
                <w:sz w:val="20"/>
                <w:szCs w:val="20"/>
                <w:lang w:eastAsia="en-AU"/>
              </w:rPr>
            </w:pPr>
            <w:r w:rsidRPr="00F320E6">
              <w:rPr>
                <w:rFonts w:ascii="Arial" w:eastAsia="Times New Roman" w:hAnsi="Arial" w:cs="Arial"/>
                <w:b/>
                <w:sz w:val="20"/>
                <w:szCs w:val="20"/>
                <w:lang w:eastAsia="en-AU"/>
              </w:rPr>
              <w:t>E2</w:t>
            </w:r>
            <w:r w:rsidR="00AF1E0D">
              <w:rPr>
                <w:rFonts w:ascii="Arial" w:eastAsia="Times New Roman" w:hAnsi="Arial" w:cs="Arial"/>
                <w:b/>
                <w:sz w:val="20"/>
                <w:szCs w:val="20"/>
                <w:lang w:eastAsia="en-AU"/>
              </w:rPr>
              <w:t>8</w:t>
            </w:r>
          </w:p>
          <w:p w:rsid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New intersection spacing (centreline </w:t>
            </w:r>
            <w:r w:rsidRPr="00F320E6">
              <w:rPr>
                <w:rFonts w:ascii="Arial" w:eastAsia="Times New Roman" w:hAnsi="Arial" w:cs="Arial" w:hint="eastAsia"/>
                <w:sz w:val="20"/>
                <w:szCs w:val="20"/>
                <w:lang w:eastAsia="en-AU"/>
              </w:rPr>
              <w:t>–</w:t>
            </w:r>
            <w:r w:rsidRPr="00F320E6">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a through road conforms with the following:</w:t>
            </w:r>
          </w:p>
          <w:p w:rsidR="00F320E6" w:rsidRDefault="00F320E6" w:rsidP="00F320E6">
            <w:pPr>
              <w:spacing w:before="100" w:beforeAutospacing="1" w:after="100" w:afterAutospacing="1" w:line="240" w:lineRule="auto"/>
              <w:ind w:left="450" w:right="150"/>
              <w:rPr>
                <w:rFonts w:ascii="Arial" w:eastAsia="Times New Roman" w:hAnsi="Arial" w:cs="Arial"/>
                <w:sz w:val="20"/>
                <w:szCs w:val="20"/>
                <w:lang w:eastAsia="en-AU"/>
              </w:rPr>
            </w:pPr>
            <w:r w:rsidRPr="00F320E6">
              <w:rPr>
                <w:rFonts w:ascii="Arial" w:eastAsia="Times New Roman" w:hAnsi="Arial" w:cs="Arial"/>
                <w:sz w:val="20"/>
                <w:szCs w:val="20"/>
                <w:lang w:eastAsia="en-AU"/>
              </w:rPr>
              <w:t>a. Where the through road provides an access or</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collector function:</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F320E6">
              <w:rPr>
                <w:rFonts w:ascii="Arial" w:eastAsia="Times New Roman" w:hAnsi="Arial" w:cs="Arial"/>
                <w:sz w:val="20"/>
                <w:szCs w:val="20"/>
                <w:lang w:eastAsia="en-AU"/>
              </w:rPr>
              <w:t>i</w:t>
            </w:r>
            <w:proofErr w:type="spellEnd"/>
            <w:r w:rsidRPr="00F320E6">
              <w:rPr>
                <w:rFonts w:ascii="Arial" w:eastAsia="Times New Roman" w:hAnsi="Arial" w:cs="Arial"/>
                <w:sz w:val="20"/>
                <w:szCs w:val="20"/>
                <w:lang w:eastAsia="en-AU"/>
              </w:rPr>
              <w:t>. intersecting road located on same side = 100metres;</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r w:rsidRPr="00F320E6">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b. Where the through road provides a sub-arterial</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same side = 300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150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c. When the through road provides an arterial 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the same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500 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lastRenderedPageBreak/>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250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d. Walkable block</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perimeter does not exceed 1500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Based on the absolute minimum intersection spacing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identified above, all turns access may not be permitted (i.e. left in/left</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out only) at intersections with sub-arterial roads or arterial roads.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The road network is mapped on Overlay map - Road</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hierarchy.</w:t>
            </w:r>
          </w:p>
          <w:p w:rsidR="00C944B3" w:rsidRPr="00325D9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An Integrated Transport Assessment (ITA) including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preliminary intersection designs, prepared in accordance with</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Planning scheme policy - Integrated transport assessment may be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required to demonstrate compliance with this PO. Intersection</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spacing will be determined based on the deceleration and queue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storage distances required for the intersection after considering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vehicle speed and present/forecast turning and through volumes.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Frontage roads include streets where no direct lot access is provided.</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The road network is mapped on Overlay map - Road hierarchy.</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Note - The Primary and Secondary active transport network is mapped on Overlay map - Active transport.</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766D37" w:rsidRPr="00F320E6"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221"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E</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221"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2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gridCol w:w="68"/>
            </w:tblGrid>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Situation</w:t>
                  </w:r>
                </w:p>
              </w:tc>
              <w:tc>
                <w:tcPr>
                  <w:tcW w:w="2664"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Minimum construction</w:t>
                  </w:r>
                </w:p>
              </w:tc>
            </w:tr>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unconstructed or gravel road only;</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Frontage road sealed but not constructed* to </w:t>
                  </w:r>
                  <w:r w:rsidRPr="00F320E6">
                    <w:rPr>
                      <w:rFonts w:ascii="Arial" w:eastAsia="Times New Roman" w:hAnsi="Arial" w:cs="Arial"/>
                      <w:bCs/>
                      <w:sz w:val="20"/>
                      <w:szCs w:val="20"/>
                      <w:lang w:eastAsia="en-AU"/>
                    </w:rPr>
                    <w:lastRenderedPageBreak/>
                    <w:t>Planning scheme policy - Integrated design standard;</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partially constructed* to Planning scheme policy - Integrated design standard.</w:t>
                  </w:r>
                </w:p>
              </w:tc>
              <w:tc>
                <w:tcPr>
                  <w:tcW w:w="2664"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w:t>
                  </w:r>
                  <w:r w:rsidRPr="00F320E6">
                    <w:rPr>
                      <w:rFonts w:ascii="Arial" w:eastAsia="Times New Roman" w:hAnsi="Arial" w:cs="Arial"/>
                      <w:bCs/>
                      <w:sz w:val="20"/>
                      <w:szCs w:val="20"/>
                      <w:lang w:eastAsia="en-AU"/>
                    </w:rPr>
                    <w:lastRenderedPageBreak/>
                    <w:t>travel lanes plus 1.5m wide (full depth pavement) gravel shoulder and table drainage to the opposite side.</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The minimum total travel lane width is: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6m for minor roads;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7m for major roads.</w:t>
                  </w:r>
                  <w:r w:rsidRPr="00F320E6">
                    <w:rPr>
                      <w:rFonts w:ascii="Arial" w:eastAsia="Times New Roman" w:hAnsi="Arial" w:cs="Arial"/>
                      <w:bCs/>
                      <w:sz w:val="20"/>
                      <w:szCs w:val="20"/>
                      <w:lang w:eastAsia="en-AU"/>
                    </w:rPr>
                    <w:br/>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p>
              </w:tc>
            </w:tr>
            <w:tr w:rsidR="00F320E6" w:rsidRPr="00F320E6" w:rsidTr="00F320E6">
              <w:tblPrEx>
                <w:tblBorders>
                  <w:top w:val="none" w:sz="0" w:space="0" w:color="auto"/>
                  <w:left w:val="none" w:sz="0" w:space="0" w:color="auto"/>
                  <w:bottom w:val="none" w:sz="0" w:space="0" w:color="auto"/>
                  <w:right w:val="none" w:sz="0" w:space="0" w:color="auto"/>
                </w:tblBorders>
              </w:tblPrEx>
              <w:trPr>
                <w:tblCellSpacing w:w="15" w:type="dxa"/>
              </w:trPr>
              <w:tc>
                <w:tcPr>
                  <w:tcW w:w="5202" w:type="dxa"/>
                  <w:gridSpan w:val="3"/>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Note - Major roads are sub-arterial roads and arterial roads.  Minor roads are roads that are not major roads.</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Construction includes all associated works (services, street lighting and </w:t>
                  </w:r>
                  <w:proofErr w:type="spellStart"/>
                  <w:r w:rsidRPr="00F320E6">
                    <w:rPr>
                      <w:rFonts w:ascii="Arial" w:eastAsia="Times New Roman" w:hAnsi="Arial" w:cs="Arial"/>
                      <w:bCs/>
                      <w:sz w:val="20"/>
                      <w:szCs w:val="20"/>
                      <w:lang w:eastAsia="en-AU"/>
                    </w:rPr>
                    <w:t>linemarking</w:t>
                  </w:r>
                  <w:proofErr w:type="spellEnd"/>
                  <w:r w:rsidRPr="00F320E6">
                    <w:rPr>
                      <w:rFonts w:ascii="Arial" w:eastAsia="Times New Roman" w:hAnsi="Arial" w:cs="Arial"/>
                      <w:bCs/>
                      <w:sz w:val="20"/>
                      <w:szCs w:val="20"/>
                      <w:lang w:eastAsia="en-AU"/>
                    </w:rPr>
                    <w:t>).</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Alignment within road reserves is to be agreed with Council.</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*Roads </w:t>
                  </w:r>
                  <w:proofErr w:type="gramStart"/>
                  <w:r w:rsidRPr="00F320E6">
                    <w:rPr>
                      <w:rFonts w:ascii="Arial" w:eastAsia="Times New Roman" w:hAnsi="Arial" w:cs="Arial"/>
                      <w:bCs/>
                      <w:sz w:val="20"/>
                      <w:szCs w:val="20"/>
                      <w:lang w:eastAsia="en-AU"/>
                    </w:rPr>
                    <w:t>are considered to be</w:t>
                  </w:r>
                  <w:proofErr w:type="gramEnd"/>
                  <w:r w:rsidRPr="00F320E6">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Stormwater</w:t>
            </w:r>
          </w:p>
        </w:tc>
        <w:tc>
          <w:tcPr>
            <w:tcW w:w="1715"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2"/>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Minor stormwater drainage systems (internal and external) have the capacity to convey stormwater flows from frequent storm events </w:t>
            </w:r>
            <w:r w:rsidRPr="00F320E6">
              <w:rPr>
                <w:rFonts w:ascii="Arial" w:eastAsia="Times New Roman" w:hAnsi="Arial" w:cs="Arial"/>
                <w:bCs/>
                <w:sz w:val="20"/>
                <w:szCs w:val="20"/>
                <w:lang w:eastAsia="en-AU"/>
              </w:rPr>
              <w:lastRenderedPageBreak/>
              <w:t>for the fully developed upstream catchment whilst ensuring pedestrian and vehicular traffic movements are safe and convenient.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The capacity of all minor drainage systems </w:t>
            </w:r>
            <w:proofErr w:type="gramStart"/>
            <w:r w:rsidRPr="00F320E6">
              <w:rPr>
                <w:rFonts w:ascii="Arial" w:eastAsia="Times New Roman" w:hAnsi="Arial" w:cs="Arial"/>
                <w:sz w:val="20"/>
                <w:szCs w:val="20"/>
                <w:lang w:eastAsia="en-AU"/>
              </w:rPr>
              <w:t>are</w:t>
            </w:r>
            <w:proofErr w:type="gramEnd"/>
            <w:r w:rsidRPr="00F320E6">
              <w:rPr>
                <w:rFonts w:ascii="Arial" w:eastAsia="Times New Roman" w:hAnsi="Arial" w:cs="Arial"/>
                <w:sz w:val="20"/>
                <w:szCs w:val="20"/>
                <w:lang w:eastAsia="en-AU"/>
              </w:rPr>
              <w:t xml:space="preserve"> designed in accordance with Planning scheme policy - Integrated design. </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F320E6"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.4</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20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F320E6" w:rsidRPr="00F320E6" w:rsidTr="00F320E6">
              <w:trPr>
                <w:tblCellSpacing w:w="15" w:type="dxa"/>
              </w:trPr>
              <w:tc>
                <w:tcPr>
                  <w:tcW w:w="5141"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Note - Refer to QUDM for recommended average flow velocities.</w:t>
                  </w:r>
                </w:p>
              </w:tc>
            </w:tr>
          </w:tbl>
          <w:p w:rsidR="00F320E6" w:rsidRPr="00325D93" w:rsidRDefault="00F320E6"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2</w:t>
            </w:r>
          </w:p>
          <w:p w:rsidR="00766D37"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Provide measures to properly manage surface flows for the 1% AEP event (for the fully developed catchment) draining to and through </w:t>
            </w:r>
            <w:r w:rsidRPr="00F320E6">
              <w:rPr>
                <w:rFonts w:ascii="Arial" w:eastAsia="Times New Roman" w:hAnsi="Arial" w:cs="Arial"/>
                <w:bCs/>
                <w:sz w:val="20"/>
                <w:szCs w:val="20"/>
                <w:lang w:eastAsia="en-AU"/>
              </w:rPr>
              <w:lastRenderedPageBreak/>
              <w:t>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lastRenderedPageBreak/>
              <w:t>E3</w:t>
            </w:r>
            <w:r w:rsidR="00AF1E0D">
              <w:rPr>
                <w:rFonts w:ascii="Arial" w:eastAsia="Times New Roman" w:hAnsi="Arial" w:cs="Arial"/>
                <w:b/>
                <w:bCs/>
                <w:sz w:val="20"/>
                <w:szCs w:val="20"/>
                <w:lang w:eastAsia="en-AU"/>
              </w:rPr>
              <w:t>2</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lastRenderedPageBreak/>
              <w:t>The stormwater drainage system is designed and constructed in accordance with Planning scheme policy - Integrated design.</w:t>
            </w:r>
          </w:p>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3</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run-off from the site is conveyed to a point of lawful discharge without causing </w:t>
            </w:r>
            <w:r w:rsidR="00AF1E0D">
              <w:rPr>
                <w:rFonts w:ascii="Arial" w:eastAsia="Times New Roman" w:hAnsi="Arial" w:cs="Arial"/>
                <w:sz w:val="20"/>
                <w:szCs w:val="20"/>
                <w:lang w:eastAsia="en-AU"/>
              </w:rPr>
              <w:t xml:space="preserve">actionable </w:t>
            </w:r>
            <w:r w:rsidRPr="00325D93">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w:t>
                  </w:r>
                </w:p>
              </w:tc>
            </w:tr>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4</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5</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Where development:</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eastAsia="en-AU"/>
              </w:rPr>
              <w:t>is for an urban purpose that involves a land area of 2500m</w:t>
            </w:r>
            <w:r w:rsidRPr="00AF1E0D">
              <w:rPr>
                <w:rFonts w:ascii="Arial" w:eastAsia="Times New Roman" w:hAnsi="Arial" w:cs="Arial"/>
                <w:sz w:val="20"/>
                <w:szCs w:val="20"/>
                <w:vertAlign w:val="superscript"/>
                <w:lang w:eastAsia="en-AU"/>
              </w:rPr>
              <w:t>2</w:t>
            </w:r>
            <w:r w:rsidRPr="00AF1E0D">
              <w:rPr>
                <w:rFonts w:ascii="Arial" w:eastAsia="Times New Roman" w:hAnsi="Arial" w:cs="Arial"/>
                <w:sz w:val="20"/>
                <w:szCs w:val="20"/>
                <w:lang w:eastAsia="en-AU"/>
              </w:rPr>
              <w:t> or greater; and</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will result in:</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6 or more dwellings; or</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an </w:t>
            </w:r>
            <w:r w:rsidRPr="00AF1E0D">
              <w:rPr>
                <w:rFonts w:ascii="Arial" w:eastAsia="Times New Roman" w:hAnsi="Arial" w:cs="Arial"/>
                <w:sz w:val="20"/>
                <w:szCs w:val="20"/>
                <w:lang w:eastAsia="en-AU"/>
              </w:rPr>
              <w:t>impervious area greater than 25% of the net developable area,</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 xml:space="preserve">Note - A </w:t>
                  </w:r>
                  <w:proofErr w:type="gramStart"/>
                  <w:r w:rsidRPr="00AF1E0D">
                    <w:rPr>
                      <w:rFonts w:ascii="Arial" w:eastAsia="Times New Roman" w:hAnsi="Arial" w:cs="Arial"/>
                      <w:sz w:val="20"/>
                      <w:szCs w:val="20"/>
                      <w:lang w:eastAsia="en-AU"/>
                    </w:rPr>
                    <w:t>site based</w:t>
                  </w:r>
                  <w:proofErr w:type="gramEnd"/>
                  <w:r w:rsidRPr="00AF1E0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 xml:space="preserve">Stormwater drainage pipes and structures through or within private land (including inter-allotment drainage) are protected by easements in favour of Council with </w:t>
            </w:r>
            <w:proofErr w:type="gramStart"/>
            <w:r w:rsidRPr="00AF1E0D">
              <w:rPr>
                <w:rFonts w:ascii="Arial" w:eastAsia="Times New Roman" w:hAnsi="Arial" w:cs="Arial"/>
                <w:bCs/>
                <w:sz w:val="20"/>
                <w:szCs w:val="20"/>
                <w:lang w:eastAsia="en-AU"/>
              </w:rPr>
              <w:t>sufficient</w:t>
            </w:r>
            <w:proofErr w:type="gramEnd"/>
            <w:r w:rsidRPr="00AF1E0D">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lastRenderedPageBreak/>
              <w:t>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AF1E0D" w:rsidRPr="00AF1E0D" w:rsidRDefault="00AF1E0D"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lastRenderedPageBreak/>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t>Minimum easement width (excluding access requirements)</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3.0m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4.0m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Easement boundary to be 1m clear of the outside wall of the stormwater pipe (each side).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Additional easement width may be required in certain circumstances in order to facilitate maintenance access to the stormwater system.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16"/>
                <w:szCs w:val="16"/>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Refer to Planning scheme policy - Integrated design (Appendix C) for easement requirements over open channels.</w:t>
                  </w:r>
                </w:p>
              </w:tc>
            </w:tr>
          </w:tbl>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15"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PO38</w:t>
            </w:r>
          </w:p>
          <w:p w:rsidR="00AF1E0D" w:rsidRPr="00325D93"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residential developments.</w:t>
            </w: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right="150"/>
              <w:rPr>
                <w:rFonts w:ascii="Arial" w:eastAsia="Times New Roman" w:hAnsi="Arial" w:cs="Arial"/>
                <w:b/>
                <w:sz w:val="20"/>
                <w:szCs w:val="20"/>
                <w:lang w:eastAsia="en-AU"/>
              </w:rPr>
            </w:pPr>
            <w:r w:rsidRPr="00AF1E0D">
              <w:rPr>
                <w:rFonts w:ascii="Arial" w:eastAsia="Times New Roman" w:hAnsi="Arial" w:cs="Arial"/>
                <w:b/>
                <w:sz w:val="20"/>
                <w:szCs w:val="20"/>
                <w:lang w:eastAsia="en-AU"/>
              </w:rPr>
              <w:t>E38</w:t>
            </w:r>
          </w:p>
          <w:p w:rsidR="00AF1E0D" w:rsidRDefault="00AF1E0D" w:rsidP="00AF1E0D">
            <w:pPr>
              <w:spacing w:before="100" w:beforeAutospacing="1" w:after="100" w:afterAutospacing="1" w:line="240" w:lineRule="auto"/>
              <w:ind w:left="248" w:right="150"/>
              <w:rPr>
                <w:rFonts w:ascii="Arial" w:eastAsia="Times New Roman" w:hAnsi="Arial" w:cs="Arial"/>
                <w:sz w:val="20"/>
                <w:szCs w:val="20"/>
                <w:lang w:eastAsia="en-AU"/>
              </w:rPr>
            </w:pP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As Built</w:t>
            </w: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AF1E0D">
              <w:rPr>
                <w:rFonts w:ascii="Arial" w:eastAsia="Times New Roman" w:hAnsi="Arial" w:cs="Arial"/>
                <w:sz w:val="20"/>
                <w:szCs w:val="20"/>
                <w:lang w:eastAsia="en-AU"/>
              </w:rPr>
              <w:t>management devices certified by an RPEQ is provided.</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Note - Documentation is to include: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a. photographic evidence and inspection date of the installation of approved underdrainage;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b. copy of the bioretention filter media delivery dockets/quality certificates confirming the materials comply with specifications in the approved Stormwater Management Plan;</w:t>
            </w:r>
          </w:p>
          <w:p w:rsidR="00AF1E0D" w:rsidRPr="00AF1E0D" w:rsidRDefault="00AF1E0D" w:rsidP="00AF1E0D">
            <w:pPr>
              <w:ind w:left="248"/>
              <w:rPr>
                <w:rFonts w:ascii="Arial" w:eastAsia="Times New Roman" w:hAnsi="Arial" w:cs="Arial"/>
                <w:sz w:val="20"/>
                <w:szCs w:val="20"/>
                <w:lang w:eastAsia="en-AU"/>
              </w:rPr>
            </w:pPr>
            <w:r w:rsidRPr="00AF1E0D">
              <w:rPr>
                <w:rFonts w:ascii="Arial" w:eastAsia="Times New Roman" w:hAnsi="Arial" w:cs="Arial"/>
                <w:sz w:val="16"/>
                <w:szCs w:val="16"/>
                <w:lang w:eastAsia="en-AU"/>
              </w:rPr>
              <w:t>c. date of the final inspection.</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Site works and construction management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9</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and any existing structures are maintained in a tidy and safe condition.</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25826">
              <w:rPr>
                <w:rFonts w:ascii="Arial" w:eastAsia="Times New Roman" w:hAnsi="Arial" w:cs="Arial"/>
                <w:b/>
                <w:bCs/>
                <w:sz w:val="20"/>
                <w:szCs w:val="20"/>
                <w:lang w:eastAsia="en-AU"/>
              </w:rPr>
              <w:t>40</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All works on-site are managed to:</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 xml:space="preserve">minimise as far as practicable, impacts on adjoining or adjacent premises and the streetscape </w:t>
            </w:r>
            <w:proofErr w:type="gramStart"/>
            <w:r w:rsidRPr="00825826">
              <w:rPr>
                <w:rFonts w:ascii="Arial" w:eastAsia="Times New Roman" w:hAnsi="Arial" w:cs="Arial"/>
                <w:sz w:val="20"/>
                <w:szCs w:val="20"/>
                <w:lang w:eastAsia="en-AU"/>
              </w:rPr>
              <w:t>in regard to</w:t>
            </w:r>
            <w:proofErr w:type="gramEnd"/>
            <w:r w:rsidRPr="00825826">
              <w:rPr>
                <w:rFonts w:ascii="Arial" w:eastAsia="Times New Roman" w:hAnsi="Arial" w:cs="Arial"/>
                <w:sz w:val="20"/>
                <w:szCs w:val="20"/>
                <w:lang w:eastAsia="en-AU"/>
              </w:rPr>
              <w:t xml:space="preserve"> erosion and sedimentation, dust, noise, safety and light; </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minimise as far as possible, impacts on the natural environment;</w:t>
            </w:r>
          </w:p>
          <w:p w:rsid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ensure stormwater discharge is managed in a manner that does not cause actionable nuisance to any person or premises;</w:t>
            </w:r>
          </w:p>
          <w:p w:rsidR="00766D37" w:rsidRP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257110">
              <w:rPr>
                <w:rFonts w:ascii="Arial" w:eastAsia="Times New Roman" w:hAnsi="Arial" w:cs="Arial"/>
                <w:sz w:val="20"/>
                <w:szCs w:val="20"/>
                <w:lang w:eastAsia="en-AU"/>
              </w:rPr>
              <w:t>avoid adverse impacts on street trees and their critical root zone.</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.1</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is not discharged to adjacent properties in a manner that differs significantly from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discharged to adjoining and downstream properties does not cause scour and erosion;</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 rates do not exceed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ponding or concentration of stormwater does not occur on adjoining properties.</w:t>
            </w:r>
          </w:p>
          <w:p w:rsidR="00766D37" w:rsidRPr="00325D93" w:rsidRDefault="00766D37" w:rsidP="00825826">
            <w:pPr>
              <w:spacing w:before="100" w:beforeAutospacing="1" w:after="100" w:afterAutospacing="1" w:line="240" w:lineRule="auto"/>
              <w:ind w:left="4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.2</w:t>
            </w:r>
          </w:p>
          <w:p w:rsidR="00825826" w:rsidRPr="00825826" w:rsidRDefault="00825826" w:rsidP="00825826">
            <w:pPr>
              <w:spacing w:before="100" w:beforeAutospacing="1" w:after="100" w:afterAutospacing="1" w:line="240" w:lineRule="auto"/>
              <w:ind w:left="248"/>
              <w:rPr>
                <w:rFonts w:ascii="Arial" w:eastAsia="Times New Roman" w:hAnsi="Arial" w:cs="Arial"/>
                <w:bCs/>
                <w:sz w:val="20"/>
                <w:szCs w:val="20"/>
                <w:lang w:eastAsia="en-AU"/>
              </w:rPr>
            </w:pPr>
            <w:r w:rsidRPr="00825826">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825826">
              <w:rPr>
                <w:rFonts w:ascii="Arial" w:eastAsia="Times New Roman" w:hAnsi="Arial" w:cs="Arial"/>
                <w:bCs/>
                <w:sz w:val="20"/>
                <w:szCs w:val="20"/>
                <w:lang w:eastAsia="en-AU"/>
              </w:rPr>
              <w:t>are maintained and adjusted as necessary at all times</w:t>
            </w:r>
            <w:proofErr w:type="gramEnd"/>
            <w:r w:rsidRPr="00825826">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rPr>
                      <w:rFonts w:ascii="Arial" w:eastAsia="Times New Roman" w:hAnsi="Arial" w:cs="Arial"/>
                      <w:bCs/>
                      <w:sz w:val="20"/>
                      <w:szCs w:val="20"/>
                      <w:lang w:eastAsia="en-AU"/>
                    </w:rPr>
                  </w:pPr>
                  <w:r w:rsidRPr="00825826">
                    <w:rPr>
                      <w:rFonts w:ascii="Arial" w:eastAsia="Times New Roman" w:hAnsi="Arial" w:cs="Arial"/>
                      <w:bCs/>
                      <w:sz w:val="20"/>
                      <w:szCs w:val="20"/>
                      <w:lang w:eastAsia="en-AU"/>
                    </w:rPr>
                    <w:lastRenderedPageBreak/>
                    <w:t>Note - The measures are adjusted on-site to maximise their effectiveness.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.3</w:t>
            </w:r>
          </w:p>
          <w:p w:rsidR="00766D37" w:rsidRPr="00325D93" w:rsidRDefault="00825826" w:rsidP="00766D37">
            <w:pPr>
              <w:spacing w:before="100" w:beforeAutospacing="1" w:after="100" w:afterAutospacing="1" w:line="240" w:lineRule="auto"/>
              <w:ind w:left="150" w:right="150"/>
              <w:rPr>
                <w:rFonts w:ascii="Arial" w:eastAsia="Times New Roman" w:hAnsi="Arial" w:cs="Arial"/>
                <w:sz w:val="20"/>
                <w:szCs w:val="20"/>
                <w:lang w:eastAsia="en-AU"/>
              </w:rPr>
            </w:pPr>
            <w:r w:rsidRPr="00825826">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.4</w:t>
            </w:r>
          </w:p>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PO</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5"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E</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No dust emissions extend beyond the boundaries of the site during soil disturbances and construction works.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t>PO42</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lastRenderedPageBreak/>
                    <w:t>Note - A haulage route must be identified and approved by Council where imported or exported material is transported to the site via a road of Local Collector standard or less, and:</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1000m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200m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per day;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proposed haulage route involves a vulnerable land use or shopping centre.</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dilapidation report (including photographs) may be required for the haulage route to demonstrate compliance with this PO.</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r>
          </w:tbl>
          <w:p w:rsidR="00704C9B" w:rsidRPr="00704C9B"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.1</w:t>
            </w:r>
          </w:p>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.2</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04C9B" w:rsidRPr="00325D93" w:rsidTr="00A915A5">
              <w:trPr>
                <w:tblCellSpacing w:w="15" w:type="dxa"/>
              </w:trPr>
              <w:tc>
                <w:tcPr>
                  <w:tcW w:w="5610" w:type="dxa"/>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r>
          </w:tbl>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5"/>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.3</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08"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The road hierarchy is mapped on Overlay map - Road hierarchy.</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dilapidation report may be required to demonstrate compliance with this E.</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.5</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704C9B" w:rsidRPr="00704C9B" w:rsidTr="00704C9B">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bottom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Access to the development site is obtained via an existing lawful access point.</w:t>
            </w:r>
          </w:p>
        </w:tc>
        <w:tc>
          <w:tcPr>
            <w:tcW w:w="608"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Refer to Planning scheme policy - Integrated design for details.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At completion of construction all disturbed areas of the site are to be:</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topsoiled with a minimum compacted thickness of fifty (50) millimetres;</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704C9B" w:rsidRPr="00704C9B" w:rsidTr="00704C9B">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Note - These areas are to be maintained during any maintenance period to maximise grass coverage.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Soil disturbances are staged into manageable areas of not greater than 3.5 ha.</w:t>
            </w:r>
          </w:p>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45</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clearing of vegetation on-site:</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limited to the area of infrastructure works, building areas and other necessary areas for the works; 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includes the removal of declared weeds and other materials which are detrimental to the intended use of the land;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burning of cleared vegetation is permitted.</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.1</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No parking of vehicles o</w:t>
                  </w:r>
                  <w:r w:rsidR="00704C9B">
                    <w:rPr>
                      <w:rFonts w:ascii="Arial" w:eastAsia="Times New Roman" w:hAnsi="Arial" w:cs="Arial"/>
                      <w:sz w:val="20"/>
                      <w:szCs w:val="20"/>
                      <w:lang w:eastAsia="en-AU"/>
                    </w:rPr>
                    <w:t>r</w:t>
                  </w:r>
                  <w:r w:rsidRPr="00325D93">
                    <w:rPr>
                      <w:rFonts w:ascii="Arial" w:eastAsia="Times New Roman" w:hAnsi="Arial" w:cs="Arial"/>
                      <w:sz w:val="20"/>
                      <w:szCs w:val="20"/>
                      <w:lang w:eastAsia="en-AU"/>
                    </w:rPr>
                    <w:t xml:space="preserve"> storage of machinery or goods is to occur in these areas during development works.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.2</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Disposal of materials is managed in one or more of the following ways:</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chipped vegetation must be stored in an approved location</w:t>
                  </w:r>
                  <w:r w:rsidR="00704C9B">
                    <w:rPr>
                      <w:rFonts w:ascii="Arial" w:eastAsia="Times New Roman" w:hAnsi="Arial" w:cs="Arial"/>
                      <w:sz w:val="20"/>
                      <w:szCs w:val="20"/>
                      <w:lang w:eastAsia="en-AU"/>
                    </w:rPr>
                    <w:t>.</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All development works are carried out at times which minimise noise impacts to residents.</w:t>
            </w:r>
          </w:p>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are carried out within the following times:</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Monday to Saturday (other than public holidays) between 6:30am and 6:30pm on the same day;</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 work is to be carried out on Sundays or public holidays.</w:t>
            </w:r>
          </w:p>
          <w:tbl>
            <w:tblPr>
              <w:tblW w:w="52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27"/>
            </w:tblGrid>
            <w:tr w:rsidR="00704C9B" w:rsidRPr="00704C9B" w:rsidTr="00704C9B">
              <w:trPr>
                <w:tblCellSpacing w:w="15" w:type="dxa"/>
              </w:trPr>
              <w:tc>
                <w:tcPr>
                  <w:tcW w:w="5167"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704C9B">
              <w:rPr>
                <w:rFonts w:ascii="Arial" w:eastAsia="Times New Roman" w:hAnsi="Arial" w:cs="Arial"/>
                <w:b/>
                <w:bCs/>
                <w:sz w:val="20"/>
                <w:szCs w:val="20"/>
                <w:lang w:eastAsia="en-AU"/>
              </w:rPr>
              <w:t>7</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w:t>
            </w:r>
            <w:r w:rsidRPr="00325D93">
              <w:rPr>
                <w:rFonts w:ascii="Arial" w:eastAsia="Times New Roman" w:hAnsi="Arial" w:cs="Arial"/>
                <w:sz w:val="20"/>
                <w:szCs w:val="20"/>
                <w:lang w:eastAsia="en-AU"/>
              </w:rPr>
              <w:lastRenderedPageBreak/>
              <w:t xml:space="preserve">authorities, the Council or other person engaged in the provision of public utility services is to be carried with the development and at no cost to Council. </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Earthworks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8</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earthworks are designed to consider the visual and amenity impact as they relate to:</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natural topographical features of the 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 and long-term slope stability;</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soft or compressible foundation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reactive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low density or potentially collapsing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existing fill and soil contamination that may exist on-site;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stability and maintenance of steep slopes and batters;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704C9B">
              <w:trPr>
                <w:trHeight w:val="804"/>
                <w:tblCellSpacing w:w="15" w:type="dxa"/>
              </w:trPr>
              <w:tc>
                <w:tcPr>
                  <w:tcW w:w="9368" w:type="dxa"/>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r>
          </w:tbl>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.3</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Inspection and certification of steep slopes and batters is required by a suitably qualified and experienced RPEQ.</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257110">
              <w:rPr>
                <w:rFonts w:ascii="Arial" w:eastAsia="Times New Roman" w:hAnsi="Arial" w:cs="Arial"/>
                <w:b/>
                <w:bCs/>
                <w:sz w:val="20"/>
                <w:szCs w:val="20"/>
                <w:lang w:eastAsia="en-AU"/>
              </w:rPr>
              <w:t>E48.4</w:t>
            </w:r>
          </w:p>
          <w:p w:rsidR="00257110" w:rsidRPr="00257110" w:rsidRDefault="00257110" w:rsidP="00257110">
            <w:pPr>
              <w:spacing w:before="100" w:beforeAutospacing="1" w:after="100" w:afterAutospacing="1" w:line="240" w:lineRule="auto"/>
              <w:ind w:left="150" w:right="150"/>
              <w:rPr>
                <w:rFonts w:ascii="Arial" w:eastAsia="Times New Roman" w:hAnsi="Arial" w:cs="Arial"/>
                <w:color w:val="4A4A4A"/>
                <w:sz w:val="24"/>
                <w:szCs w:val="24"/>
                <w:lang w:eastAsia="en-AU"/>
              </w:rPr>
            </w:pPr>
            <w:r w:rsidRPr="00257110">
              <w:rPr>
                <w:rFonts w:ascii="Arial" w:eastAsia="Times New Roman" w:hAnsi="Arial" w:cs="Arial"/>
                <w:sz w:val="20"/>
                <w:szCs w:val="20"/>
                <w:lang w:eastAsia="en-AU"/>
              </w:rPr>
              <w:t xml:space="preserve">All fill </w:t>
            </w:r>
            <w:proofErr w:type="gramStart"/>
            <w:r w:rsidRPr="00257110">
              <w:rPr>
                <w:rFonts w:ascii="Arial" w:eastAsia="Times New Roman" w:hAnsi="Arial" w:cs="Arial"/>
                <w:sz w:val="20"/>
                <w:szCs w:val="20"/>
                <w:lang w:eastAsia="en-AU"/>
              </w:rPr>
              <w:t>batters</w:t>
            </w:r>
            <w:proofErr w:type="gramEnd"/>
            <w:r w:rsidRPr="00257110">
              <w:rPr>
                <w:rFonts w:ascii="Arial" w:eastAsia="Times New Roman" w:hAnsi="Arial" w:cs="Arial"/>
                <w:sz w:val="20"/>
                <w:szCs w:val="20"/>
                <w:lang w:eastAsia="en-AU"/>
              </w:rPr>
              <w:t xml:space="preserve"> steeper than 1 (V) in 6 (H) on residential lots are fully turfed to prevent scour and erosion.</w:t>
            </w:r>
          </w:p>
        </w:tc>
        <w:tc>
          <w:tcPr>
            <w:tcW w:w="608"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filling or excavation is contained on-site</w:t>
            </w:r>
            <w:r>
              <w:rPr>
                <w:rFonts w:ascii="Arial" w:eastAsia="Times New Roman" w:hAnsi="Arial" w:cs="Arial"/>
                <w:sz w:val="20"/>
                <w:szCs w:val="20"/>
                <w:lang w:eastAsia="en-AU"/>
              </w:rPr>
              <w:t xml:space="preserve"> and is free draining</w:t>
            </w:r>
            <w:r w:rsidRPr="00325D93">
              <w:rPr>
                <w:rFonts w:ascii="Arial" w:eastAsia="Times New Roman" w:hAnsi="Arial" w:cs="Arial"/>
                <w:sz w:val="20"/>
                <w:szCs w:val="20"/>
                <w:lang w:eastAsia="en-AU"/>
              </w:rPr>
              <w:t>.</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 placed on-site is:</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limited to that area necessary for the approved use;</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clean and uncontaminated (i.e. no building waste, concrete, green waste, actual acid sulfate soils, potential acid sulfate soils or contaminated material etc.).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site is </w:t>
            </w:r>
            <w:proofErr w:type="gramStart"/>
            <w:r w:rsidRPr="00325D93">
              <w:rPr>
                <w:rFonts w:ascii="Arial" w:eastAsia="Times New Roman" w:hAnsi="Arial" w:cs="Arial"/>
                <w:sz w:val="20"/>
                <w:szCs w:val="20"/>
                <w:lang w:eastAsia="en-AU"/>
              </w:rPr>
              <w:t>prepared</w:t>
            </w:r>
            <w:proofErr w:type="gramEnd"/>
            <w:r w:rsidRPr="00325D93">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Embankments are stepped, terraced and landscaped to not adversely impact on the visual amenity of the surrounding area.</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Any embankments more than 1.5 metres in height are stepped, terraced and landscaped.</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Embankment</w:t>
            </w:r>
            <w:r w:rsidRPr="00325D93">
              <w:rPr>
                <w:rFonts w:ascii="Arial" w:eastAsia="Times New Roman" w:hAnsi="Arial" w:cs="Arial"/>
                <w:sz w:val="20"/>
                <w:szCs w:val="20"/>
                <w:lang w:eastAsia="en-AU"/>
              </w:rPr>
              <w:t xml:space="preserve"> </w:t>
            </w:r>
            <w:hyperlink r:id="rId16"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03F0A003" wp14:editId="413736D5">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50</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is undertaken in a manner that:</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preclude reasonable access to a Council or public sector </w:t>
            </w:r>
            <w:proofErr w:type="gramStart"/>
            <w:r w:rsidRPr="00325D93">
              <w:rPr>
                <w:rFonts w:ascii="Arial" w:eastAsia="Times New Roman" w:hAnsi="Arial" w:cs="Arial"/>
                <w:sz w:val="20"/>
                <w:szCs w:val="20"/>
                <w:lang w:eastAsia="en-AU"/>
              </w:rPr>
              <w:t>entity maintained</w:t>
            </w:r>
            <w:proofErr w:type="gramEnd"/>
            <w:r w:rsidRPr="00325D93">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1962"/>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that would result in any of the following is not carried out on-site:</w:t>
            </w:r>
          </w:p>
          <w:p w:rsidR="00257110" w:rsidRPr="00325D93"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reduction in cover over any Council or public sector entity infrastructure service to less than 600mm;</w:t>
            </w:r>
          </w:p>
          <w:p w:rsidR="00257110"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increase in finished surface grade over, or within 1.5m on each side of, the Council or public sector </w:t>
            </w:r>
            <w:r w:rsidRPr="00325D93">
              <w:rPr>
                <w:rFonts w:ascii="Arial" w:eastAsia="Times New Roman" w:hAnsi="Arial" w:cs="Arial"/>
                <w:sz w:val="20"/>
                <w:szCs w:val="20"/>
                <w:lang w:eastAsia="en-AU"/>
              </w:rPr>
              <w:lastRenderedPageBreak/>
              <w:t>entity infrastructure above that which existed prior to the earthworks being undertaken</w:t>
            </w:r>
            <w:r>
              <w:rPr>
                <w:rFonts w:ascii="Arial" w:eastAsia="Times New Roman" w:hAnsi="Arial" w:cs="Arial"/>
                <w:sz w:val="20"/>
                <w:szCs w:val="20"/>
                <w:lang w:eastAsia="en-AU"/>
              </w:rPr>
              <w:t>;</w:t>
            </w:r>
          </w:p>
          <w:p w:rsidR="00257110" w:rsidRPr="00B16D4A" w:rsidRDefault="00257110" w:rsidP="00257110">
            <w:pPr>
              <w:numPr>
                <w:ilvl w:val="0"/>
                <w:numId w:val="21"/>
              </w:numPr>
              <w:tabs>
                <w:tab w:val="clear" w:pos="720"/>
                <w:tab w:val="num" w:pos="360"/>
              </w:tabs>
              <w:spacing w:before="100" w:beforeAutospacing="1" w:after="100" w:afterAutospacing="1" w:line="240" w:lineRule="auto"/>
              <w:ind w:left="448" w:hanging="283"/>
              <w:rPr>
                <w:rFonts w:ascii="Arial" w:eastAsia="Times New Roman" w:hAnsi="Arial" w:cs="Arial"/>
                <w:sz w:val="20"/>
                <w:szCs w:val="20"/>
                <w:lang w:eastAsia="en-AU"/>
              </w:rPr>
            </w:pP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prevent reasonable access to Council or public sector</w:t>
            </w:r>
            <w:r>
              <w:rPr>
                <w:rFonts w:ascii="Arial" w:eastAsia="Times New Roman" w:hAnsi="Arial" w:cs="Arial"/>
                <w:sz w:val="20"/>
                <w:szCs w:val="20"/>
                <w:lang w:eastAsia="en-AU"/>
              </w:rPr>
              <w:t xml:space="preserve"> </w:t>
            </w:r>
            <w:proofErr w:type="gramStart"/>
            <w:r w:rsidRPr="00B16D4A">
              <w:rPr>
                <w:rFonts w:ascii="Arial" w:eastAsia="Times New Roman" w:hAnsi="Arial" w:cs="Arial"/>
                <w:sz w:val="20"/>
                <w:szCs w:val="20"/>
                <w:lang w:eastAsia="en-AU"/>
              </w:rPr>
              <w:t>entity maintained</w:t>
            </w:r>
            <w:proofErr w:type="gramEnd"/>
            <w:r w:rsidRPr="00B16D4A">
              <w:rPr>
                <w:rFonts w:ascii="Arial" w:eastAsia="Times New Roman" w:hAnsi="Arial" w:cs="Arial"/>
                <w:sz w:val="20"/>
                <w:szCs w:val="20"/>
                <w:lang w:eastAsia="en-AU"/>
              </w:rPr>
              <w:t xml:space="preserve"> infrastructure or any drainage feature on, or adjacent to the site for monitoring, maintenance or replacement purposes.</w:t>
            </w:r>
          </w:p>
          <w:p w:rsidR="00257110" w:rsidRPr="00B16D4A"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Public sector entity is defined in Schedule 2 of the Act.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B16D4A">
              <w:trPr>
                <w:tblCellSpacing w:w="15" w:type="dxa"/>
              </w:trPr>
              <w:tc>
                <w:tcPr>
                  <w:tcW w:w="518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All building work covered by QDC MP1.4 is excluded from this provision.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48"/>
          <w:tblCellSpacing w:w="15" w:type="dxa"/>
        </w:trPr>
        <w:tc>
          <w:tcPr>
            <w:tcW w:w="1460" w:type="pct"/>
            <w:vMerge w:val="restart"/>
            <w:tcBorders>
              <w:top w:val="outset" w:sz="6" w:space="0" w:color="auto"/>
              <w:left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PO51</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t>Filling or excavation does not cause any adverse impacts on utility services or on-site effluent disposal areas.</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area subject to filling or excavation does not contain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any utility services.</w:t>
            </w:r>
          </w:p>
        </w:tc>
        <w:tc>
          <w:tcPr>
            <w:tcW w:w="608"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household sewage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plant (secondary treatment) is 30.0 metres.</w:t>
            </w:r>
          </w:p>
        </w:tc>
        <w:tc>
          <w:tcPr>
            <w:tcW w:w="608"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E51.3</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septic trench (primary</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is 50.0 metres.</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the Water Quality Vision and Objectives contained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in the Seqwater Development Guidelines: Development Guidelines</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for Water Quality Management in Drinking Water Catchments 2017</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where contained within water resource area and water supply buffer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area.</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Steep slopes and batters are inspected and certified for long-term stability by a suitably </w:t>
                  </w:r>
                  <w:r w:rsidRPr="00325D93">
                    <w:rPr>
                      <w:rFonts w:ascii="Arial" w:eastAsia="Times New Roman" w:hAnsi="Arial" w:cs="Arial"/>
                      <w:sz w:val="20"/>
                      <w:szCs w:val="20"/>
                      <w:lang w:eastAsia="en-AU"/>
                    </w:rPr>
                    <w:lastRenderedPageBreak/>
                    <w:t xml:space="preserve">qualified and experienced geotechnical engineer with RPEQ qualifications. Stabilisation measures are provided, as necessary, to ensure long-term stability and low maintenance.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Pr="00325D93">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adverse impacts on the hydrological and hydraulic capacity of the waterway or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increased flood inundation outside the site;</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reduction in the flood storage capacity in the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and drainage systems on land adjoining the site.</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E54</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site are shaped in a manner which does not:</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a. </w:t>
            </w:r>
            <w:proofErr w:type="gramStart"/>
            <w:r w:rsidRPr="00B16D4A">
              <w:rPr>
                <w:rFonts w:ascii="Arial" w:eastAsia="Times New Roman" w:hAnsi="Arial" w:cs="Arial"/>
                <w:sz w:val="20"/>
                <w:szCs w:val="20"/>
                <w:lang w:eastAsia="en-AU"/>
              </w:rPr>
              <w:t>prevent</w:t>
            </w:r>
            <w:proofErr w:type="gramEnd"/>
            <w:r w:rsidRPr="00B16D4A">
              <w:rPr>
                <w:rFonts w:ascii="Arial" w:eastAsia="Times New Roman" w:hAnsi="Arial" w:cs="Arial"/>
                <w:sz w:val="20"/>
                <w:szCs w:val="20"/>
                <w:lang w:eastAsia="en-AU"/>
              </w:rPr>
              <w:t xml:space="preserve"> stormwater surface flow which, prior to</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commencement of the earthworks, passed onto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development site, from entering the land;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b. redirect stormwater surface flow away from existing</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flow paths;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 xml:space="preserve">c. </w:t>
            </w:r>
            <w:proofErr w:type="gramStart"/>
            <w:r w:rsidRPr="00B16D4A">
              <w:rPr>
                <w:rFonts w:ascii="Arial" w:eastAsia="Times New Roman" w:hAnsi="Arial" w:cs="Arial"/>
                <w:sz w:val="20"/>
                <w:szCs w:val="20"/>
                <w:lang w:eastAsia="en-AU"/>
              </w:rPr>
              <w:t>divert</w:t>
            </w:r>
            <w:proofErr w:type="gramEnd"/>
            <w:r w:rsidRPr="00B16D4A">
              <w:rPr>
                <w:rFonts w:ascii="Arial" w:eastAsia="Times New Roman" w:hAnsi="Arial" w:cs="Arial"/>
                <w:sz w:val="20"/>
                <w:szCs w:val="20"/>
                <w:lang w:eastAsia="en-AU"/>
              </w:rPr>
              <w:t xml:space="preserve"> stormwater surface flow onto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(other than a road), in a manner which:</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6D4A">
              <w:rPr>
                <w:rFonts w:ascii="Arial" w:eastAsia="Times New Roman" w:hAnsi="Arial" w:cs="Arial"/>
                <w:sz w:val="20"/>
                <w:szCs w:val="20"/>
                <w:lang w:eastAsia="en-AU"/>
              </w:rPr>
              <w:lastRenderedPageBreak/>
              <w:t>i</w:t>
            </w:r>
            <w:proofErr w:type="spellEnd"/>
            <w:r w:rsidRPr="00B16D4A">
              <w:rPr>
                <w:rFonts w:ascii="Arial" w:eastAsia="Times New Roman" w:hAnsi="Arial" w:cs="Arial"/>
                <w:sz w:val="20"/>
                <w:szCs w:val="20"/>
                <w:lang w:eastAsia="en-AU"/>
              </w:rPr>
              <w:t>. concentrates the flow; or</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 increases the flow rates of stormwater over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the affected section of the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above the situation which existed prior 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diversion; or</w:t>
            </w:r>
            <w:r>
              <w:rPr>
                <w:rFonts w:ascii="Arial" w:eastAsia="Times New Roman" w:hAnsi="Arial" w:cs="Arial"/>
                <w:sz w:val="20"/>
                <w:szCs w:val="20"/>
                <w:lang w:eastAsia="en-AU"/>
              </w:rPr>
              <w:t xml:space="preserve">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iii. causes actionable nuisance to any person,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property or premises.</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55</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Planning scheme policy - Residential design for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guidance on how to achieve compliance with this performance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outcome.</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Earth retaining structures:</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constructed of boulder rocks or timber;</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where height is no greater than 900mm, are provided in accordance with Figure - Retaining on a boundary;</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7E3F5581" wp14:editId="5EC024A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C4C19EE" wp14:editId="5E8B767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r w:rsidRPr="00325D93">
              <w:rPr>
                <w:rFonts w:ascii="Arial" w:eastAsia="Times New Roman" w:hAnsi="Arial" w:cs="Arial"/>
                <w:sz w:val="20"/>
                <w:szCs w:val="20"/>
                <w:lang w:eastAsia="en-AU"/>
              </w:rPr>
              <w:t xml:space="preserve"> </w:t>
            </w:r>
            <w:hyperlink r:id="rId22"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274C4CC8" wp14:editId="352A6C2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The provisions under this heading only apply if:</w:t>
                  </w:r>
                </w:p>
                <w:p w:rsidR="00257110" w:rsidRPr="00325D93" w:rsidRDefault="00257110" w:rsidP="0025711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for, or incorporates: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reconfiguring a lot for a community title scheme creating 1 or more vacant lots;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2 or more sole occupancy units on the same lot, or within the same community titles scheme;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a Tourist park</w:t>
                  </w:r>
                  <w:r w:rsidRPr="00325D93">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with accommodation in the form of caravans or tents; or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outdoor sales</w:t>
                  </w:r>
                  <w:r w:rsidRPr="00325D93">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or outdoor storage where involving combustible materials.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AND</w:t>
                  </w:r>
                </w:p>
                <w:p w:rsidR="00257110" w:rsidRPr="00325D93" w:rsidRDefault="00257110" w:rsidP="0025711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none of the following exceptions apply: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distributor-retailer for the area has indicated, in its </w:t>
                  </w:r>
                  <w:proofErr w:type="spellStart"/>
                  <w:r w:rsidRPr="00325D93">
                    <w:rPr>
                      <w:rFonts w:ascii="Arial" w:eastAsia="Times New Roman" w:hAnsi="Arial" w:cs="Arial"/>
                      <w:sz w:val="20"/>
                      <w:szCs w:val="20"/>
                      <w:lang w:eastAsia="en-AU"/>
                    </w:rPr>
                    <w:t>netserv</w:t>
                  </w:r>
                  <w:proofErr w:type="spellEnd"/>
                  <w:r w:rsidRPr="00325D93">
                    <w:rPr>
                      <w:rFonts w:ascii="Arial" w:eastAsia="Times New Roman" w:hAnsi="Arial" w:cs="Arial"/>
                      <w:sz w:val="20"/>
                      <w:szCs w:val="20"/>
                      <w:lang w:eastAsia="en-AU"/>
                    </w:rPr>
                    <w:t xml:space="preserve"> plan, that the premises will not be served by that entity’s reticulated water supply; or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84AF1"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Development incorporates a fire fighting system that:</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satisfies the reasonable needs of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appropriate for the size, shape and topography of the development and its surrounds;</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compatible with the operational equipment available to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materials comprising the development and their proximity to one another;</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surrounds to the development site;</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maintained in effective operating order.</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6"/>
            </w:tblGrid>
            <w:tr w:rsidR="00257110" w:rsidRPr="00325D93" w:rsidTr="00853DD2">
              <w:trPr>
                <w:tblCellSpacing w:w="15" w:type="dxa"/>
              </w:trPr>
              <w:tc>
                <w:tcPr>
                  <w:tcW w:w="4699"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External fire hydrant facilities are provided on site to the standard prescribed under the relevant parts of </w:t>
            </w:r>
            <w:r w:rsidRPr="00325D93">
              <w:rPr>
                <w:rFonts w:ascii="Arial" w:eastAsia="Times New Roman" w:hAnsi="Arial" w:cs="Arial"/>
                <w:i/>
                <w:iCs/>
                <w:sz w:val="20"/>
                <w:szCs w:val="20"/>
                <w:lang w:eastAsia="en-AU"/>
              </w:rPr>
              <w:t>Australian Standard AS 2419.1 (2005) – Fire Hydrant Installations</w:t>
            </w:r>
            <w:r w:rsidRPr="00325D9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 regard to the form of any fire hydrant - Part 8.5 and Part 3.2.2.1, with the exception that for Tourist parks</w:t>
                  </w:r>
                  <w:r w:rsidRPr="00325D93">
                    <w:rPr>
                      <w:rFonts w:ascii="Arial" w:eastAsia="Times New Roman" w:hAnsi="Arial" w:cs="Arial"/>
                      <w:sz w:val="20"/>
                      <w:szCs w:val="20"/>
                      <w:vertAlign w:val="superscript"/>
                      <w:lang w:eastAsia="en-AU"/>
                    </w:rPr>
                    <w:t>(</w:t>
                  </w:r>
                  <w:hyperlink r:id="rId2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caravans and tents, hydrant coverage need only extend to the roof of those tents and caravans;</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outdoor sales</w:t>
                  </w:r>
                  <w:r w:rsidRPr="00325D93">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processing or storage facilities, hydrant coverage is required across the entire area of the outdoor sales</w:t>
                  </w:r>
                  <w:r w:rsidRPr="00325D93">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and outdoor storage facilities;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 regard to</w:t>
                  </w:r>
                  <w:proofErr w:type="gramEnd"/>
                  <w:r w:rsidRPr="00325D93">
                    <w:rPr>
                      <w:rFonts w:ascii="Arial" w:eastAsia="Times New Roman" w:hAnsi="Arial" w:cs="Arial"/>
                      <w:sz w:val="20"/>
                      <w:szCs w:val="20"/>
                      <w:lang w:eastAsia="en-AU"/>
                    </w:rPr>
                    <w:t xml:space="preserve"> fire hydrant accessibility and clearance requirements - Part 3.5 and, where applicable, Part 3.6.</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width of no less than 3.5m;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height of no less than 4.8m;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constructed to be readily traversed by a 17 tonne HRV fire brigade pumping appliance;</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area for a fire brigade pumping appliance to stand within 20m of each fire hydrant and 8m of each hydrant booster point.</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fire hydrant facilities are maintained in effective operating order in a manner prescribed in </w:t>
            </w:r>
            <w:r w:rsidRPr="00325D93">
              <w:rPr>
                <w:rFonts w:ascii="Arial" w:eastAsia="Times New Roman" w:hAnsi="Arial" w:cs="Arial"/>
                <w:i/>
                <w:iCs/>
                <w:sz w:val="20"/>
                <w:szCs w:val="20"/>
                <w:lang w:eastAsia="en-AU"/>
              </w:rPr>
              <w:t>Australian Standard AS1851 (2012) – Routine service of fire protection systems and equipment</w:t>
            </w:r>
            <w:r w:rsidRPr="00325D93">
              <w:rPr>
                <w:rFonts w:ascii="Arial" w:eastAsia="Times New Roman" w:hAnsi="Arial" w:cs="Arial"/>
                <w:sz w:val="20"/>
                <w:szCs w:val="20"/>
                <w:lang w:eastAsia="en-AU"/>
              </w:rPr>
              <w:t xml:space="preserve">.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On-site fire hydrants that are external to buildings, as well as the available fire fighting appliance access routes to those hydrants, </w:t>
            </w:r>
            <w:proofErr w:type="gramStart"/>
            <w:r w:rsidRPr="00325D93">
              <w:rPr>
                <w:rFonts w:ascii="Arial" w:eastAsia="Times New Roman" w:hAnsi="Arial" w:cs="Arial"/>
                <w:sz w:val="20"/>
                <w:szCs w:val="20"/>
                <w:lang w:eastAsia="en-AU"/>
              </w:rPr>
              <w:t>can be readily identified at all times</w:t>
            </w:r>
            <w:proofErr w:type="gramEnd"/>
            <w:r w:rsidRPr="00325D93">
              <w:rPr>
                <w:rFonts w:ascii="Arial" w:eastAsia="Times New Roman" w:hAnsi="Arial" w:cs="Arial"/>
                <w:sz w:val="20"/>
                <w:szCs w:val="20"/>
                <w:lang w:eastAsia="en-AU"/>
              </w:rPr>
              <w:t xml:space="preserve"> from, or at, the vehicular entry point to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For development that contains on-site fire hydrants external to buildings:</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those external hydrants can be seen from the vehicular entry point to the site; or</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sign identifying the following is provided at the vehicular entry point to the site: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overall layout of the development (to scale);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internal road names (where used);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communal facilities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reception area and on-site manager’s office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external hydrants and hydrant booster points;</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sign prescribed above, and the graphics used are to be: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 form;</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size;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illuminated to a level;</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which allows the information on the sign to be readily understood, </w:t>
                  </w:r>
                  <w:proofErr w:type="gramStart"/>
                  <w:r w:rsidRPr="00325D93">
                    <w:rPr>
                      <w:rFonts w:ascii="Arial" w:eastAsia="Times New Roman" w:hAnsi="Arial" w:cs="Arial"/>
                      <w:sz w:val="20"/>
                      <w:szCs w:val="20"/>
                      <w:lang w:eastAsia="en-AU"/>
                    </w:rPr>
                    <w:t>at all times</w:t>
                  </w:r>
                  <w:proofErr w:type="gramEnd"/>
                  <w:r w:rsidRPr="00325D93">
                    <w:rPr>
                      <w:rFonts w:ascii="Arial" w:eastAsia="Times New Roman" w:hAnsi="Arial" w:cs="Arial"/>
                      <w:sz w:val="20"/>
                      <w:szCs w:val="20"/>
                      <w:lang w:eastAsia="en-AU"/>
                    </w:rPr>
                    <w:t xml:space="preserve">, by a person in a fire fighting appliance up to 4.5m from the sign.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Each on-site fire hydrant that is external to a building is signposted in a way that </w:t>
            </w:r>
            <w:proofErr w:type="gramStart"/>
            <w:r w:rsidRPr="00325D93">
              <w:rPr>
                <w:rFonts w:ascii="Arial" w:eastAsia="Times New Roman" w:hAnsi="Arial" w:cs="Arial"/>
                <w:sz w:val="20"/>
                <w:szCs w:val="20"/>
                <w:lang w:eastAsia="en-AU"/>
              </w:rPr>
              <w:t>enables it to be readily identified at all times</w:t>
            </w:r>
            <w:proofErr w:type="gramEnd"/>
            <w:r w:rsidRPr="00325D93">
              <w:rPr>
                <w:rFonts w:ascii="Arial" w:eastAsia="Times New Roman" w:hAnsi="Arial" w:cs="Arial"/>
                <w:sz w:val="20"/>
                <w:szCs w:val="20"/>
                <w:lang w:eastAsia="en-AU"/>
              </w:rPr>
              <w:t xml:space="preserve"> by the occupants of any firefighting appliance traversing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25D93">
              <w:rPr>
                <w:rFonts w:ascii="Arial" w:eastAsia="Times New Roman" w:hAnsi="Arial" w:cs="Arial"/>
                <w:i/>
                <w:iCs/>
                <w:sz w:val="20"/>
                <w:szCs w:val="20"/>
                <w:lang w:eastAsia="en-AU"/>
              </w:rPr>
              <w:t>Fire hydrant indication system</w:t>
            </w:r>
            <w:r w:rsidRPr="00325D9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9"/>
        <w:gridCol w:w="5370"/>
        <w:gridCol w:w="2000"/>
        <w:gridCol w:w="325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4AF1" w:rsidRPr="00325D93" w:rsidTr="00257110">
        <w:trPr>
          <w:trHeight w:val="1257"/>
          <w:tblCellSpacing w:w="15" w:type="dxa"/>
        </w:trPr>
        <w:tc>
          <w:tcPr>
            <w:tcW w:w="1539" w:type="pct"/>
            <w:vMerge w:val="restart"/>
            <w:tcBorders>
              <w:top w:val="outset" w:sz="6" w:space="0" w:color="auto"/>
              <w:left w:val="outset" w:sz="6" w:space="0" w:color="auto"/>
              <w:right w:val="outset" w:sz="6" w:space="0" w:color="auto"/>
            </w:tcBorders>
            <w:hideMark/>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dwellings:</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and ancillary to the primary dwelling in size and function;</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larger than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GFA; </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have the appearance, bulk and scale of a single dwelling from the street;</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sufficient area for the siting of all buildings, structures, landscaping and car parking spaces for the dwelling house</w:t>
            </w:r>
            <w:r w:rsidRPr="00325D93">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on-site. </w:t>
            </w:r>
          </w:p>
        </w:tc>
        <w:tc>
          <w:tcPr>
            <w:tcW w:w="1737" w:type="pct"/>
            <w:tcBorders>
              <w:top w:val="outset" w:sz="6" w:space="0" w:color="auto"/>
              <w:left w:val="outset" w:sz="6" w:space="0" w:color="auto"/>
              <w:bottom w:val="outset" w:sz="6" w:space="0" w:color="auto"/>
              <w:right w:val="outset" w:sz="6" w:space="0" w:color="auto"/>
            </w:tcBorders>
            <w:hideMark/>
          </w:tcPr>
          <w:p w:rsidR="00384AF1" w:rsidRPr="00384AF1" w:rsidRDefault="00384AF1" w:rsidP="00325D93">
            <w:pPr>
              <w:spacing w:before="100" w:beforeAutospacing="1" w:after="100" w:afterAutospacing="1" w:line="240" w:lineRule="auto"/>
              <w:ind w:left="150" w:right="150"/>
              <w:rPr>
                <w:rFonts w:ascii="Arial" w:eastAsia="Times New Roman" w:hAnsi="Arial" w:cs="Arial"/>
                <w:b/>
                <w:sz w:val="20"/>
                <w:szCs w:val="20"/>
                <w:lang w:eastAsia="en-AU"/>
              </w:rPr>
            </w:pPr>
            <w:r w:rsidRPr="00384AF1">
              <w:rPr>
                <w:rFonts w:ascii="Arial" w:eastAsia="Times New Roman" w:hAnsi="Arial" w:cs="Arial"/>
                <w:b/>
                <w:sz w:val="20"/>
                <w:szCs w:val="20"/>
                <w:lang w:eastAsia="en-AU"/>
              </w:rPr>
              <w:t>E59.1</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siting and design of dwellings ensures that the</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secondary dwelling is:</w:t>
            </w:r>
          </w:p>
          <w:p w:rsidR="00384AF1" w:rsidRP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a. not located in front of the primary dwelling;</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b. annexed to (adjoining, below or above) or located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within 50m of the primary dwelling (excluding</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domestic outbuildings);</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c. accessed from the existing driveway giving access</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 xml:space="preserve">to the Dwelling </w:t>
            </w:r>
            <w:proofErr w:type="gramStart"/>
            <w:r w:rsidRPr="00384AF1">
              <w:rPr>
                <w:rFonts w:ascii="Arial" w:eastAsia="Times New Roman" w:hAnsi="Arial" w:cs="Arial"/>
                <w:sz w:val="20"/>
                <w:szCs w:val="20"/>
                <w:lang w:eastAsia="en-AU"/>
              </w:rPr>
              <w:t>house</w:t>
            </w:r>
            <w:r w:rsidRPr="00384AF1">
              <w:rPr>
                <w:rFonts w:ascii="Arial" w:eastAsia="Times New Roman" w:hAnsi="Arial" w:cs="Arial"/>
                <w:b/>
                <w:bCs/>
                <w:sz w:val="20"/>
                <w:szCs w:val="20"/>
                <w:lang w:eastAsia="en-AU"/>
              </w:rPr>
              <w:t>(</w:t>
            </w:r>
            <w:proofErr w:type="gramEnd"/>
            <w:r w:rsidRPr="00384AF1">
              <w:rPr>
                <w:rFonts w:ascii="Arial" w:eastAsia="Times New Roman" w:hAnsi="Arial" w:cs="Arial"/>
                <w:b/>
                <w:bCs/>
                <w:sz w:val="20"/>
                <w:szCs w:val="20"/>
                <w:lang w:eastAsia="en-AU"/>
              </w:rPr>
              <w:t>22)</w:t>
            </w:r>
            <w:r w:rsidRPr="00384AF1">
              <w:rPr>
                <w:rFonts w:ascii="Arial" w:eastAsia="Times New Roman" w:hAnsi="Arial" w:cs="Arial"/>
                <w:sz w:val="20"/>
                <w:szCs w:val="20"/>
                <w:lang w:eastAsia="en-AU"/>
              </w:rPr>
              <w:t>.</w:t>
            </w:r>
          </w:p>
          <w:p w:rsidR="00384AF1" w:rsidRPr="00325D93" w:rsidRDefault="00384AF1" w:rsidP="00587E7F">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Note - The requirements to locate a Secondary dwelling within 50m</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is measured from the outermost projection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(being the main house, excluding domestic</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outbuildings) to the outermost projection of the Secondary dwelling.</w:t>
            </w:r>
            <w:r w:rsidR="00587E7F">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entire Secondary dwelling does not need to be contained within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specified distance.</w:t>
            </w:r>
          </w:p>
        </w:tc>
        <w:tc>
          <w:tcPr>
            <w:tcW w:w="644"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E59.2</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 more than 1 secondary dwelling is located on an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allotment.</w:t>
            </w:r>
          </w:p>
        </w:tc>
        <w:tc>
          <w:tcPr>
            <w:tcW w:w="644"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E59.3</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GFA of the secondary dwelling does not exceed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100m</w:t>
            </w:r>
            <w:r>
              <w:rPr>
                <w:rFonts w:ascii="Arial" w:eastAsia="Times New Roman" w:hAnsi="Arial" w:cs="Arial"/>
                <w:sz w:val="20"/>
                <w:szCs w:val="20"/>
                <w:lang w:eastAsia="en-AU"/>
              </w:rPr>
              <w:t>²</w:t>
            </w:r>
            <w:r w:rsidRPr="00384AF1">
              <w:rPr>
                <w:rFonts w:ascii="Arial" w:eastAsia="Times New Roman" w:hAnsi="Arial" w:cs="Arial"/>
                <w:sz w:val="20"/>
                <w:szCs w:val="20"/>
                <w:lang w:eastAsia="en-AU"/>
              </w:rPr>
              <w:t>.</w:t>
            </w:r>
          </w:p>
        </w:tc>
        <w:tc>
          <w:tcPr>
            <w:tcW w:w="644"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3562A8">
              <w:rPr>
                <w:rFonts w:ascii="Arial" w:eastAsia="Times New Roman" w:hAnsi="Arial" w:cs="Arial"/>
                <w:b/>
                <w:bCs/>
                <w:sz w:val="20"/>
                <w:szCs w:val="20"/>
                <w:lang w:eastAsia="en-AU"/>
              </w:rPr>
              <w:t>60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Domestic outbuildings and car ports are:</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of a height that does not negatively impact the visual amenity of adjoining properties;</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located on-site to not dominate the streetscape.</w:t>
            </w:r>
          </w:p>
        </w:tc>
        <w:tc>
          <w:tcPr>
            <w:tcW w:w="1737" w:type="pct"/>
            <w:tcBorders>
              <w:top w:val="outset" w:sz="6" w:space="0" w:color="auto"/>
              <w:left w:val="outset" w:sz="6" w:space="0" w:color="auto"/>
              <w:bottom w:val="outset" w:sz="6" w:space="0" w:color="auto"/>
              <w:right w:val="outset" w:sz="6" w:space="0" w:color="auto"/>
            </w:tcBorders>
            <w:hideMark/>
          </w:tcPr>
          <w:p w:rsidR="00325D93"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lastRenderedPageBreak/>
              <w:t>E60</w:t>
            </w:r>
          </w:p>
          <w:p w:rsidR="003562A8"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Domestic outbuildings:</w:t>
            </w:r>
          </w:p>
          <w:p w:rsid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lastRenderedPageBreak/>
              <w:t xml:space="preserve">a.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total combined maximum roofed area as</w:t>
            </w:r>
            <w:r>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outlined below:</w:t>
            </w:r>
          </w:p>
          <w:tbl>
            <w:tblPr>
              <w:tblStyle w:val="TableGrid"/>
              <w:tblW w:w="0" w:type="auto"/>
              <w:tblInd w:w="150" w:type="dxa"/>
              <w:tblLayout w:type="fixed"/>
              <w:tblLook w:val="04A0" w:firstRow="1" w:lastRow="0" w:firstColumn="1" w:lastColumn="0" w:noHBand="0" w:noVBand="1"/>
            </w:tblPr>
            <w:tblGrid>
              <w:gridCol w:w="2540"/>
              <w:gridCol w:w="2540"/>
            </w:tblGrid>
            <w:tr w:rsidR="00DD6639" w:rsidTr="00587E7F">
              <w:trPr>
                <w:trHeight w:val="250"/>
              </w:trPr>
              <w:tc>
                <w:tcPr>
                  <w:tcW w:w="2540" w:type="dxa"/>
                  <w:shd w:val="clear" w:color="auto" w:fill="CCCCCC"/>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Size of lot</w:t>
                  </w:r>
                </w:p>
              </w:tc>
              <w:tc>
                <w:tcPr>
                  <w:tcW w:w="2540" w:type="dxa"/>
                  <w:shd w:val="clear" w:color="auto" w:fill="CCCCCC"/>
                </w:tcPr>
                <w:p w:rsidR="00DD6639" w:rsidRPr="00DD6639" w:rsidRDefault="00DD6639" w:rsidP="003562A8">
                  <w:pPr>
                    <w:spacing w:before="100" w:beforeAutospacing="1" w:after="100" w:afterAutospacing="1"/>
                    <w:ind w:right="150"/>
                    <w:rPr>
                      <w:rFonts w:ascii="Arial" w:eastAsia="Times New Roman" w:hAnsi="Arial" w:cs="Arial"/>
                      <w:b/>
                      <w:bCs/>
                      <w:sz w:val="20"/>
                      <w:szCs w:val="20"/>
                      <w:lang w:eastAsia="en-AU"/>
                    </w:rPr>
                  </w:pPr>
                  <w:r w:rsidRPr="00DD6639">
                    <w:rPr>
                      <w:rFonts w:ascii="Arial" w:eastAsia="Times New Roman" w:hAnsi="Arial" w:cs="Arial"/>
                      <w:b/>
                      <w:bCs/>
                      <w:sz w:val="20"/>
                      <w:szCs w:val="20"/>
                      <w:lang w:eastAsia="en-AU"/>
                    </w:rPr>
                    <w:t>Max. Roofed Area</w:t>
                  </w:r>
                </w:p>
              </w:tc>
            </w:tr>
            <w:tr w:rsidR="00DD6639" w:rsidTr="00DD6639">
              <w:trPr>
                <w:trHeight w:val="268"/>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sz w:val="20"/>
                      <w:szCs w:val="20"/>
                      <w:lang w:eastAsia="en-AU"/>
                    </w:rPr>
                    <w:t>Less than 600m</w:t>
                  </w:r>
                  <w:r>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50m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600m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- 1000m</w:t>
                  </w:r>
                  <w:r>
                    <w:rPr>
                      <w:rFonts w:ascii="Arial" w:eastAsia="Times New Roman" w:hAnsi="Arial" w:cs="Arial"/>
                      <w:sz w:val="20"/>
                      <w:szCs w:val="20"/>
                      <w:lang w:eastAsia="en-AU"/>
                    </w:rPr>
                    <w:t>²</w:t>
                  </w:r>
                </w:p>
              </w:tc>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70m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1000m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w:t>
                  </w:r>
                  <w:r w:rsidRPr="00DD6639">
                    <w:rPr>
                      <w:rFonts w:ascii="Arial" w:eastAsia="Times New Roman" w:hAnsi="Arial" w:cs="Arial" w:hint="eastAsia"/>
                      <w:sz w:val="20"/>
                      <w:szCs w:val="20"/>
                      <w:lang w:eastAsia="en-AU"/>
                    </w:rPr>
                    <w:t>–</w:t>
                  </w:r>
                  <w:r w:rsidRPr="00DD6639">
                    <w:rPr>
                      <w:rFonts w:ascii="Arial" w:eastAsia="Times New Roman" w:hAnsi="Arial" w:cs="Arial"/>
                      <w:sz w:val="20"/>
                      <w:szCs w:val="20"/>
                      <w:lang w:eastAsia="en-AU"/>
                    </w:rPr>
                    <w:t>2000m</w:t>
                  </w:r>
                  <w:r>
                    <w:rPr>
                      <w:rFonts w:ascii="Arial" w:eastAsia="Times New Roman" w:hAnsi="Arial" w:cs="Arial"/>
                      <w:sz w:val="20"/>
                      <w:szCs w:val="20"/>
                      <w:lang w:eastAsia="en-AU"/>
                    </w:rPr>
                    <w:t>²</w:t>
                  </w:r>
                </w:p>
              </w:tc>
              <w:tc>
                <w:tcPr>
                  <w:tcW w:w="2540" w:type="dxa"/>
                </w:tcPr>
                <w:p w:rsidR="00DD6639" w:rsidRP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80m</w:t>
                  </w:r>
                  <w:r>
                    <w:rPr>
                      <w:rFonts w:ascii="Arial" w:eastAsia="Times New Roman" w:hAnsi="Arial" w:cs="Arial"/>
                      <w:sz w:val="20"/>
                      <w:szCs w:val="20"/>
                      <w:lang w:eastAsia="en-AU"/>
                    </w:rPr>
                    <w:t>²</w:t>
                  </w:r>
                </w:p>
                <w:p w:rsidR="00DD6639" w:rsidRDefault="00DD6639" w:rsidP="003562A8">
                  <w:pPr>
                    <w:spacing w:before="100" w:beforeAutospacing="1" w:after="100" w:afterAutospacing="1"/>
                    <w:ind w:right="150"/>
                    <w:rPr>
                      <w:rFonts w:ascii="Arial" w:eastAsia="Times New Roman" w:hAnsi="Arial" w:cs="Arial"/>
                      <w:sz w:val="20"/>
                      <w:szCs w:val="20"/>
                      <w:lang w:eastAsia="en-AU"/>
                    </w:rPr>
                  </w:pP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2000m2</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150m</w:t>
                  </w:r>
                  <w:r>
                    <w:rPr>
                      <w:rFonts w:ascii="Arial" w:eastAsia="Times New Roman" w:hAnsi="Arial" w:cs="Arial"/>
                      <w:sz w:val="20"/>
                      <w:szCs w:val="20"/>
                      <w:lang w:eastAsia="en-AU"/>
                    </w:rPr>
                    <w:t>²</w:t>
                  </w:r>
                </w:p>
              </w:tc>
            </w:tr>
          </w:tbl>
          <w:p w:rsidR="003562A8" w:rsidRPr="003562A8"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b.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maximum building height of 4m and a mean</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height not exceeding 3.5m;</w:t>
            </w:r>
          </w:p>
          <w:p w:rsidR="003562A8" w:rsidRP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c. </w:t>
            </w:r>
            <w:proofErr w:type="gramStart"/>
            <w:r w:rsidRPr="003562A8">
              <w:rPr>
                <w:rFonts w:ascii="Arial" w:eastAsia="Times New Roman" w:hAnsi="Arial" w:cs="Arial"/>
                <w:sz w:val="20"/>
                <w:szCs w:val="20"/>
                <w:lang w:eastAsia="en-AU"/>
              </w:rPr>
              <w:t>are</w:t>
            </w:r>
            <w:proofErr w:type="gramEnd"/>
            <w:r w:rsidRPr="003562A8">
              <w:rPr>
                <w:rFonts w:ascii="Arial" w:eastAsia="Times New Roman" w:hAnsi="Arial" w:cs="Arial"/>
                <w:sz w:val="20"/>
                <w:szCs w:val="20"/>
                <w:lang w:eastAsia="en-AU"/>
              </w:rPr>
              <w:t xml:space="preserve"> located behind the main building line and not</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within primary or secondary frontage or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setbacks.</w:t>
            </w:r>
          </w:p>
          <w:p w:rsidR="003562A8" w:rsidRPr="00325D93"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Note - For c. above to determine the main building line a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boundary is to be treated the same as a secondary</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frontage.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in size and function to the primary use on the site being a permanent residence;</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Store no more heavy vehicles, trailer and motor vehicle on-site, as follows:</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1 trailer;</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precinct;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suitably screened to ensure adverse visual impacts on the residents in adjoining or nearby dwellings are minimised;</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having a maximum total use area is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are fully contained within a dwelling or on-site structure, except for a home based child care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90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2 additional non-resident, either an employee or customer, are permitted on the site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This provision does not apply to Bed and Breakfast or </w:t>
                  </w:r>
                  <w:proofErr w:type="spellStart"/>
                  <w:r w:rsidRPr="00325D93">
                    <w:rPr>
                      <w:rFonts w:ascii="Arial" w:eastAsia="Times New Roman" w:hAnsi="Arial" w:cs="Arial"/>
                      <w:sz w:val="20"/>
                      <w:szCs w:val="20"/>
                      <w:lang w:eastAsia="en-AU"/>
                    </w:rPr>
                    <w:t>farmstay</w:t>
                  </w:r>
                  <w:proofErr w:type="spellEnd"/>
                  <w:r w:rsidRPr="00325D93">
                    <w:rPr>
                      <w:rFonts w:ascii="Arial" w:eastAsia="Times New Roman" w:hAnsi="Arial" w:cs="Arial"/>
                      <w:sz w:val="20"/>
                      <w:szCs w:val="20"/>
                      <w:lang w:eastAsia="en-AU"/>
                    </w:rPr>
                    <w:t xml:space="preserve"> business.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63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number of heavy vehicles, trailer and motor vehicles stored on-site is as follows:</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car parking provision associated with the dwelling house</w:t>
                  </w:r>
                  <w:r w:rsidRPr="00325D93">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in addition to this  requirement. </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number of motor vehicles stated is in addition to motor vehicles associated with a dwelling house</w:t>
                  </w:r>
                  <w:r w:rsidRPr="00325D93">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232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Planting for screening is to have a minimum depth of 3m.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Heavy vehicle storage buildings, parking areas and standing areas are setback a minimum of 30m from all property boundaries.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hours of operation for home based business(s)</w:t>
            </w:r>
            <w:r w:rsidRPr="00325D93">
              <w:rPr>
                <w:rFonts w:ascii="Arial" w:eastAsia="Times New Roman" w:hAnsi="Arial" w:cs="Arial"/>
                <w:sz w:val="20"/>
                <w:szCs w:val="20"/>
                <w:vertAlign w:val="superscript"/>
                <w:lang w:eastAsia="en-AU"/>
              </w:rPr>
              <w:t>(</w:t>
            </w:r>
            <w:hyperlink r:id="rId37"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managed so that the activity does not adversely impact on the low intensity character and amenity anticipated in the precinct.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bed and breakfast or farm stay business which may operate on a 24 hour basis;</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office or administrative activities that do not generate non-residents visiting the site such as book keeping and computer work;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starting and warming up of heavy vehicles, which can commence at 7.00am.</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Home based business(s)</w:t>
            </w:r>
            <w:r w:rsidRPr="00325D93">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result in: </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visual, odour, particle drift or noise nuisance impact on the residents in adjoining or nearby dwellings;</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impact upon the low intensity and open area character and amenity anticipated in the locality;</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establishment of vehicle servicing or major repairs, spray painting, panel beating or any environmentally relevant activity (ERA).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use does not involve heavy vehicle servicing or major repairs, including spray painting or panel.</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comprise an environmentally relevant activity (ERA) as defined in the </w:t>
            </w:r>
            <w:r w:rsidRPr="00325D93">
              <w:rPr>
                <w:rFonts w:ascii="Arial" w:eastAsia="Times New Roman" w:hAnsi="Arial" w:cs="Arial"/>
                <w:i/>
                <w:iCs/>
                <w:sz w:val="20"/>
                <w:szCs w:val="20"/>
                <w:lang w:eastAsia="en-AU"/>
              </w:rPr>
              <w:t>Environmental Protection Regulation 2008.</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74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Activities associated with the use do not cause a nuisance by way of aerosols, fumes, light, noise, odour, particles or smoke.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Nuisance is defined in the Environmental Protection Act 1994.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display and sales of goods is limited to the activities being undertaken from the site and does not result in:</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display and sale of goods being viewed from outside of the site;</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overall development on the site having a predominantly commercial appearance.</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goods grown, produced or manufactured on-site are sold from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0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 xml:space="preserve"> are of a size and scale that:</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consistent with the low intensity, open area character and amenity of the rural residential area;</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acceptable levels of privacy and amenity for the residents in adjoining or nearby dwellings.</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4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provided in the dwelling house</w:t>
            </w:r>
            <w:r w:rsidRPr="00325D93">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of the accommodation operator; </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maximum 4 bedrooms are provided for a maximum of 10 guests;</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meals are served to paying guests only;</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rooms do not contain food preparation facilities.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4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4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does not have an adverse impact on the visual amenity of a locality and is: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enclosed within buildings or structures;</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behind the main building line;</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similar height, bulk and scale to the surrounding fabric;</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horizontal and vertical articulation applied to all exterior walls.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Infrastructure does not have an impact on pedestrian health and safety.</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Access control arrangements: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create dead-ends or dark alleyways adjacent to the infrastructure;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 the number and width of crossovers and entry points;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safe vehicular access to the site;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utilise barbed wire or razor wire.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generates no audible sound at the site boundaries where in a residential setting; or</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meet the objectives as set out in the Environmental Protection (Noise) Policy 2008.</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All equipment which produces audible or non-audible sound is housed within a fully enclosed building incorporating sound control measures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to ensure noise emissions meet the objectives as set out in the Environmental Protection (Noise) Policy 2008.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5"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w:t>
            </w:r>
            <w:r w:rsidR="00DD6639">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roadside stall</w:t>
            </w:r>
            <w:r w:rsidRPr="00325D93">
              <w:rPr>
                <w:rFonts w:ascii="Arial" w:eastAsia="Times New Roman" w:hAnsi="Arial" w:cs="Arial"/>
                <w:sz w:val="20"/>
                <w:szCs w:val="20"/>
                <w:vertAlign w:val="superscript"/>
                <w:lang w:eastAsia="en-AU"/>
              </w:rPr>
              <w:t>(</w:t>
            </w:r>
            <w:hyperlink r:id="rId46"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comprises only one roadside stall</w:t>
            </w:r>
            <w:r w:rsidRPr="00325D93">
              <w:rPr>
                <w:rFonts w:ascii="Arial" w:eastAsia="Times New Roman" w:hAnsi="Arial" w:cs="Arial"/>
                <w:sz w:val="20"/>
                <w:szCs w:val="20"/>
                <w:vertAlign w:val="superscript"/>
                <w:lang w:eastAsia="en-AU"/>
              </w:rPr>
              <w:t>(</w:t>
            </w:r>
            <w:hyperlink r:id="rId47"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offers goods grown, produced or manufactured on the site;</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and in a location that will not result in nuisance, or have a significant adverse impact on the amenity, for residents on adjoining and surrounding properties;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designed and located to ensure safe and accessible access, egress and on-site parking and not negatively impact the road network.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 roadside stall</w:t>
            </w:r>
            <w:r w:rsidRPr="00325D93">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more than one roadside stall</w:t>
            </w:r>
            <w:r w:rsidRPr="00325D93">
              <w:rPr>
                <w:rFonts w:ascii="Arial" w:eastAsia="Times New Roman" w:hAnsi="Arial" w:cs="Arial"/>
                <w:sz w:val="20"/>
                <w:szCs w:val="20"/>
                <w:vertAlign w:val="superscript"/>
                <w:lang w:eastAsia="en-AU"/>
              </w:rPr>
              <w:t>(</w:t>
            </w:r>
            <w:hyperlink r:id="rId49"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goods offered for sale are only goods grown, produced or manufactured on the site;</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area associated with a roadside stall</w:t>
            </w:r>
            <w:r w:rsidRPr="00325D93">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including any larger separate items displayed for sale, does not exceed 20m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5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Roadside stall</w:t>
            </w:r>
            <w:r w:rsidRPr="00325D93">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 car parking for 2 vehicles off the road carriage and located on the property;</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no closer than 100m from an intersection.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5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 construction materials and use of colour for buildings and structures are </w:t>
            </w:r>
            <w:r w:rsidRPr="00325D93">
              <w:rPr>
                <w:rFonts w:ascii="Arial" w:eastAsia="Times New Roman" w:hAnsi="Arial" w:cs="Arial"/>
                <w:sz w:val="20"/>
                <w:szCs w:val="20"/>
                <w:lang w:eastAsia="en-AU"/>
              </w:rPr>
              <w:lastRenderedPageBreak/>
              <w:t xml:space="preserve">visually compatible with the rural residential character and amenity;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scale and design that is not visually dominant, overbearing and inconsistent with the low </w:t>
            </w:r>
            <w:proofErr w:type="gramStart"/>
            <w:r w:rsidRPr="00325D93">
              <w:rPr>
                <w:rFonts w:ascii="Arial" w:eastAsia="Times New Roman" w:hAnsi="Arial" w:cs="Arial"/>
                <w:sz w:val="20"/>
                <w:szCs w:val="20"/>
                <w:lang w:eastAsia="en-AU"/>
              </w:rPr>
              <w:t>intensity built</w:t>
            </w:r>
            <w:proofErr w:type="gramEnd"/>
            <w:r w:rsidRPr="00325D93">
              <w:rPr>
                <w:rFonts w:ascii="Arial" w:eastAsia="Times New Roman" w:hAnsi="Arial" w:cs="Arial"/>
                <w:sz w:val="20"/>
                <w:szCs w:val="20"/>
                <w:lang w:eastAsia="en-AU"/>
              </w:rPr>
              <w:t xml:space="preserve"> form and open area character and amenity of the rural residential environment.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4"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Sales office</w:t>
            </w:r>
            <w:r w:rsidRPr="00325D93">
              <w:rPr>
                <w:rFonts w:ascii="Arial" w:eastAsia="Times New Roman" w:hAnsi="Arial" w:cs="Arial"/>
                <w:sz w:val="20"/>
                <w:szCs w:val="20"/>
                <w:vertAlign w:val="superscript"/>
                <w:lang w:eastAsia="en-AU"/>
              </w:rPr>
              <w:t>(</w:t>
            </w:r>
            <w:hyperlink r:id="rId55"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remain temporary in duration and retain a physical connection to land or building being displayed or sold.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carried out for no longer than 2 years.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In accordance with the Federal legislation Telecommunications facilities </w:t>
                  </w:r>
                  <w:r w:rsidRPr="00325D93">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Telecommunications facilities</w:t>
            </w:r>
            <w:r w:rsidRPr="00325D93">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with existing telecommunications facilities</w:t>
            </w:r>
            <w:r w:rsidRPr="00325D93">
              <w:rPr>
                <w:rFonts w:ascii="Arial" w:eastAsia="Times New Roman" w:hAnsi="Arial" w:cs="Arial"/>
                <w:sz w:val="20"/>
                <w:szCs w:val="20"/>
                <w:vertAlign w:val="superscript"/>
                <w:lang w:eastAsia="en-AU"/>
              </w:rPr>
              <w:t>(</w:t>
            </w:r>
            <w:hyperlink r:id="rId59"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Utility installation</w:t>
            </w:r>
            <w:r w:rsidRPr="00325D93">
              <w:rPr>
                <w:rFonts w:ascii="Arial" w:eastAsia="Times New Roman" w:hAnsi="Arial" w:cs="Arial"/>
                <w:sz w:val="20"/>
                <w:szCs w:val="20"/>
                <w:vertAlign w:val="superscript"/>
                <w:lang w:eastAsia="en-AU"/>
              </w:rPr>
              <w:t>(</w:t>
            </w:r>
            <w:hyperlink r:id="rId6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Major electricity infrastructure</w:t>
            </w:r>
            <w:r w:rsidRPr="00325D93">
              <w:rPr>
                <w:rFonts w:ascii="Arial" w:eastAsia="Times New Roman" w:hAnsi="Arial" w:cs="Arial"/>
                <w:sz w:val="20"/>
                <w:szCs w:val="20"/>
                <w:vertAlign w:val="superscript"/>
                <w:lang w:eastAsia="en-AU"/>
              </w:rPr>
              <w:t>(</w:t>
            </w:r>
            <w:hyperlink r:id="rId6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Substation</w:t>
            </w:r>
            <w:r w:rsidRPr="00325D93">
              <w:rPr>
                <w:rFonts w:ascii="Arial" w:eastAsia="Times New Roman" w:hAnsi="Arial" w:cs="Arial"/>
                <w:sz w:val="20"/>
                <w:szCs w:val="20"/>
                <w:vertAlign w:val="superscript"/>
                <w:lang w:eastAsia="en-AU"/>
              </w:rPr>
              <w:t>(</w:t>
            </w:r>
            <w:hyperlink r:id="rId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if there is already a facility in the same coverage area.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New telecommunication facilities</w:t>
            </w:r>
            <w:r w:rsidRPr="00325D93">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new Telecommunications facility</w:t>
            </w:r>
            <w:r w:rsidRPr="00325D93">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w:t>
            </w:r>
            <w:r w:rsidR="00DD6639">
              <w:rPr>
                <w:rFonts w:ascii="Arial" w:eastAsia="Times New Roman" w:hAnsi="Arial" w:cs="Arial"/>
                <w:sz w:val="20"/>
                <w:szCs w:val="20"/>
                <w:lang w:eastAsia="en-AU"/>
              </w:rPr>
              <w:t xml:space="preserve">area </w:t>
            </w:r>
            <w:r w:rsidRPr="00325D93">
              <w:rPr>
                <w:rFonts w:ascii="Arial" w:eastAsia="Times New Roman" w:hAnsi="Arial" w:cs="Arial"/>
                <w:sz w:val="20"/>
                <w:szCs w:val="20"/>
                <w:lang w:eastAsia="en-AU"/>
              </w:rPr>
              <w:t>of 45m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Telecommunications facilities</w:t>
            </w:r>
            <w:r w:rsidRPr="00325D93">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conflict with lawful existing land uses both on and adjoining the site.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results in no net reduction in the minimum quantity and standard of landscaping, private </w:t>
            </w:r>
            <w:r w:rsidRPr="00325D93">
              <w:rPr>
                <w:rFonts w:ascii="Arial" w:eastAsia="Times New Roman" w:hAnsi="Arial" w:cs="Arial"/>
                <w:sz w:val="20"/>
                <w:szCs w:val="20"/>
                <w:lang w:eastAsia="en-AU"/>
              </w:rPr>
              <w:lastRenderedPageBreak/>
              <w:t xml:space="preserve">or communal open space or car parking spaces required under the planning scheme or under an existing development approval.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Telecommunications facility</w:t>
            </w:r>
            <w:r w:rsidRPr="00325D93">
              <w:rPr>
                <w:rFonts w:ascii="Arial" w:eastAsia="Times New Roman" w:hAnsi="Arial" w:cs="Arial"/>
                <w:sz w:val="20"/>
                <w:szCs w:val="20"/>
                <w:vertAlign w:val="superscript"/>
                <w:lang w:eastAsia="en-AU"/>
              </w:rPr>
              <w:t>(</w:t>
            </w:r>
            <w:hyperlink r:id="rId6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have an adverse impact on the visual amenity of a locality and is: </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25D93">
              <w:rPr>
                <w:rFonts w:ascii="Arial" w:eastAsia="Times New Roman" w:hAnsi="Arial" w:cs="Arial"/>
                <w:sz w:val="20"/>
                <w:szCs w:val="20"/>
                <w:lang w:eastAsia="en-AU"/>
              </w:rPr>
              <w:t>treeline</w:t>
            </w:r>
            <w:proofErr w:type="spellEnd"/>
            <w:r w:rsidRPr="00325D93">
              <w:rPr>
                <w:rFonts w:ascii="Arial" w:eastAsia="Times New Roman" w:hAnsi="Arial" w:cs="Arial"/>
                <w:sz w:val="20"/>
                <w:szCs w:val="20"/>
                <w:lang w:eastAsia="en-AU"/>
              </w:rPr>
              <w:t xml:space="preserve">, prominent ridgeline or building rooftops in the surrounding townscape.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all other areas towers do not exceed 35m in height.</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Towers, equipment shelters and associated structures are of a design, colour and material to:</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recognition in the landscape;</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glare and reflectivity.</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there is no established building line the facility is located at the rear of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facility is enclosed by security fencing or by other means to ensure public access is prohibited.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Landscaping is provided in accordance with Planning scheme policy - Integrated design.</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Lawful access </w:t>
            </w:r>
            <w:proofErr w:type="gramStart"/>
            <w:r w:rsidRPr="00325D93">
              <w:rPr>
                <w:rFonts w:ascii="Arial" w:eastAsia="Times New Roman" w:hAnsi="Arial" w:cs="Arial"/>
                <w:sz w:val="20"/>
                <w:szCs w:val="20"/>
                <w:lang w:eastAsia="en-AU"/>
              </w:rPr>
              <w:t>is maintained to the site at all times</w:t>
            </w:r>
            <w:proofErr w:type="gramEnd"/>
            <w:r w:rsidRPr="00325D93">
              <w:rPr>
                <w:rFonts w:ascii="Arial" w:eastAsia="Times New Roman" w:hAnsi="Arial" w:cs="Arial"/>
                <w:sz w:val="20"/>
                <w:szCs w:val="20"/>
                <w:lang w:eastAsia="en-AU"/>
              </w:rPr>
              <w:t xml:space="preserve"> that does not alter the amenity of the landscape or surrounding uses.</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and Landscape Plan demonstrates how </w:t>
            </w:r>
            <w:proofErr w:type="gramStart"/>
            <w:r w:rsidRPr="00325D93">
              <w:rPr>
                <w:rFonts w:ascii="Arial" w:eastAsia="Times New Roman" w:hAnsi="Arial" w:cs="Arial"/>
                <w:sz w:val="20"/>
                <w:szCs w:val="20"/>
                <w:lang w:eastAsia="en-AU"/>
              </w:rPr>
              <w:t>24 hour</w:t>
            </w:r>
            <w:proofErr w:type="gramEnd"/>
            <w:r w:rsidRPr="00325D93">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equipment comprising the Telecommunications facility</w:t>
            </w:r>
            <w:r w:rsidRPr="00325D93">
              <w:rPr>
                <w:rFonts w:ascii="Arial" w:eastAsia="Times New Roman" w:hAnsi="Arial" w:cs="Arial"/>
                <w:sz w:val="20"/>
                <w:szCs w:val="20"/>
                <w:vertAlign w:val="superscript"/>
                <w:lang w:eastAsia="en-AU"/>
              </w:rPr>
              <w:t>(</w:t>
            </w:r>
            <w:hyperlink r:id="rId6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Wholesale nursery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8"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DD6639">
        <w:trPr>
          <w:trHeight w:val="1678"/>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a wholesale nursery</w:t>
            </w:r>
            <w:r w:rsidRPr="00325D93">
              <w:rPr>
                <w:rFonts w:ascii="Arial" w:eastAsia="Times New Roman" w:hAnsi="Arial" w:cs="Arial"/>
                <w:sz w:val="20"/>
                <w:szCs w:val="20"/>
                <w:vertAlign w:val="superscript"/>
                <w:lang w:eastAsia="en-AU"/>
              </w:rPr>
              <w:t>(</w:t>
            </w:r>
            <w:hyperlink r:id="rId69"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propagation of plants, whether or not in the open, occur without loss of amenity to adjacent properties;</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853DD2">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0"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31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veterinary services</w:t>
            </w:r>
            <w:r w:rsidRPr="00325D93">
              <w:rPr>
                <w:rFonts w:ascii="Arial" w:eastAsia="Times New Roman" w:hAnsi="Arial" w:cs="Arial"/>
                <w:sz w:val="20"/>
                <w:szCs w:val="20"/>
                <w:vertAlign w:val="superscript"/>
                <w:lang w:eastAsia="en-AU"/>
              </w:rPr>
              <w:t>(</w:t>
            </w:r>
            <w:hyperlink r:id="rId71"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veterinary care, surgery and treatment of animals only;</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48307B">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Winery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2"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winery</w:t>
            </w:r>
            <w:r w:rsidRPr="00325D93">
              <w:rPr>
                <w:rFonts w:ascii="Arial" w:eastAsia="Times New Roman" w:hAnsi="Arial" w:cs="Arial"/>
                <w:sz w:val="20"/>
                <w:szCs w:val="20"/>
                <w:vertAlign w:val="superscript"/>
                <w:lang w:eastAsia="en-AU"/>
              </w:rPr>
              <w:t>(</w:t>
            </w:r>
            <w:hyperlink r:id="rId73"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a winery</w:t>
            </w:r>
            <w:r w:rsidRPr="00325D93">
              <w:rPr>
                <w:rFonts w:ascii="Arial" w:eastAsia="Times New Roman" w:hAnsi="Arial" w:cs="Arial"/>
                <w:sz w:val="20"/>
                <w:szCs w:val="20"/>
                <w:vertAlign w:val="superscript"/>
                <w:lang w:eastAsia="en-AU"/>
              </w:rPr>
              <w:t>(</w:t>
            </w:r>
            <w:hyperlink r:id="rId74"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ancillary activities only. Uses not affiliated with winery</w:t>
            </w:r>
            <w:r w:rsidRPr="00325D93">
              <w:rPr>
                <w:rFonts w:ascii="Arial" w:eastAsia="Times New Roman" w:hAnsi="Arial" w:cs="Arial"/>
                <w:sz w:val="20"/>
                <w:szCs w:val="20"/>
                <w:vertAlign w:val="superscript"/>
                <w:lang w:eastAsia="en-AU"/>
              </w:rPr>
              <w:t>(</w:t>
            </w:r>
            <w:hyperlink r:id="rId75"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or the sale of products produced or manufactured on-site, are avoided;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and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093775">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5"/>
        <w:gridCol w:w="5147"/>
        <w:gridCol w:w="1935"/>
        <w:gridCol w:w="3516"/>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avoids disturbing acid sulfate soils. Where development disturbs acid sulfate soils, development:</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the environmental and ecological values and health of receiving waters;</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buildings and infrastructure from the effects of acid sulfate soils.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or otherwise removing of more than 100m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soil or sediment where below than 5m Australian Height datum AHD; or </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filling of land of more than 500m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material with an average depth of 0.5m or greater where below the 5m Australian Height datum AHD.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minimises the number of buildings and people working and living on a site exposed to bushfire risk;</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to increase the chance of survival of buildings and structures during a bushfire;</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 located on land with a slope greater than 15% (see Overlay map - Landslide hazard);</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dwellings are located on east to south facing slopes.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 and associated driveways and access ways:</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enable safe evacuation for occupants of a site during a bushfire.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 length of driveway:</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accommodate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 hardstand area allowing medium rigid vehicles (15 tonne fire appliance) access within 6m of the tank;</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ecological value and connectivity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replacement and rehabilitation planting to improve connectivity;</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rehabilitate, revegetate, restore and enhance an area to ensure it continues to function as a viable and healthy habitat area;</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safe, unimpeded, convenient and ongoing wildlife movement and habitat connectivity by:</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providing wildlife movement infrastructure;</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replacement and rehabilitation planting to improve connectivity.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leave cleared land exposed for an unreasonable </w:t>
            </w:r>
            <w:proofErr w:type="gramStart"/>
            <w:r w:rsidRPr="00325D93">
              <w:rPr>
                <w:rFonts w:ascii="Arial" w:eastAsia="Times New Roman" w:hAnsi="Arial" w:cs="Arial"/>
                <w:sz w:val="20"/>
                <w:szCs w:val="20"/>
                <w:lang w:eastAsia="en-AU"/>
              </w:rPr>
              <w:t>period of time</w:t>
            </w:r>
            <w:proofErr w:type="gramEnd"/>
            <w:r w:rsidRPr="00325D93">
              <w:rPr>
                <w:rFonts w:ascii="Arial" w:eastAsia="Times New Roman" w:hAnsi="Arial" w:cs="Arial"/>
                <w:sz w:val="20"/>
                <w:szCs w:val="20"/>
                <w:lang w:eastAsia="en-AU"/>
              </w:rPr>
              <w:t xml:space="preserve"> but is rehabilitated in a timely manner.</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adopting suitable measures to exclude livestock from entering a waterbody where a site is being used for animal husbandry</w:t>
            </w:r>
            <w:r w:rsidRPr="00325D93">
              <w:rPr>
                <w:rFonts w:ascii="Arial" w:eastAsia="Times New Roman" w:hAnsi="Arial" w:cs="Arial"/>
                <w:sz w:val="20"/>
                <w:szCs w:val="20"/>
                <w:vertAlign w:val="superscript"/>
                <w:lang w:eastAsia="en-AU"/>
              </w:rPr>
              <w:t>(</w:t>
            </w:r>
            <w:hyperlink r:id="rId7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77"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incorporating sediment retention devices;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channelled flow.</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245"/>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restoring, rehabilitating and increasing the size of existing patches of native vegetation;</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w:t>
            </w:r>
            <w:r w:rsidRPr="00325D93">
              <w:rPr>
                <w:rFonts w:ascii="Arial" w:eastAsia="Times New Roman" w:hAnsi="Arial" w:cs="Arial"/>
                <w:sz w:val="20"/>
                <w:szCs w:val="20"/>
                <w:lang w:eastAsia="en-AU"/>
              </w:rPr>
              <w:lastRenderedPageBreak/>
              <w:t xml:space="preserve">heat island effects.  Adverse urban heat island effects are minimised by: </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increasing the service extent of the urban forest canopy.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adopts design and location measures to satisfactorily mitigate the potential adverse impacts associated with transportation routes on sensitive land uses.  Such measures include, but are not limited to: </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shielding and screening private outdoor recreation space from the transportation routes.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are not located within the 100m wide transport route buffer:</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Rooming accommodation</w:t>
            </w:r>
            <w:r w:rsidRPr="00325D93">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 public access where this is currently provided.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and removal </w:t>
            </w: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only considered where:</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is performed following a catastrophic event which substantially destroys the building or object.</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w:t>
            </w:r>
            <w:r w:rsidRPr="00325D93">
              <w:rPr>
                <w:rFonts w:ascii="Arial" w:eastAsia="Times New Roman" w:hAnsi="Arial" w:cs="Arial"/>
                <w:sz w:val="20"/>
                <w:szCs w:val="20"/>
                <w:lang w:eastAsia="en-AU"/>
              </w:rPr>
              <w:lastRenderedPageBreak/>
              <w:t xml:space="preserve">redirection or alteration of the existing flow if surface or groundwater </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redirect or alter the existing flow of surface or groundwater.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are designed to respond to sloping topography in the siting, design and form of buildings and structures by:</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excluding domestic outbuildings:</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single plane slab on </w:t>
            </w:r>
            <w:proofErr w:type="gramStart"/>
            <w:r w:rsidRPr="00325D93">
              <w:rPr>
                <w:rFonts w:ascii="Arial" w:eastAsia="Times New Roman" w:hAnsi="Arial" w:cs="Arial"/>
                <w:sz w:val="20"/>
                <w:szCs w:val="20"/>
                <w:lang w:eastAsia="en-AU"/>
              </w:rPr>
              <w:t>ground.</w:t>
            </w:r>
            <w:proofErr w:type="gramEnd"/>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Incineration or burial of waste within a Water supply buffer is not undertaken onsite.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guidance refer to the Seq water Development Guidelines: Development </w:t>
                  </w:r>
                  <w:r w:rsidRPr="00325D93">
                    <w:rPr>
                      <w:rFonts w:ascii="Arial" w:eastAsia="Times New Roman" w:hAnsi="Arial" w:cs="Arial"/>
                      <w:sz w:val="20"/>
                      <w:szCs w:val="20"/>
                      <w:lang w:eastAsia="en-AU"/>
                    </w:rPr>
                    <w:lastRenderedPageBreak/>
                    <w:t xml:space="preserve">Guidelines for Water Quality Management in Drinking Water Catchments 2012.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treated wastewater treatment systems within a Water supply buffer include:</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back up pump installation and backup power;</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MEDLI modelling to determine irrigation rates and sizing of irrigation areas;</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Bulk water supply infrastructure buffer is located, designed and constructed to:</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integrity of the water supply pipeline;</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 adequate access for any required maintenance or upgrading work to the water supply pipeline;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involve the construction of any buildings or structures within a Bulk water supply infrastructure buffer;</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located and designed to maintain required access to Bulk water supply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or structures;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gates and fences;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storage of equipment or materials;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or earthworks or stormwater or other infrastructure.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located a sufficient distance from substations</w:t>
            </w:r>
            <w:r w:rsidRPr="00325D93">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located within an Electricity supply substation buffer; and</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proposed on a site subject to an Electricity supply </w:t>
            </w:r>
            <w:proofErr w:type="spellStart"/>
            <w:r w:rsidRPr="00325D93">
              <w:rPr>
                <w:rFonts w:ascii="Arial" w:eastAsia="Times New Roman" w:hAnsi="Arial" w:cs="Arial"/>
                <w:sz w:val="20"/>
                <w:szCs w:val="20"/>
                <w:lang w:eastAsia="en-AU"/>
              </w:rPr>
              <w:t>supply</w:t>
            </w:r>
            <w:proofErr w:type="spellEnd"/>
            <w:r w:rsidRPr="00325D93">
              <w:rPr>
                <w:rFonts w:ascii="Arial" w:eastAsia="Times New Roman" w:hAnsi="Arial" w:cs="Arial"/>
                <w:sz w:val="20"/>
                <w:szCs w:val="20"/>
                <w:lang w:eastAsia="en-AU"/>
              </w:rPr>
              <w:t xml:space="preserve"> substation</w:t>
            </w:r>
            <w:r w:rsidRPr="00325D93">
              <w:rPr>
                <w:rFonts w:ascii="Arial" w:eastAsia="Times New Roman" w:hAnsi="Arial" w:cs="Arial"/>
                <w:sz w:val="20"/>
                <w:szCs w:val="20"/>
                <w:vertAlign w:val="superscript"/>
                <w:lang w:eastAsia="en-AU"/>
              </w:rPr>
              <w:t>(</w:t>
            </w:r>
            <w:hyperlink r:id="rId9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are acoustically insulted to </w:t>
            </w:r>
            <w:r w:rsidRPr="00325D93">
              <w:rPr>
                <w:rFonts w:ascii="Arial" w:eastAsia="Times New Roman" w:hAnsi="Arial" w:cs="Arial"/>
                <w:sz w:val="20"/>
                <w:szCs w:val="20"/>
                <w:lang w:eastAsia="en-AU"/>
              </w:rPr>
              <w:lastRenderedPageBreak/>
              <w:t xml:space="preserve">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acoustically insulated from the noise of a substation</w:t>
            </w:r>
            <w:r w:rsidRPr="00325D93">
              <w:rPr>
                <w:rFonts w:ascii="Arial" w:eastAsia="Times New Roman" w:hAnsi="Arial" w:cs="Arial"/>
                <w:sz w:val="20"/>
                <w:szCs w:val="20"/>
                <w:vertAlign w:val="superscript"/>
                <w:lang w:eastAsia="en-AU"/>
              </w:rPr>
              <w:t>(</w:t>
            </w:r>
            <w:hyperlink r:id="rId9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noise impact assessment report is provided in Planning scheme policy – Noise.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in a manner that maintains a high level of  security of supply;</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located and design so not to impede upon the functioning and maintenance of high voltage electrical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Pumping station buffer is located, designed and constructed to:</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Pumping station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risk to persons from overland flow;</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w:t>
            </w:r>
            <w:r w:rsidRPr="00325D93">
              <w:rPr>
                <w:rFonts w:ascii="Arial" w:eastAsia="Times New Roman" w:hAnsi="Arial" w:cs="Arial"/>
                <w:sz w:val="20"/>
                <w:szCs w:val="20"/>
                <w:lang w:eastAsia="en-AU"/>
              </w:rPr>
              <w:lastRenderedPageBreak/>
              <w:t xml:space="preserve">for any event up to and including the 1% AEP for the fully developed upstream catchment; </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directly, indirectly or cumulatively cause any increase in overland flow velocity or level;</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25D93">
              <w:rPr>
                <w:rFonts w:ascii="Arial" w:eastAsia="Times New Roman" w:hAnsi="Arial" w:cs="Arial"/>
                <w:sz w:val="20"/>
                <w:szCs w:val="20"/>
                <w:lang w:eastAsia="en-AU"/>
              </w:rPr>
              <w:t>are able to</w:t>
            </w:r>
            <w:proofErr w:type="gramEnd"/>
            <w:r w:rsidRPr="00325D9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Additional criteria for development for a Park</w:t>
            </w:r>
            <w:r w:rsidRPr="00325D93">
              <w:rPr>
                <w:rFonts w:ascii="Arial" w:eastAsia="Times New Roman" w:hAnsi="Arial" w:cs="Arial"/>
                <w:b/>
                <w:bCs/>
                <w:sz w:val="20"/>
                <w:szCs w:val="20"/>
                <w:vertAlign w:val="superscript"/>
                <w:lang w:eastAsia="en-AU"/>
              </w:rPr>
              <w:t>(</w:t>
            </w:r>
            <w:hyperlink r:id="rId9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maintenance and replacement costs are minimised.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62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fauna habitats;</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edge effects.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50m from top of bank for W1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30m from top of bank for W2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20m from top of bank for W3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p>
    <w:sectPr w:rsidR="00365B8E" w:rsidRPr="00325D93" w:rsidSect="00325D93">
      <w:footerReference w:type="default" r:id="rId1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F13" w:rsidRDefault="00193F13" w:rsidP="005536F0">
      <w:pPr>
        <w:spacing w:after="0" w:line="240" w:lineRule="auto"/>
      </w:pPr>
      <w:r>
        <w:separator/>
      </w:r>
    </w:p>
  </w:endnote>
  <w:endnote w:type="continuationSeparator" w:id="0">
    <w:p w:rsidR="00193F13" w:rsidRDefault="00193F13"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10" w:rsidRPr="008975E5" w:rsidRDefault="008975E5" w:rsidP="008975E5">
    <w:pPr>
      <w:pStyle w:val="Footer"/>
      <w:jc w:val="center"/>
      <w:rPr>
        <w:rFonts w:ascii="Arial" w:hAnsi="Arial" w:cs="Arial"/>
        <w:i/>
        <w:sz w:val="20"/>
        <w:szCs w:val="20"/>
      </w:rPr>
    </w:pPr>
    <w:r w:rsidRPr="005536F0">
      <w:rPr>
        <w:rFonts w:ascii="Arial" w:hAnsi="Arial" w:cs="Arial"/>
        <w:i/>
        <w:sz w:val="20"/>
        <w:szCs w:val="20"/>
      </w:rPr>
      <w:t>MBRC Planning Scheme</w:t>
    </w:r>
    <w:r>
      <w:rPr>
        <w:rFonts w:ascii="Arial" w:hAnsi="Arial" w:cs="Arial"/>
        <w:i/>
        <w:sz w:val="20"/>
        <w:szCs w:val="20"/>
      </w:rPr>
      <w:t xml:space="preserve"> Version </w:t>
    </w:r>
    <w:r w:rsidR="00EF26DF">
      <w:rPr>
        <w:rFonts w:ascii="Arial" w:hAnsi="Arial" w:cs="Arial"/>
        <w:i/>
        <w:sz w:val="20"/>
        <w:szCs w:val="20"/>
      </w:rPr>
      <w:t>6</w:t>
    </w:r>
    <w:r w:rsidRPr="005536F0">
      <w:rPr>
        <w:rFonts w:ascii="Arial" w:hAnsi="Arial" w:cs="Arial"/>
        <w:i/>
        <w:sz w:val="20"/>
        <w:szCs w:val="20"/>
      </w:rPr>
      <w:t xml:space="preserve"> - Emerging community zone - Transition precinct - Developable</w:t>
    </w:r>
    <w:r>
      <w:rPr>
        <w:rFonts w:ascii="Arial" w:hAnsi="Arial" w:cs="Arial"/>
        <w:i/>
        <w:sz w:val="20"/>
        <w:szCs w:val="20"/>
      </w:rPr>
      <w:t xml:space="preserve"> lots - Assessable</w:t>
    </w:r>
    <w:r w:rsidRPr="005536F0">
      <w:rPr>
        <w:rFonts w:ascii="Arial" w:hAnsi="Arial" w:cs="Arial"/>
        <w:i/>
        <w:sz w:val="20"/>
        <w:szCs w:val="20"/>
      </w:rPr>
      <w:t xml:space="preserve"> - </w:t>
    </w:r>
    <w:r>
      <w:rPr>
        <w:rFonts w:ascii="Arial" w:hAnsi="Arial" w:cs="Arial"/>
        <w:i/>
        <w:sz w:val="20"/>
        <w:szCs w:val="20"/>
      </w:rPr>
      <w:t>3 July 2017</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Pr>
            <w:rFonts w:ascii="Arial" w:hAnsi="Arial" w:cs="Arial"/>
            <w:sz w:val="20"/>
            <w:szCs w:val="20"/>
          </w:rPr>
          <w:t>1</w:t>
        </w:r>
        <w:r w:rsidRPr="005536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F13" w:rsidRDefault="00193F13" w:rsidP="005536F0">
      <w:pPr>
        <w:spacing w:after="0" w:line="240" w:lineRule="auto"/>
      </w:pPr>
      <w:r>
        <w:separator/>
      </w:r>
    </w:p>
  </w:footnote>
  <w:footnote w:type="continuationSeparator" w:id="0">
    <w:p w:rsidR="00193F13" w:rsidRDefault="00193F13" w:rsidP="0055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0579"/>
    <w:multiLevelType w:val="multilevel"/>
    <w:tmpl w:val="24E27D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0127B"/>
    <w:multiLevelType w:val="multilevel"/>
    <w:tmpl w:val="798671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40F1D"/>
    <w:multiLevelType w:val="multilevel"/>
    <w:tmpl w:val="E8688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F415DB"/>
    <w:multiLevelType w:val="multilevel"/>
    <w:tmpl w:val="484296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883B4A"/>
    <w:multiLevelType w:val="multilevel"/>
    <w:tmpl w:val="6A34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7F2E83"/>
    <w:multiLevelType w:val="multilevel"/>
    <w:tmpl w:val="199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CDF4FA2"/>
    <w:multiLevelType w:val="multilevel"/>
    <w:tmpl w:val="5F16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D655AE1"/>
    <w:multiLevelType w:val="multilevel"/>
    <w:tmpl w:val="5EEE3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EB426DA"/>
    <w:multiLevelType w:val="multilevel"/>
    <w:tmpl w:val="59B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D53A66"/>
    <w:multiLevelType w:val="multilevel"/>
    <w:tmpl w:val="52167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14336D5"/>
    <w:multiLevelType w:val="multilevel"/>
    <w:tmpl w:val="808CF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4201D0F"/>
    <w:multiLevelType w:val="multilevel"/>
    <w:tmpl w:val="14D8E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03E05"/>
    <w:multiLevelType w:val="multilevel"/>
    <w:tmpl w:val="EB62C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B35CF8"/>
    <w:multiLevelType w:val="multilevel"/>
    <w:tmpl w:val="A3EAE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0B41C2"/>
    <w:multiLevelType w:val="multilevel"/>
    <w:tmpl w:val="02AE3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9E85CC3"/>
    <w:multiLevelType w:val="multilevel"/>
    <w:tmpl w:val="F328E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9B6C82"/>
    <w:multiLevelType w:val="multilevel"/>
    <w:tmpl w:val="0E529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244A57"/>
    <w:multiLevelType w:val="multilevel"/>
    <w:tmpl w:val="548A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B7415E"/>
    <w:multiLevelType w:val="multilevel"/>
    <w:tmpl w:val="D26A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7066E"/>
    <w:multiLevelType w:val="multilevel"/>
    <w:tmpl w:val="D33C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507697"/>
    <w:multiLevelType w:val="multilevel"/>
    <w:tmpl w:val="805AA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C853D48"/>
    <w:multiLevelType w:val="multilevel"/>
    <w:tmpl w:val="541C2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2" w15:restartNumberingAfterBreak="0">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0A60DC"/>
    <w:multiLevelType w:val="multilevel"/>
    <w:tmpl w:val="4F169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B62F13"/>
    <w:multiLevelType w:val="multilevel"/>
    <w:tmpl w:val="3A704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18554F"/>
    <w:multiLevelType w:val="multilevel"/>
    <w:tmpl w:val="E648F3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73945AD"/>
    <w:multiLevelType w:val="multilevel"/>
    <w:tmpl w:val="9B9AD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DC31CB9"/>
    <w:multiLevelType w:val="multilevel"/>
    <w:tmpl w:val="52609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3764FE"/>
    <w:multiLevelType w:val="multilevel"/>
    <w:tmpl w:val="4BE858F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0F74A6"/>
    <w:multiLevelType w:val="multilevel"/>
    <w:tmpl w:val="BE066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A1E1FC8"/>
    <w:multiLevelType w:val="multilevel"/>
    <w:tmpl w:val="FA94B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FEB32D7"/>
    <w:multiLevelType w:val="multilevel"/>
    <w:tmpl w:val="3D32F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5"/>
  </w:num>
  <w:num w:numId="2">
    <w:abstractNumId w:val="13"/>
  </w:num>
  <w:num w:numId="3">
    <w:abstractNumId w:val="34"/>
  </w:num>
  <w:num w:numId="4">
    <w:abstractNumId w:val="36"/>
  </w:num>
  <w:num w:numId="5">
    <w:abstractNumId w:val="31"/>
  </w:num>
  <w:num w:numId="6">
    <w:abstractNumId w:val="12"/>
  </w:num>
  <w:num w:numId="7">
    <w:abstractNumId w:val="69"/>
  </w:num>
  <w:num w:numId="8">
    <w:abstractNumId w:val="76"/>
  </w:num>
  <w:num w:numId="9">
    <w:abstractNumId w:val="85"/>
  </w:num>
  <w:num w:numId="10">
    <w:abstractNumId w:val="6"/>
  </w:num>
  <w:num w:numId="11">
    <w:abstractNumId w:val="109"/>
  </w:num>
  <w:num w:numId="12">
    <w:abstractNumId w:val="27"/>
  </w:num>
  <w:num w:numId="13">
    <w:abstractNumId w:val="73"/>
  </w:num>
  <w:num w:numId="14">
    <w:abstractNumId w:val="48"/>
  </w:num>
  <w:num w:numId="15">
    <w:abstractNumId w:val="50"/>
  </w:num>
  <w:num w:numId="16">
    <w:abstractNumId w:val="45"/>
  </w:num>
  <w:num w:numId="17">
    <w:abstractNumId w:val="60"/>
  </w:num>
  <w:num w:numId="18">
    <w:abstractNumId w:val="22"/>
  </w:num>
  <w:num w:numId="19">
    <w:abstractNumId w:val="80"/>
  </w:num>
  <w:num w:numId="20">
    <w:abstractNumId w:val="29"/>
  </w:num>
  <w:num w:numId="21">
    <w:abstractNumId w:val="21"/>
  </w:num>
  <w:num w:numId="22">
    <w:abstractNumId w:val="43"/>
  </w:num>
  <w:num w:numId="23">
    <w:abstractNumId w:val="101"/>
  </w:num>
  <w:num w:numId="24">
    <w:abstractNumId w:val="68"/>
  </w:num>
  <w:num w:numId="25">
    <w:abstractNumId w:val="2"/>
  </w:num>
  <w:num w:numId="26">
    <w:abstractNumId w:val="87"/>
  </w:num>
  <w:num w:numId="27">
    <w:abstractNumId w:val="32"/>
  </w:num>
  <w:num w:numId="28">
    <w:abstractNumId w:val="51"/>
  </w:num>
  <w:num w:numId="29">
    <w:abstractNumId w:val="74"/>
  </w:num>
  <w:num w:numId="30">
    <w:abstractNumId w:val="3"/>
  </w:num>
  <w:num w:numId="31">
    <w:abstractNumId w:val="35"/>
  </w:num>
  <w:num w:numId="32">
    <w:abstractNumId w:val="0"/>
  </w:num>
  <w:num w:numId="33">
    <w:abstractNumId w:val="16"/>
  </w:num>
  <w:num w:numId="34">
    <w:abstractNumId w:val="103"/>
  </w:num>
  <w:num w:numId="35">
    <w:abstractNumId w:val="42"/>
  </w:num>
  <w:num w:numId="36">
    <w:abstractNumId w:val="91"/>
  </w:num>
  <w:num w:numId="37">
    <w:abstractNumId w:val="24"/>
  </w:num>
  <w:num w:numId="38">
    <w:abstractNumId w:val="84"/>
  </w:num>
  <w:num w:numId="39">
    <w:abstractNumId w:val="82"/>
  </w:num>
  <w:num w:numId="40">
    <w:abstractNumId w:val="56"/>
  </w:num>
  <w:num w:numId="41">
    <w:abstractNumId w:val="72"/>
  </w:num>
  <w:num w:numId="42">
    <w:abstractNumId w:val="70"/>
  </w:num>
  <w:num w:numId="43">
    <w:abstractNumId w:val="104"/>
  </w:num>
  <w:num w:numId="44">
    <w:abstractNumId w:val="30"/>
  </w:num>
  <w:num w:numId="45">
    <w:abstractNumId w:val="55"/>
  </w:num>
  <w:num w:numId="46">
    <w:abstractNumId w:val="81"/>
  </w:num>
  <w:num w:numId="47">
    <w:abstractNumId w:val="9"/>
  </w:num>
  <w:num w:numId="48">
    <w:abstractNumId w:val="62"/>
  </w:num>
  <w:num w:numId="49">
    <w:abstractNumId w:val="65"/>
  </w:num>
  <w:num w:numId="50">
    <w:abstractNumId w:val="37"/>
  </w:num>
  <w:num w:numId="51">
    <w:abstractNumId w:val="26"/>
  </w:num>
  <w:num w:numId="52">
    <w:abstractNumId w:val="33"/>
  </w:num>
  <w:num w:numId="53">
    <w:abstractNumId w:val="94"/>
  </w:num>
  <w:num w:numId="54">
    <w:abstractNumId w:val="4"/>
  </w:num>
  <w:num w:numId="55">
    <w:abstractNumId w:val="20"/>
  </w:num>
  <w:num w:numId="56">
    <w:abstractNumId w:val="64"/>
  </w:num>
  <w:num w:numId="57">
    <w:abstractNumId w:val="41"/>
  </w:num>
  <w:num w:numId="58">
    <w:abstractNumId w:val="95"/>
  </w:num>
  <w:num w:numId="59">
    <w:abstractNumId w:val="47"/>
  </w:num>
  <w:num w:numId="60">
    <w:abstractNumId w:val="5"/>
  </w:num>
  <w:num w:numId="61">
    <w:abstractNumId w:val="107"/>
  </w:num>
  <w:num w:numId="62">
    <w:abstractNumId w:val="90"/>
  </w:num>
  <w:num w:numId="63">
    <w:abstractNumId w:val="18"/>
  </w:num>
  <w:num w:numId="64">
    <w:abstractNumId w:val="7"/>
  </w:num>
  <w:num w:numId="65">
    <w:abstractNumId w:val="99"/>
  </w:num>
  <w:num w:numId="66">
    <w:abstractNumId w:val="19"/>
  </w:num>
  <w:num w:numId="67">
    <w:abstractNumId w:val="58"/>
  </w:num>
  <w:num w:numId="68">
    <w:abstractNumId w:val="88"/>
  </w:num>
  <w:num w:numId="69">
    <w:abstractNumId w:val="1"/>
  </w:num>
  <w:num w:numId="70">
    <w:abstractNumId w:val="102"/>
  </w:num>
  <w:num w:numId="71">
    <w:abstractNumId w:val="96"/>
  </w:num>
  <w:num w:numId="72">
    <w:abstractNumId w:val="44"/>
  </w:num>
  <w:num w:numId="73">
    <w:abstractNumId w:val="67"/>
  </w:num>
  <w:num w:numId="74">
    <w:abstractNumId w:val="93"/>
  </w:num>
  <w:num w:numId="75">
    <w:abstractNumId w:val="53"/>
  </w:num>
  <w:num w:numId="76">
    <w:abstractNumId w:val="105"/>
  </w:num>
  <w:num w:numId="77">
    <w:abstractNumId w:val="14"/>
  </w:num>
  <w:num w:numId="78">
    <w:abstractNumId w:val="92"/>
  </w:num>
  <w:num w:numId="79">
    <w:abstractNumId w:val="106"/>
  </w:num>
  <w:num w:numId="80">
    <w:abstractNumId w:val="63"/>
  </w:num>
  <w:num w:numId="81">
    <w:abstractNumId w:val="86"/>
  </w:num>
  <w:num w:numId="82">
    <w:abstractNumId w:val="46"/>
  </w:num>
  <w:num w:numId="83">
    <w:abstractNumId w:val="108"/>
  </w:num>
  <w:num w:numId="84">
    <w:abstractNumId w:val="54"/>
  </w:num>
  <w:num w:numId="85">
    <w:abstractNumId w:val="71"/>
  </w:num>
  <w:num w:numId="86">
    <w:abstractNumId w:val="38"/>
  </w:num>
  <w:num w:numId="87">
    <w:abstractNumId w:val="100"/>
  </w:num>
  <w:num w:numId="88">
    <w:abstractNumId w:val="83"/>
  </w:num>
  <w:num w:numId="89">
    <w:abstractNumId w:val="97"/>
  </w:num>
  <w:num w:numId="90">
    <w:abstractNumId w:val="79"/>
  </w:num>
  <w:num w:numId="91">
    <w:abstractNumId w:val="8"/>
  </w:num>
  <w:num w:numId="92">
    <w:abstractNumId w:val="78"/>
  </w:num>
  <w:num w:numId="93">
    <w:abstractNumId w:val="25"/>
  </w:num>
  <w:num w:numId="94">
    <w:abstractNumId w:val="28"/>
  </w:num>
  <w:num w:numId="95">
    <w:abstractNumId w:val="98"/>
  </w:num>
  <w:num w:numId="96">
    <w:abstractNumId w:val="59"/>
  </w:num>
  <w:num w:numId="97">
    <w:abstractNumId w:val="11"/>
  </w:num>
  <w:num w:numId="98">
    <w:abstractNumId w:val="52"/>
  </w:num>
  <w:num w:numId="99">
    <w:abstractNumId w:val="15"/>
  </w:num>
  <w:num w:numId="100">
    <w:abstractNumId w:val="49"/>
  </w:num>
  <w:num w:numId="101">
    <w:abstractNumId w:val="77"/>
  </w:num>
  <w:num w:numId="102">
    <w:abstractNumId w:val="10"/>
  </w:num>
  <w:num w:numId="103">
    <w:abstractNumId w:val="17"/>
  </w:num>
  <w:num w:numId="104">
    <w:abstractNumId w:val="66"/>
  </w:num>
  <w:num w:numId="105">
    <w:abstractNumId w:val="23"/>
  </w:num>
  <w:num w:numId="106">
    <w:abstractNumId w:val="39"/>
  </w:num>
  <w:num w:numId="107">
    <w:abstractNumId w:val="61"/>
  </w:num>
  <w:num w:numId="108">
    <w:abstractNumId w:val="89"/>
  </w:num>
  <w:num w:numId="109">
    <w:abstractNumId w:val="40"/>
  </w:num>
  <w:num w:numId="110">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93"/>
    <w:rsid w:val="00045485"/>
    <w:rsid w:val="00093775"/>
    <w:rsid w:val="00193F13"/>
    <w:rsid w:val="00257110"/>
    <w:rsid w:val="002F6CE3"/>
    <w:rsid w:val="00325D93"/>
    <w:rsid w:val="003324B1"/>
    <w:rsid w:val="00350D19"/>
    <w:rsid w:val="003562A8"/>
    <w:rsid w:val="00365B8E"/>
    <w:rsid w:val="00384AF1"/>
    <w:rsid w:val="0048307B"/>
    <w:rsid w:val="005536F0"/>
    <w:rsid w:val="00587E7F"/>
    <w:rsid w:val="00641907"/>
    <w:rsid w:val="00704C9B"/>
    <w:rsid w:val="00766A5F"/>
    <w:rsid w:val="00766D37"/>
    <w:rsid w:val="007C6DF5"/>
    <w:rsid w:val="00825826"/>
    <w:rsid w:val="00853DD2"/>
    <w:rsid w:val="00866748"/>
    <w:rsid w:val="008975E5"/>
    <w:rsid w:val="00972A79"/>
    <w:rsid w:val="00974F60"/>
    <w:rsid w:val="00A915A5"/>
    <w:rsid w:val="00AF1E0D"/>
    <w:rsid w:val="00B1245B"/>
    <w:rsid w:val="00B146E8"/>
    <w:rsid w:val="00B16D4A"/>
    <w:rsid w:val="00BD4CDC"/>
    <w:rsid w:val="00C944B3"/>
    <w:rsid w:val="00CC700A"/>
    <w:rsid w:val="00CF58C3"/>
    <w:rsid w:val="00D72F49"/>
    <w:rsid w:val="00D804D0"/>
    <w:rsid w:val="00DD6639"/>
    <w:rsid w:val="00DE016C"/>
    <w:rsid w:val="00EE1718"/>
    <w:rsid w:val="00EF26DF"/>
    <w:rsid w:val="00F3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BD71A"/>
  <w15:chartTrackingRefBased/>
  <w15:docId w15:val="{EBF4544E-B5B3-4862-85E4-C2E2A436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 w:type="paragraph" w:styleId="BalloonText">
    <w:name w:val="Balloon Text"/>
    <w:basedOn w:val="Normal"/>
    <w:link w:val="BalloonTextChar"/>
    <w:uiPriority w:val="99"/>
    <w:semiHidden/>
    <w:unhideWhenUsed/>
    <w:rsid w:val="00DE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6C"/>
    <w:rPr>
      <w:rFonts w:ascii="Segoe UI" w:hAnsi="Segoe UI" w:cs="Segoe UI"/>
      <w:sz w:val="18"/>
      <w:szCs w:val="18"/>
    </w:rPr>
  </w:style>
  <w:style w:type="table" w:styleId="TableGrid">
    <w:name w:val="Table Grid"/>
    <w:basedOn w:val="TableNormal"/>
    <w:uiPriority w:val="39"/>
    <w:rsid w:val="00D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image" Target="media/image3.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46247.html"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events/3497/popimage_d60297e146362.html"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1.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46359.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146353.html" TargetMode="External"/><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20295</Words>
  <Characters>115684</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2021-10-13T00:52:00Z</dcterms:created>
  <dcterms:modified xsi:type="dcterms:W3CDTF">2021-11-11T01:57:00Z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A19453130</vt:lpwstr>
  </property>
  <property fmtid="{D5CDD505-2E9C-101B-9397-08002B2CF9AE}" pid="4" name="Objective-Title">
    <vt:lpwstr>6.2.3.2.1 Transition precinct developable Assessable - UPDATED</vt:lpwstr>
  </property>
  <property fmtid="{D5CDD505-2E9C-101B-9397-08002B2CF9AE}" pid="5" name="Objective-Comment">
    <vt:lpwstr/>
  </property>
  <property fmtid="{D5CDD505-2E9C-101B-9397-08002B2CF9AE}" pid="6" name="Objective-CreationStamp">
    <vt:filetime>2019-12-10T01:53:40Z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2020-01-07T05:00:30Z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