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125" w:rsidRPr="00D94CCB" w:rsidRDefault="00A20125" w:rsidP="00A20125">
      <w:pPr>
        <w:pStyle w:val="NormalWeb"/>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13"/>
        <w:gridCol w:w="5191"/>
        <w:gridCol w:w="1734"/>
        <w:gridCol w:w="1860"/>
      </w:tblGrid>
      <w:tr w:rsidR="00D94CCB" w:rsidRPr="00D94CCB" w:rsidTr="00D94CCB">
        <w:trPr>
          <w:tblCellSpacing w:w="15" w:type="dxa"/>
        </w:trPr>
        <w:tc>
          <w:tcPr>
            <w:tcW w:w="4981" w:type="pct"/>
            <w:gridSpan w:val="4"/>
            <w:tcBorders>
              <w:top w:val="nil"/>
              <w:left w:val="nil"/>
              <w:bottom w:val="nil"/>
              <w:right w:val="nil"/>
            </w:tcBorders>
            <w:shd w:val="clear" w:color="auto" w:fill="CCCCCC"/>
            <w:vAlign w:val="center"/>
            <w:hideMark/>
          </w:tcPr>
          <w:p w:rsidR="00D94CCB" w:rsidRPr="00D94CCB" w:rsidRDefault="00D94CCB" w:rsidP="00FB0803">
            <w:pPr>
              <w:jc w:val="center"/>
              <w:rPr>
                <w:rStyle w:val="Strong"/>
                <w:rFonts w:ascii="Arial" w:eastAsia="Times New Roman" w:hAnsi="Arial" w:cs="Arial"/>
                <w:sz w:val="20"/>
                <w:szCs w:val="20"/>
              </w:rPr>
            </w:pPr>
            <w:r w:rsidRPr="00D94CCB">
              <w:rPr>
                <w:rStyle w:val="Strong"/>
                <w:rFonts w:ascii="Arial" w:eastAsia="Times New Roman" w:hAnsi="Arial" w:cs="Arial"/>
                <w:sz w:val="20"/>
                <w:szCs w:val="20"/>
              </w:rPr>
              <w:t>Table 9.4.1.6.2.1 Assessable development - General residential zone - Suburban neighbourhood precinct</w:t>
            </w: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D94CCB">
            <w:pPr>
              <w:pStyle w:val="NormalWeb"/>
              <w:rPr>
                <w:rFonts w:ascii="Arial" w:hAnsi="Arial" w:cs="Arial"/>
                <w:sz w:val="20"/>
                <w:szCs w:val="20"/>
              </w:rPr>
            </w:pPr>
            <w:r w:rsidRPr="00D94CCB">
              <w:rPr>
                <w:rStyle w:val="Strong"/>
                <w:rFonts w:ascii="Arial" w:hAnsi="Arial" w:cs="Arial"/>
                <w:sz w:val="20"/>
                <w:szCs w:val="20"/>
              </w:rPr>
              <w:t>Performance outcomes</w:t>
            </w:r>
          </w:p>
        </w:tc>
        <w:tc>
          <w:tcPr>
            <w:tcW w:w="1666" w:type="pct"/>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D94CCB">
            <w:pPr>
              <w:pStyle w:val="NormalWeb"/>
              <w:rPr>
                <w:rFonts w:ascii="Arial" w:hAnsi="Arial" w:cs="Arial"/>
                <w:sz w:val="20"/>
                <w:szCs w:val="20"/>
              </w:rPr>
            </w:pPr>
            <w:r w:rsidRPr="00D94CCB">
              <w:rPr>
                <w:rStyle w:val="Strong"/>
                <w:rFonts w:ascii="Arial" w:hAnsi="Arial" w:cs="Arial"/>
                <w:sz w:val="20"/>
                <w:szCs w:val="20"/>
              </w:rPr>
              <w:t>Examples that achieve aspects of the Performance Outcomes</w:t>
            </w:r>
          </w:p>
        </w:tc>
        <w:tc>
          <w:tcPr>
            <w:tcW w:w="56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D94CCB">
            <w:pPr>
              <w:rPr>
                <w:rFonts w:ascii="Arial" w:eastAsia="Times New Roman" w:hAnsi="Arial" w:cs="Arial"/>
                <w:b/>
                <w:bCs/>
                <w:sz w:val="20"/>
                <w:szCs w:val="20"/>
              </w:rPr>
            </w:pPr>
            <w:r w:rsidRPr="00D94CCB">
              <w:rPr>
                <w:rFonts w:ascii="Arial" w:eastAsia="Times New Roman" w:hAnsi="Arial" w:cs="Arial"/>
                <w:b/>
                <w:bCs/>
                <w:sz w:val="20"/>
                <w:szCs w:val="20"/>
              </w:rPr>
              <w:t>E Compliance</w:t>
            </w:r>
          </w:p>
          <w:p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Yes</w:t>
            </w:r>
          </w:p>
          <w:p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 xml:space="preserve">No See PO or </w:t>
            </w:r>
          </w:p>
          <w:p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NA</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D94CCB">
            <w:pPr>
              <w:spacing w:before="100" w:beforeAutospacing="1" w:after="100" w:afterAutospacing="1"/>
              <w:ind w:left="150" w:right="150"/>
              <w:rPr>
                <w:rFonts w:ascii="Arial" w:eastAsia="Times New Roman" w:hAnsi="Arial" w:cs="Arial"/>
                <w:b/>
                <w:bCs/>
                <w:sz w:val="20"/>
                <w:szCs w:val="20"/>
              </w:rPr>
            </w:pPr>
            <w:r w:rsidRPr="00D94CCB">
              <w:rPr>
                <w:rFonts w:ascii="Arial" w:eastAsia="Times New Roman" w:hAnsi="Arial" w:cs="Arial"/>
                <w:b/>
                <w:bCs/>
                <w:sz w:val="20"/>
                <w:szCs w:val="20"/>
              </w:rPr>
              <w:t>Justification for compliance</w:t>
            </w:r>
          </w:p>
        </w:tc>
      </w:tr>
      <w:tr w:rsidR="00D94CCB" w:rsidRPr="00D94CCB"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Density</w:t>
            </w:r>
          </w:p>
        </w:tc>
        <w:tc>
          <w:tcPr>
            <w:tcW w:w="56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does not exceed a net residential density of 11 lots per hectare unless the resultant lot/s are consistent with the low density and established character of the surrounding neighbourhood.</w:t>
            </w: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have a minimum site area of 600m</w:t>
            </w:r>
            <w:r w:rsidRPr="00D94CCB">
              <w:rPr>
                <w:rFonts w:ascii="Arial" w:hAnsi="Arial" w:cs="Arial"/>
                <w:sz w:val="20"/>
                <w:szCs w:val="20"/>
                <w:vertAlign w:val="superscript"/>
              </w:rPr>
              <w:t>2</w:t>
            </w:r>
            <w:r w:rsidRPr="00D94CCB">
              <w:rPr>
                <w:rFonts w:ascii="Arial" w:hAnsi="Arial" w:cs="Arial"/>
                <w:sz w:val="20"/>
                <w:szCs w:val="20"/>
              </w:rPr>
              <w:t xml:space="preserve"> and a minimum primary frontage of 12.5m.</w:t>
            </w: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240"/>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Lot design, mix and location</w:t>
            </w:r>
          </w:p>
        </w:tc>
        <w:tc>
          <w:tcPr>
            <w:tcW w:w="56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Lots have an area, shape and dimension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to ensure they can accommodate:</w:t>
            </w:r>
          </w:p>
          <w:p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 Dwelling house</w:t>
            </w:r>
            <w:r w:rsidRPr="00D94CCB">
              <w:rPr>
                <w:rFonts w:ascii="Arial" w:hAnsi="Arial" w:cs="Arial"/>
                <w:sz w:val="20"/>
                <w:szCs w:val="20"/>
                <w:vertAlign w:val="superscript"/>
              </w:rPr>
              <w:t>(</w:t>
            </w:r>
            <w:hyperlink r:id="rId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D94CCB">
                <w:rPr>
                  <w:rStyle w:val="Hyperlink"/>
                  <w:rFonts w:ascii="Arial" w:hAnsi="Arial" w:cs="Arial"/>
                  <w:color w:val="auto"/>
                  <w:sz w:val="20"/>
                  <w:szCs w:val="20"/>
                  <w:vertAlign w:val="superscript"/>
                </w:rPr>
                <w:t>22</w:t>
              </w:r>
            </w:hyperlink>
            <w:r w:rsidRPr="00D94CCB">
              <w:rPr>
                <w:rFonts w:ascii="Arial" w:hAnsi="Arial" w:cs="Arial"/>
                <w:sz w:val="20"/>
                <w:szCs w:val="20"/>
                <w:vertAlign w:val="superscript"/>
              </w:rPr>
              <w:t>)</w:t>
            </w:r>
            <w:r w:rsidRPr="00D94CCB">
              <w:rPr>
                <w:rFonts w:ascii="Arial" w:hAnsi="Arial" w:cs="Arial"/>
                <w:sz w:val="20"/>
                <w:szCs w:val="20"/>
              </w:rPr>
              <w:t xml:space="preserve"> including all domestic outbuildings and possible on site servicing requirements</w:t>
            </w:r>
          </w:p>
          <w:p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areas for car parking, access and manoeuvring;</w:t>
            </w:r>
          </w:p>
          <w:p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areas for private open space.</w:t>
            </w: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rPr>
                <w:rFonts w:ascii="Arial" w:eastAsia="Times New Roman" w:hAnsi="Arial" w:cs="Arial"/>
                <w:sz w:val="20"/>
                <w:szCs w:val="20"/>
              </w:rPr>
            </w:pPr>
            <w:r w:rsidRPr="00D94CCB">
              <w:rPr>
                <w:rFonts w:ascii="Arial" w:eastAsia="Times New Roman" w:hAnsi="Arial" w:cs="Arial"/>
                <w:sz w:val="20"/>
                <w:szCs w:val="20"/>
              </w:rPr>
              <w:t>No example provided.</w:t>
            </w: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Reconfiguring a lot does not create the opportunity for medium and </w:t>
            </w:r>
            <w:proofErr w:type="gramStart"/>
            <w:r w:rsidRPr="00D94CCB">
              <w:rPr>
                <w:rFonts w:ascii="Arial" w:hAnsi="Arial" w:cs="Arial"/>
                <w:sz w:val="20"/>
                <w:szCs w:val="20"/>
              </w:rPr>
              <w:t>high density</w:t>
            </w:r>
            <w:proofErr w:type="gramEnd"/>
            <w:r w:rsidRPr="00D94CCB">
              <w:rPr>
                <w:rFonts w:ascii="Arial" w:hAnsi="Arial" w:cs="Arial"/>
                <w:sz w:val="20"/>
                <w:szCs w:val="20"/>
              </w:rPr>
              <w:t xml:space="preserve"> development through the provision of lots with frontages of less than 10m.</w:t>
            </w:r>
          </w:p>
          <w:p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Sloping Land</w:t>
            </w:r>
          </w:p>
        </w:tc>
        <w:tc>
          <w:tcPr>
            <w:tcW w:w="560"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 layout and design avoids the impacts of cutting, filling and retaining walls on the visual and physical amenity of the streetscape, each lot created and of adjoining lots ensuring, but not limited to, the following:</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The likely location of private open space associated with a Dwelling House on each lot will not be dominated by, or encroached into by built form outcomes such as walls or fences;</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Walls and/or fences are kept to a human scale and do not represent barriers to local environmental outcomes and conditions such as good solar access and access to prevailing breezes; and</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The potential for overlooking from public land into private lots is avoided wherever possible; and</w:t>
            </w:r>
          </w:p>
          <w:p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Lot design is integrated with the opportunities available for Dwelling House design to reduce impacts.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78"/>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Residential design for guidelines on building design on sloped land.</w:t>
                  </w:r>
                </w:p>
              </w:tc>
            </w:tr>
          </w:tbl>
          <w:p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E4.1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 layout and design ensures that a lot has a maximum average slope of 1:15 along its long axis and 1:10 along its short axis.</w:t>
            </w:r>
          </w:p>
          <w:p w:rsidR="00D94CCB" w:rsidRPr="00D94CCB" w:rsidRDefault="00D94CCB" w:rsidP="00FB0803">
            <w:pP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Retaining walls and benching and associated cutting, filling and other earthworks associated with reconfiguring a lot are limited to:</w:t>
            </w:r>
          </w:p>
          <w:p w:rsidR="00D94CCB" w:rsidRPr="00D94CCB" w:rsidRDefault="00D94CCB" w:rsidP="00505354">
            <w:pPr>
              <w:numPr>
                <w:ilvl w:val="0"/>
                <w:numId w:val="3"/>
              </w:numPr>
              <w:spacing w:before="100" w:beforeAutospacing="1" w:after="100" w:afterAutospacing="1"/>
              <w:rPr>
                <w:rFonts w:ascii="Arial" w:hAnsi="Arial" w:cs="Arial"/>
                <w:sz w:val="20"/>
                <w:szCs w:val="20"/>
              </w:rPr>
            </w:pPr>
            <w:r w:rsidRPr="00D94CCB">
              <w:rPr>
                <w:rFonts w:ascii="Arial" w:hAnsi="Arial" w:cs="Arial"/>
                <w:sz w:val="20"/>
                <w:szCs w:val="20"/>
              </w:rPr>
              <w:t>a maximum vertical dimension of 1.5m from ground level for any single retaining structure; or</w:t>
            </w:r>
          </w:p>
          <w:p w:rsidR="00D94CCB" w:rsidRPr="00D94CCB" w:rsidRDefault="00D94CCB" w:rsidP="00505354">
            <w:pPr>
              <w:numPr>
                <w:ilvl w:val="0"/>
                <w:numId w:val="3"/>
              </w:numPr>
              <w:spacing w:before="100" w:beforeAutospacing="1" w:after="100" w:afterAutospacing="1"/>
              <w:rPr>
                <w:rFonts w:ascii="Arial" w:hAnsi="Arial" w:cs="Arial"/>
                <w:sz w:val="20"/>
                <w:szCs w:val="20"/>
              </w:rPr>
            </w:pPr>
            <w:r w:rsidRPr="00D94CCB">
              <w:rPr>
                <w:rFonts w:ascii="Arial" w:hAnsi="Arial" w:cs="Arial"/>
                <w:sz w:val="20"/>
                <w:szCs w:val="20"/>
              </w:rPr>
              <w:t>where incorporating a retaining structure greater than 1.5m in height, the retaining wall is stepped, terraced and landscaped as follows:</w:t>
            </w:r>
          </w:p>
          <w:p w:rsidR="00D94CCB" w:rsidRPr="00D94CCB" w:rsidRDefault="00D94CCB" w:rsidP="00505354">
            <w:pPr>
              <w:numPr>
                <w:ilvl w:val="1"/>
                <w:numId w:val="3"/>
              </w:numPr>
              <w:spacing w:before="100" w:beforeAutospacing="1" w:after="100" w:afterAutospacing="1"/>
              <w:rPr>
                <w:rFonts w:ascii="Arial" w:hAnsi="Arial" w:cs="Arial"/>
                <w:sz w:val="20"/>
                <w:szCs w:val="20"/>
              </w:rPr>
            </w:pPr>
            <w:r w:rsidRPr="00D94CCB">
              <w:rPr>
                <w:rFonts w:ascii="Arial" w:hAnsi="Arial" w:cs="Arial"/>
                <w:sz w:val="20"/>
                <w:szCs w:val="20"/>
              </w:rPr>
              <w:t>maximum 1m vertical, minimum 0.5m horizontal, maximum 2m vertical (refer figure below);</w:t>
            </w:r>
          </w:p>
          <w:p w:rsidR="00D94CCB" w:rsidRPr="00D94CCB" w:rsidRDefault="00D94CCB" w:rsidP="00505354">
            <w:pPr>
              <w:numPr>
                <w:ilvl w:val="1"/>
                <w:numId w:val="3"/>
              </w:numPr>
              <w:spacing w:before="100" w:beforeAutospacing="1" w:after="100" w:afterAutospacing="1"/>
              <w:rPr>
                <w:rFonts w:ascii="Arial" w:hAnsi="Arial" w:cs="Arial"/>
                <w:sz w:val="20"/>
                <w:szCs w:val="20"/>
              </w:rPr>
            </w:pPr>
            <w:r w:rsidRPr="00D94CCB">
              <w:rPr>
                <w:rFonts w:ascii="Arial" w:hAnsi="Arial" w:cs="Arial"/>
                <w:sz w:val="20"/>
                <w:szCs w:val="20"/>
              </w:rPr>
              <w:t>Maximum overall structure height of 3m; or</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lastRenderedPageBreak/>
              <w:drawing>
                <wp:inline distT="0" distB="0" distL="0" distR="0" wp14:anchorId="3A844BCD" wp14:editId="005CCDDF">
                  <wp:extent cx="2362200" cy="3533775"/>
                  <wp:effectExtent l="0" t="0" r="0" b="9525"/>
                  <wp:docPr id="38" name="ID-2776928-14" descr="RAL-retaining-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14" descr="RAL-retaining-01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3533775"/>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p w:rsidR="00D94CCB" w:rsidRPr="00D94CCB" w:rsidRDefault="00D94CCB" w:rsidP="00505354">
            <w:pPr>
              <w:numPr>
                <w:ilvl w:val="0"/>
                <w:numId w:val="4"/>
              </w:numPr>
              <w:spacing w:before="100" w:beforeAutospacing="1" w:after="100" w:afterAutospacing="1"/>
              <w:rPr>
                <w:rFonts w:ascii="Arial" w:hAnsi="Arial" w:cs="Arial"/>
                <w:sz w:val="20"/>
                <w:szCs w:val="20"/>
              </w:rPr>
            </w:pPr>
            <w:r w:rsidRPr="00D94CCB">
              <w:rPr>
                <w:rFonts w:ascii="Arial" w:hAnsi="Arial" w:cs="Arial"/>
                <w:sz w:val="20"/>
                <w:szCs w:val="20"/>
              </w:rPr>
              <w:t>where incorporating benching along the short axis (from side to side boundary) of a lot:</w:t>
            </w:r>
          </w:p>
          <w:p w:rsidR="00D94CCB" w:rsidRPr="00D94CCB" w:rsidRDefault="00D94CCB" w:rsidP="00505354">
            <w:pPr>
              <w:numPr>
                <w:ilvl w:val="1"/>
                <w:numId w:val="4"/>
              </w:numPr>
              <w:spacing w:before="100" w:beforeAutospacing="1" w:after="100" w:afterAutospacing="1"/>
              <w:rPr>
                <w:rFonts w:ascii="Arial" w:hAnsi="Arial" w:cs="Arial"/>
                <w:sz w:val="20"/>
                <w:szCs w:val="20"/>
              </w:rPr>
            </w:pPr>
            <w:r w:rsidRPr="00D94CCB">
              <w:rPr>
                <w:rFonts w:ascii="Arial" w:hAnsi="Arial" w:cs="Arial"/>
                <w:sz w:val="20"/>
                <w:szCs w:val="20"/>
              </w:rPr>
              <w:t>The difference between levels at each boundary is no greater than 4m per lot;</w:t>
            </w:r>
          </w:p>
          <w:p w:rsidR="00D94CCB" w:rsidRPr="00D94CCB" w:rsidRDefault="00D94CCB" w:rsidP="00505354">
            <w:pPr>
              <w:numPr>
                <w:ilvl w:val="1"/>
                <w:numId w:val="4"/>
              </w:numPr>
              <w:spacing w:before="100" w:beforeAutospacing="1" w:after="100" w:afterAutospacing="1"/>
              <w:rPr>
                <w:rFonts w:ascii="Arial" w:hAnsi="Arial" w:cs="Arial"/>
                <w:sz w:val="20"/>
                <w:szCs w:val="20"/>
              </w:rPr>
            </w:pPr>
            <w:r w:rsidRPr="00D94CCB">
              <w:rPr>
                <w:rFonts w:ascii="Arial" w:hAnsi="Arial" w:cs="Arial"/>
                <w:sz w:val="20"/>
                <w:szCs w:val="20"/>
              </w:rPr>
              <w:t>each bench has a maximum height of 2m (refer Figure below); or</w:t>
            </w:r>
          </w:p>
          <w:p w:rsidR="00D94CCB" w:rsidRPr="00D94CCB" w:rsidRDefault="00D94CCB" w:rsidP="00FB0803">
            <w:pP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035281B0" wp14:editId="0F45EDB8">
                  <wp:extent cx="3217779" cy="1054100"/>
                  <wp:effectExtent l="0" t="0" r="1905" b="0"/>
                  <wp:docPr id="39" name="ID-2776928-22" descr="RAL-benching_short_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22" descr="RAL-benching_short_ax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190" cy="1054562"/>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p w:rsidR="00D94CCB" w:rsidRPr="00D94CCB" w:rsidRDefault="00D94CCB" w:rsidP="00505354">
            <w:pPr>
              <w:numPr>
                <w:ilvl w:val="0"/>
                <w:numId w:val="5"/>
              </w:numPr>
              <w:spacing w:before="100" w:beforeAutospacing="1" w:after="100" w:afterAutospacing="1"/>
              <w:rPr>
                <w:rFonts w:ascii="Arial" w:hAnsi="Arial" w:cs="Arial"/>
                <w:sz w:val="20"/>
                <w:szCs w:val="20"/>
              </w:rPr>
            </w:pPr>
            <w:r w:rsidRPr="00D94CCB">
              <w:rPr>
                <w:rFonts w:ascii="Arial" w:hAnsi="Arial" w:cs="Arial"/>
                <w:sz w:val="20"/>
                <w:szCs w:val="20"/>
              </w:rPr>
              <w:t>where incorporating benching along the long axis (from front to rear boundary):</w:t>
            </w:r>
          </w:p>
          <w:p w:rsidR="00D94CCB" w:rsidRPr="00D94CCB" w:rsidRDefault="00D94CCB" w:rsidP="00505354">
            <w:pPr>
              <w:numPr>
                <w:ilvl w:val="1"/>
                <w:numId w:val="5"/>
              </w:numPr>
              <w:spacing w:before="100" w:beforeAutospacing="1" w:after="100" w:afterAutospacing="1"/>
              <w:rPr>
                <w:rFonts w:ascii="Arial" w:hAnsi="Arial" w:cs="Arial"/>
                <w:sz w:val="20"/>
                <w:szCs w:val="20"/>
              </w:rPr>
            </w:pPr>
            <w:r w:rsidRPr="00D94CCB">
              <w:rPr>
                <w:rFonts w:ascii="Arial" w:hAnsi="Arial" w:cs="Arial"/>
                <w:sz w:val="20"/>
                <w:szCs w:val="20"/>
              </w:rPr>
              <w:t>each bench has a maximum height of 2m;</w:t>
            </w:r>
          </w:p>
          <w:p w:rsidR="00D94CCB" w:rsidRPr="00D94CCB" w:rsidRDefault="00D94CCB" w:rsidP="00505354">
            <w:pPr>
              <w:numPr>
                <w:ilvl w:val="1"/>
                <w:numId w:val="5"/>
              </w:numPr>
              <w:spacing w:before="100" w:beforeAutospacing="1" w:after="100" w:afterAutospacing="1"/>
              <w:rPr>
                <w:rFonts w:ascii="Arial" w:hAnsi="Arial" w:cs="Arial"/>
                <w:sz w:val="20"/>
                <w:szCs w:val="20"/>
              </w:rPr>
            </w:pPr>
            <w:r w:rsidRPr="00D94CCB">
              <w:rPr>
                <w:rFonts w:ascii="Arial" w:hAnsi="Arial" w:cs="Arial"/>
                <w:sz w:val="20"/>
                <w:szCs w:val="20"/>
              </w:rPr>
              <w:t>lots orientate up/down the slope (refer Figure below).</w:t>
            </w:r>
          </w:p>
          <w:p w:rsidR="00D94CCB" w:rsidRPr="00D94CCB" w:rsidRDefault="00D94CCB" w:rsidP="00FB0803">
            <w:pPr>
              <w:pStyle w:val="NormalWeb"/>
              <w:rPr>
                <w:rFonts w:ascii="Arial" w:hAnsi="Arial" w:cs="Arial"/>
                <w:sz w:val="20"/>
                <w:szCs w:val="20"/>
              </w:rPr>
            </w:pPr>
            <w:r>
              <w:rPr>
                <w:noProof/>
              </w:rPr>
              <w:drawing>
                <wp:inline distT="0" distB="0" distL="0" distR="0" wp14:anchorId="08B5060C" wp14:editId="0E6A1EEE">
                  <wp:extent cx="3178822" cy="12890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3173" cy="1298925"/>
                          </a:xfrm>
                          <a:prstGeom prst="rect">
                            <a:avLst/>
                          </a:prstGeom>
                        </pic:spPr>
                      </pic:pic>
                    </a:graphicData>
                  </a:graphic>
                </wp:inline>
              </w:drawing>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07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Note - Benching is to incorporate suitable measures to ensure stabilisation and prevent erosion.</w:t>
                  </w:r>
                </w:p>
              </w:tc>
            </w:tr>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Editor's note - Strict cut and fill requirements apply at the Dwelling house stage.  Deferral of slope solutions until building stage is not an acceptable outcome. </w:t>
                  </w:r>
                </w:p>
              </w:tc>
            </w:tr>
          </w:tbl>
          <w:p w:rsidR="00D94CCB" w:rsidRPr="00D94CCB" w:rsidRDefault="00D94CCB" w:rsidP="00FB0803">
            <w:pP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lastRenderedPageBreak/>
              <w:t>Figure - Sloped lot design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lastRenderedPageBreak/>
              <w:drawing>
                <wp:inline distT="0" distB="0" distL="0" distR="0" wp14:anchorId="1294F7D5" wp14:editId="77F45F9F">
                  <wp:extent cx="5486400" cy="4257675"/>
                  <wp:effectExtent l="0" t="0" r="0" b="9525"/>
                  <wp:docPr id="41" name="ID-2693446-839798" descr="RAL - ventilation retaining walls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839798" descr="RAL - ventilation retaining walls revis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57675"/>
                          </a:xfrm>
                          <a:prstGeom prst="rect">
                            <a:avLst/>
                          </a:prstGeom>
                          <a:noFill/>
                          <a:ln>
                            <a:noFill/>
                          </a:ln>
                        </pic:spPr>
                      </pic:pic>
                    </a:graphicData>
                  </a:graphic>
                </wp:inline>
              </w:drawing>
            </w:r>
          </w:p>
          <w:p w:rsidR="00D94CCB" w:rsidRPr="00D94CCB" w:rsidRDefault="00D94CCB" w:rsidP="00FB0803">
            <w:pPr>
              <w:jc w:val="center"/>
              <w:rPr>
                <w:rFonts w:ascii="Arial" w:eastAsia="Times New Roman" w:hAnsi="Arial" w:cs="Arial"/>
                <w:sz w:val="20"/>
                <w:szCs w:val="20"/>
              </w:rPr>
            </w:pPr>
          </w:p>
          <w:p w:rsidR="00D94CCB" w:rsidRPr="00D94CCB" w:rsidRDefault="00D94CCB" w:rsidP="00FB0803">
            <w:pPr>
              <w:jc w:val="cente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jc w:val="center"/>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jc w:val="center"/>
              <w:rPr>
                <w:rStyle w:val="Strong"/>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45"/>
        <w:gridCol w:w="5274"/>
        <w:gridCol w:w="1697"/>
        <w:gridCol w:w="1766"/>
      </w:tblGrid>
      <w:tr w:rsidR="00D94CCB" w:rsidRPr="00D94CCB" w:rsidTr="00D94CCB">
        <w:trPr>
          <w:trHeight w:val="345"/>
          <w:tblCellSpacing w:w="15" w:type="dxa"/>
        </w:trPr>
        <w:tc>
          <w:tcPr>
            <w:tcW w:w="385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Rear lots</w:t>
            </w:r>
          </w:p>
        </w:tc>
        <w:tc>
          <w:tcPr>
            <w:tcW w:w="54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2820"/>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Rear lots:</w:t>
            </w:r>
          </w:p>
          <w:p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contribute to the mix of lot sizes;</w:t>
            </w:r>
          </w:p>
          <w:p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are limited to 1 behind any full frontage lot (i.e. A lot with a street frontage that is not an access handle);</w:t>
            </w:r>
          </w:p>
          <w:p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 xml:space="preserve">Provide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area for vehicles to manoeuvre on-site allowing entry and exit to the rear lot in forward gear.</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handles for rear lots are:</w:t>
            </w:r>
          </w:p>
          <w:p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a minimum of 5m wide to allow for safe vehicle access and service corridors from the rear lot to the street;</w:t>
            </w:r>
          </w:p>
          <w:p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are located on 1 side of the full frontage lot;</w:t>
            </w:r>
          </w:p>
          <w:p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limited to no more than 2 directly adjoining each other.</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r>
      <w:tr w:rsidR="00D94CCB" w:rsidRPr="00D94CCB" w:rsidTr="00D94CCB">
        <w:trPr>
          <w:tblCellSpacing w:w="15" w:type="dxa"/>
        </w:trPr>
        <w:tc>
          <w:tcPr>
            <w:tcW w:w="385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Street design and layout</w:t>
            </w:r>
          </w:p>
        </w:tc>
        <w:tc>
          <w:tcPr>
            <w:tcW w:w="54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Development maintains, contributes to or provides for a street layout that facilitates regular and consistent shaped lots </w:t>
            </w:r>
            <w:proofErr w:type="gramStart"/>
            <w:r w:rsidRPr="00D94CCB">
              <w:rPr>
                <w:rFonts w:ascii="Arial" w:hAnsi="Arial" w:cs="Arial"/>
                <w:sz w:val="20"/>
                <w:szCs w:val="20"/>
              </w:rPr>
              <w:t>through the use of</w:t>
            </w:r>
            <w:proofErr w:type="gramEnd"/>
            <w:r w:rsidRPr="00D94CCB">
              <w:rPr>
                <w:rFonts w:ascii="Arial" w:hAnsi="Arial" w:cs="Arial"/>
                <w:sz w:val="20"/>
                <w:szCs w:val="20"/>
              </w:rPr>
              <w:t xml:space="preserve"> rectilinear grid patterns, or modified grid patterns where constrained by topographical and other physical barriers.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Neighbourhood design for guidance on how to achieve compliance with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Development maintains, contributes to or provides for a street layout that is designed to connect to surrounding neighbourhoods, providing an interconnected street, pedestrian and cyclist network that connects </w:t>
            </w:r>
            <w:r w:rsidRPr="00D94CCB">
              <w:rPr>
                <w:rFonts w:ascii="Arial" w:hAnsi="Arial" w:cs="Arial"/>
                <w:sz w:val="20"/>
                <w:szCs w:val="20"/>
              </w:rPr>
              <w:lastRenderedPageBreak/>
              <w:t>nearby centres, neighbourhood hubs, community facilities, public transport nodes and open space to residential areas.</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layout ensures that new development is provided with multiple points of access. The timing of transport works ensures that multiple points of access are provided during early stages of a development.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achieving the above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provides and maintains the connections shown on the following movement figures:</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1 - Elimbah - Beerburrum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 xml:space="preserve">Figure 2 - </w:t>
            </w:r>
            <w:proofErr w:type="spellStart"/>
            <w:r w:rsidRPr="00D94CCB">
              <w:rPr>
                <w:rFonts w:ascii="Arial" w:eastAsia="Times New Roman" w:hAnsi="Arial" w:cs="Arial"/>
                <w:sz w:val="20"/>
                <w:szCs w:val="20"/>
              </w:rPr>
              <w:t>Bellmere</w:t>
            </w:r>
            <w:proofErr w:type="spellEnd"/>
            <w:r w:rsidRPr="00D94CCB">
              <w:rPr>
                <w:rFonts w:ascii="Arial" w:eastAsia="Times New Roman" w:hAnsi="Arial" w:cs="Arial"/>
                <w:sz w:val="20"/>
                <w:szCs w:val="20"/>
              </w:rPr>
              <w:t xml:space="preserve"> - Guilford Court</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3 - Narangba - Youngs Road / Oakey Flat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4 - Dakabin</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5 - Mango Hill - Johns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6 - Lawnton - Akers Road / Isis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7 - Albany Creek - Morgan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8 - Deception Bay - Bailey Road / Park Road</w:t>
            </w:r>
          </w:p>
          <w:p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9 - Rothwell - Whitlock Drive</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For areas not shown on the above movement figures, no example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achieving the Performance outcome. </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5085"/>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maintains, contributes to or provides for a street layout that provides an efficient and legible movement network with high levels of connectivity within and external to the site by:</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facilitating increased active transport with a focus on safety and amenity for pedestrians and cyclists;</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providing street blocks with a maximum walkable perimeter of 600m;</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providing a variety of street block sizes to facilitate a range of intensity and scale in built form;</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reducing street block sizes as they approach an activity focus. (e.g. centre, neighbourhood hub, train station, community activity, public open space);</w:t>
            </w:r>
          </w:p>
          <w:p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facilitating possible future connections to adjoining sites for roads, green linkages and other essential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how to achieve compliance with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 layouts create convenient and highly permeable movement networks between lower and higher order roads, whilst not adversely affecting the safety and function of the higher order road.</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Cul-de-sacs or </w:t>
            </w:r>
            <w:proofErr w:type="gramStart"/>
            <w:r w:rsidRPr="00D94CCB">
              <w:rPr>
                <w:rFonts w:ascii="Arial" w:hAnsi="Arial" w:cs="Arial"/>
                <w:sz w:val="20"/>
                <w:szCs w:val="20"/>
              </w:rPr>
              <w:t>dead end</w:t>
            </w:r>
            <w:proofErr w:type="gramEnd"/>
            <w:r w:rsidRPr="00D94CCB">
              <w:rPr>
                <w:rFonts w:ascii="Arial" w:hAnsi="Arial" w:cs="Arial"/>
                <w:sz w:val="20"/>
                <w:szCs w:val="20"/>
              </w:rPr>
              <w:t xml:space="preserve"> streets are not proposed unless:</w:t>
            </w:r>
          </w:p>
          <w:p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topography or other physical barriers exist to the continuance of the street network or vehicle connection to an existing road is not permitted;</w:t>
            </w:r>
          </w:p>
          <w:p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there are no appropriate alternative solutions;</w:t>
            </w:r>
          </w:p>
          <w:p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 xml:space="preserve">the cul-de-sac or </w:t>
            </w:r>
            <w:proofErr w:type="gramStart"/>
            <w:r w:rsidRPr="00D94CCB">
              <w:rPr>
                <w:rFonts w:ascii="Arial" w:hAnsi="Arial" w:cs="Arial"/>
                <w:sz w:val="20"/>
                <w:szCs w:val="20"/>
              </w:rPr>
              <w:t>dead end</w:t>
            </w:r>
            <w:proofErr w:type="gramEnd"/>
            <w:r w:rsidRPr="00D94CCB">
              <w:rPr>
                <w:rFonts w:ascii="Arial" w:hAnsi="Arial" w:cs="Arial"/>
                <w:sz w:val="20"/>
                <w:szCs w:val="20"/>
              </w:rPr>
              <w:t xml:space="preserve"> street will facilitate future connections to adjoining land or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lastRenderedPageBreak/>
                    <w:t>Note - Refer to Planning scheme policy - Neighbourhood design for guidance on how to achieve compliance with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cul-de-sacs are proposed:</w:t>
            </w:r>
          </w:p>
          <w:p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head must be visible from the entry point;</w:t>
            </w:r>
          </w:p>
          <w:p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are to be no longer than 50 metres in length;</w:t>
            </w:r>
          </w:p>
          <w:p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 xml:space="preserve">emergency access can be achieved under circumstances </w:t>
            </w:r>
            <w:proofErr w:type="gramStart"/>
            <w:r w:rsidRPr="00D94CCB">
              <w:rPr>
                <w:rFonts w:ascii="Arial" w:hAnsi="Arial" w:cs="Arial"/>
                <w:sz w:val="20"/>
                <w:szCs w:val="20"/>
              </w:rPr>
              <w:t>where  entry</w:t>
            </w:r>
            <w:proofErr w:type="gramEnd"/>
            <w:r w:rsidRPr="00D94CCB">
              <w:rPr>
                <w:rFonts w:ascii="Arial" w:hAnsi="Arial" w:cs="Arial"/>
                <w:sz w:val="20"/>
                <w:szCs w:val="20"/>
              </w:rPr>
              <w:t xml:space="preserve"> via the carriageway may be compromised.</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Where cul-de-sacs are proposed due to </w:t>
            </w:r>
            <w:proofErr w:type="spellStart"/>
            <w:r w:rsidRPr="00D94CCB">
              <w:rPr>
                <w:rFonts w:ascii="Arial" w:hAnsi="Arial" w:cs="Arial"/>
                <w:sz w:val="20"/>
                <w:szCs w:val="20"/>
              </w:rPr>
              <w:t>vehicluar</w:t>
            </w:r>
            <w:proofErr w:type="spellEnd"/>
            <w:r w:rsidRPr="00D94CCB">
              <w:rPr>
                <w:rFonts w:ascii="Arial" w:hAnsi="Arial" w:cs="Arial"/>
                <w:sz w:val="20"/>
                <w:szCs w:val="20"/>
              </w:rPr>
              <w:t xml:space="preserve"> connection to existing roads not being permitted, they are to be designed to allow a 10m wide pedestrian connection through to the existing road with no lots proposed at the head of the cul-de-sac generally as shown in the figure below.</w:t>
            </w:r>
          </w:p>
          <w:p w:rsidR="00D94CCB" w:rsidRPr="00D94CCB" w:rsidRDefault="00D94CCB" w:rsidP="00FB0803">
            <w:pPr>
              <w:rPr>
                <w:rFonts w:ascii="Arial" w:eastAsia="Times New Roman" w:hAnsi="Arial" w:cs="Arial"/>
                <w:sz w:val="20"/>
                <w:szCs w:val="20"/>
              </w:rPr>
            </w:pPr>
          </w:p>
          <w:p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Example Cul-de-sac design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1BCA918A" wp14:editId="453E205E">
                  <wp:extent cx="2876550" cy="2705100"/>
                  <wp:effectExtent l="0" t="0" r="0" b="0"/>
                  <wp:docPr id="42" name="ID-2693446-5261"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5261" descr="cul-de-s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lastRenderedPageBreak/>
                    <w:t>Note - Refer to Planning scheme policy - Neighbourhood design for guidance on how to achieve this outcome.</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Streets are designed and oriented to minimise the impact of cut and fill on the amenity of the streetscape and adjoining development.</w:t>
            </w: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 alignment follows ridges or gullies or runs perpendicular to slope.</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5265"/>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Streets are oriented to encourage active transport through a climate responsive and comfortable walking environment whilst also facilitating lots that support subtropical design practices, including:</w:t>
            </w:r>
          </w:p>
          <w:p w:rsidR="00D94CCB" w:rsidRPr="00D94CCB" w:rsidRDefault="00D94CCB" w:rsidP="00505354">
            <w:pPr>
              <w:pStyle w:val="NormalWeb"/>
              <w:numPr>
                <w:ilvl w:val="0"/>
                <w:numId w:val="12"/>
              </w:numPr>
              <w:rPr>
                <w:rFonts w:ascii="Arial" w:hAnsi="Arial" w:cs="Arial"/>
                <w:sz w:val="20"/>
                <w:szCs w:val="20"/>
              </w:rPr>
            </w:pPr>
            <w:r w:rsidRPr="00D94CCB">
              <w:rPr>
                <w:rFonts w:ascii="Arial" w:hAnsi="Arial" w:cs="Arial"/>
                <w:sz w:val="20"/>
                <w:szCs w:val="20"/>
              </w:rPr>
              <w:t>controlled solar access &amp; shade provision;</w:t>
            </w:r>
          </w:p>
          <w:p w:rsidR="00D94CCB" w:rsidRPr="00D94CCB" w:rsidRDefault="00D94CCB" w:rsidP="00505354">
            <w:pPr>
              <w:pStyle w:val="NormalWeb"/>
              <w:numPr>
                <w:ilvl w:val="0"/>
                <w:numId w:val="12"/>
              </w:numPr>
              <w:rPr>
                <w:rFonts w:ascii="Arial" w:hAnsi="Arial" w:cs="Arial"/>
                <w:sz w:val="20"/>
                <w:szCs w:val="20"/>
              </w:rPr>
            </w:pPr>
            <w:r w:rsidRPr="00D94CCB">
              <w:rPr>
                <w:rFonts w:ascii="Arial" w:hAnsi="Arial" w:cs="Arial"/>
                <w:sz w:val="20"/>
                <w:szCs w:val="20"/>
              </w:rPr>
              <w:t>cross-ventilation</w:t>
            </w:r>
          </w:p>
          <w:p w:rsidR="00D94CCB" w:rsidRPr="00D94CCB" w:rsidRDefault="00D94CCB" w:rsidP="00FB0803">
            <w:pPr>
              <w:rPr>
                <w:rFonts w:ascii="Arial" w:eastAsia="Times New Roman" w:hAnsi="Arial" w:cs="Arial"/>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Residential design for guidance on how to achieve subtropical design solutions.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not unduly constrained by topography or other physical barrier, streets are primarily oriented within 20 or 30 degrees of North-South or East-West in accordance with Figure - Preferred street orientation below</w:t>
            </w:r>
            <w:r w:rsidRPr="00D94CCB">
              <w:rPr>
                <w:rStyle w:val="Strong"/>
                <w:rFonts w:ascii="Arial" w:hAnsi="Arial" w:cs="Arial"/>
                <w:sz w:val="20"/>
                <w:szCs w:val="20"/>
              </w:rPr>
              <w:t>.</w:t>
            </w:r>
          </w:p>
          <w:p w:rsidR="00D94CCB" w:rsidRPr="00D94CCB" w:rsidRDefault="00D94CCB" w:rsidP="00FB0803">
            <w:pPr>
              <w:rPr>
                <w:rFonts w:ascii="Arial" w:eastAsia="Times New Roman" w:hAnsi="Arial" w:cs="Arial"/>
                <w:sz w:val="20"/>
                <w:szCs w:val="20"/>
              </w:rPr>
            </w:pPr>
          </w:p>
          <w:p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Figure - Preferred street orientation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7B6C89B1" wp14:editId="0DEB3973">
                  <wp:extent cx="2876550" cy="2543175"/>
                  <wp:effectExtent l="0" t="0" r="0" b="9525"/>
                  <wp:docPr id="43" name="ID-2693446-5265"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5265" descr="Street This field is mandatory, please comple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543175"/>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 xml:space="preserve">The long axis of a street block is oriented east-west to facilitate a north-south orientation for </w:t>
            </w:r>
            <w:proofErr w:type="gramStart"/>
            <w:r w:rsidRPr="00D94CCB">
              <w:rPr>
                <w:rFonts w:ascii="Arial" w:hAnsi="Arial" w:cs="Arial"/>
                <w:sz w:val="20"/>
                <w:szCs w:val="20"/>
              </w:rPr>
              <w:t>a majority of</w:t>
            </w:r>
            <w:proofErr w:type="gramEnd"/>
            <w:r w:rsidRPr="00D94CCB">
              <w:rPr>
                <w:rFonts w:ascii="Arial" w:hAnsi="Arial" w:cs="Arial"/>
                <w:sz w:val="20"/>
                <w:szCs w:val="20"/>
              </w:rPr>
              <w:t xml:space="preserve"> lots as per Figure - Street block design below.</w:t>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Where the long axis of lot boundaries </w:t>
            </w:r>
            <w:proofErr w:type="gramStart"/>
            <w:r w:rsidRPr="00D94CCB">
              <w:rPr>
                <w:rFonts w:ascii="Arial" w:hAnsi="Arial" w:cs="Arial"/>
                <w:sz w:val="20"/>
                <w:szCs w:val="20"/>
              </w:rPr>
              <w:t>are</w:t>
            </w:r>
            <w:proofErr w:type="gramEnd"/>
            <w:r w:rsidRPr="00D94CCB">
              <w:rPr>
                <w:rFonts w:ascii="Arial" w:hAnsi="Arial" w:cs="Arial"/>
                <w:sz w:val="20"/>
                <w:szCs w:val="20"/>
              </w:rPr>
              <w:t xml:space="preserve"> oriented east west, they are to have a frontage of 16 metres or wider so as to allow for alternative dwelling design to achieve solar access and cross-ventilation as per Figure - Street block design below.</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57"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spacing w:after="240"/>
              <w:rPr>
                <w:rFonts w:ascii="Arial" w:eastAsia="Times New Roman" w:hAnsi="Arial" w:cs="Arial"/>
                <w:sz w:val="20"/>
                <w:szCs w:val="20"/>
              </w:rPr>
            </w:pPr>
            <w:r w:rsidRPr="00D94CCB">
              <w:rPr>
                <w:rFonts w:ascii="Arial" w:eastAsia="Times New Roman" w:hAnsi="Arial" w:cs="Arial"/>
                <w:sz w:val="20"/>
                <w:szCs w:val="20"/>
              </w:rPr>
              <w:br/>
            </w:r>
          </w:p>
          <w:p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Figure - Street block design</w:t>
            </w:r>
          </w:p>
          <w:p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1407A4DB" wp14:editId="044C2241">
                  <wp:extent cx="3565629" cy="3251200"/>
                  <wp:effectExtent l="0" t="0" r="0" b="6350"/>
                  <wp:docPr id="44" name="ID-2693446-6043" descr="hous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6043" descr="house bl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9350" cy="3254593"/>
                          </a:xfrm>
                          <a:prstGeom prst="rect">
                            <a:avLst/>
                          </a:prstGeom>
                          <a:noFill/>
                          <a:ln>
                            <a:noFill/>
                          </a:ln>
                        </pic:spPr>
                      </pic:pic>
                    </a:graphicData>
                  </a:graphic>
                </wp:inline>
              </w:drawing>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spacing w:after="240"/>
              <w:rPr>
                <w:rFonts w:ascii="Arial" w:eastAsia="Times New Roman"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spacing w:after="240"/>
              <w:rPr>
                <w:rFonts w:ascii="Arial" w:eastAsia="Times New Roman"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PO16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street network creates convenient access to arterial and sub-arterial roads for heavy vehicles and commercial traffic without introducing through traffic to residential streets.</w:t>
            </w:r>
          </w:p>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D94CCB">
              <w:rPr>
                <w:rFonts w:ascii="Arial" w:hAnsi="Arial" w:cs="Arial"/>
                <w:sz w:val="20"/>
                <w:szCs w:val="20"/>
              </w:rPr>
              <w:t>accommodates</w:t>
            </w:r>
            <w:proofErr w:type="gramEnd"/>
            <w:r w:rsidRPr="00D94CCB">
              <w:rPr>
                <w:rFonts w:ascii="Arial" w:hAnsi="Arial" w:cs="Arial"/>
                <w:sz w:val="20"/>
                <w:szCs w:val="20"/>
              </w:rPr>
              <w:t xml:space="preserve"> the following functions: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access to premises by providing convenient vehicular movement for residents between their homes and the major road network;</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safe and convenient pedestrian and cycle movement;</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adequate on street parking;</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stormwater drainage paths and treatment facilities;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efficient public transport routes;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utility services location;</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emergency access and waste collection;</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setting and approach (streetscape, landscaping and street furniture) for adjoining residences;</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expected traffic speeds and volumes; and</w:t>
            </w:r>
          </w:p>
          <w:p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FB0803" w:rsidRDefault="00D94CCB" w:rsidP="00FB0803">
                  <w:pPr>
                    <w:pStyle w:val="NormalWeb"/>
                    <w:rPr>
                      <w:rFonts w:ascii="Arial" w:hAnsi="Arial" w:cs="Arial"/>
                      <w:sz w:val="18"/>
                      <w:szCs w:val="20"/>
                    </w:rPr>
                  </w:pPr>
                  <w:r w:rsidRPr="00FB0803">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D94CCB" w:rsidRPr="00D94CCB" w:rsidTr="00FB0803">
              <w:trPr>
                <w:tblCellSpacing w:w="15" w:type="dxa"/>
              </w:trPr>
              <w:tc>
                <w:tcPr>
                  <w:tcW w:w="0" w:type="auto"/>
                  <w:vAlign w:val="center"/>
                  <w:hideMark/>
                </w:tcPr>
                <w:p w:rsidR="00D94CCB" w:rsidRPr="00FB0803" w:rsidRDefault="00D94CCB" w:rsidP="00FB0803">
                  <w:pPr>
                    <w:pStyle w:val="NormalWeb"/>
                    <w:rPr>
                      <w:rFonts w:ascii="Arial" w:hAnsi="Arial" w:cs="Arial"/>
                      <w:sz w:val="18"/>
                      <w:szCs w:val="20"/>
                    </w:rPr>
                  </w:pPr>
                  <w:r w:rsidRPr="00FB0803">
                    <w:rPr>
                      <w:rFonts w:ascii="Arial" w:hAnsi="Arial" w:cs="Arial"/>
                      <w:sz w:val="18"/>
                      <w:szCs w:val="20"/>
                    </w:rPr>
                    <w:t>Note - Refer to Planning scheme policy - Environmental areas and corridors for examples of when and where wildlife movement infrastructure is required.</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Note - An applicant may be required to submit an Integrated Transport Assessment (ITA), prepared in accordance with Planning scheme policy - Integrated transport assessment to demonstrate compliance with this PO, when any of the following occurs:</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is within 200m of a transport sensitive location such as a school, shopping centre, bus or train station or a large generator of pedestrian or vehicular traffic;</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 xml:space="preserve">forecast traffic to/from the development exceeds 5% of the </w:t>
                  </w:r>
                  <w:proofErr w:type="gramStart"/>
                  <w:r w:rsidRPr="00606EA1">
                    <w:rPr>
                      <w:rFonts w:ascii="Arial" w:hAnsi="Arial" w:cs="Arial"/>
                      <w:sz w:val="18"/>
                      <w:szCs w:val="20"/>
                    </w:rPr>
                    <w:t>two way</w:t>
                  </w:r>
                  <w:proofErr w:type="gramEnd"/>
                  <w:r w:rsidRPr="00606EA1">
                    <w:rPr>
                      <w:rFonts w:ascii="Arial" w:hAnsi="Arial" w:cs="Arial"/>
                      <w:sz w:val="18"/>
                      <w:szCs w:val="20"/>
                    </w:rPr>
                    <w:t xml:space="preserve"> flow on the adjoining road or intersection in the morning or afternoon transport peak within 10 years of the development completion;</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access onto a sub arterial, or arterial road or within 100m of a signalised intersection;</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residential development greater than 50 lots or dwellings;</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offices greater than 4,000m</w:t>
                  </w:r>
                  <w:r w:rsidRPr="00606EA1">
                    <w:rPr>
                      <w:rFonts w:ascii="Arial" w:hAnsi="Arial" w:cs="Arial"/>
                      <w:sz w:val="18"/>
                      <w:szCs w:val="20"/>
                      <w:vertAlign w:val="superscript"/>
                    </w:rPr>
                    <w:t>2</w:t>
                  </w:r>
                  <w:r w:rsidRPr="00606EA1">
                    <w:rPr>
                      <w:rFonts w:ascii="Arial" w:hAnsi="Arial" w:cs="Arial"/>
                      <w:sz w:val="18"/>
                      <w:szCs w:val="20"/>
                    </w:rPr>
                    <w:t xml:space="preserve"> Gross Floor Area (GFA);</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retail activities including Hardware and trade supplies, Showroom, Shop or Shopping centre greater than 1,000m</w:t>
                  </w:r>
                  <w:r w:rsidRPr="00606EA1">
                    <w:rPr>
                      <w:rFonts w:ascii="Arial" w:hAnsi="Arial" w:cs="Arial"/>
                      <w:sz w:val="18"/>
                      <w:szCs w:val="20"/>
                      <w:vertAlign w:val="superscript"/>
                    </w:rPr>
                    <w:t>2</w:t>
                  </w:r>
                  <w:r w:rsidRPr="00606EA1">
                    <w:rPr>
                      <w:rFonts w:ascii="Arial" w:hAnsi="Arial" w:cs="Arial"/>
                      <w:sz w:val="18"/>
                      <w:szCs w:val="20"/>
                    </w:rPr>
                    <w:t xml:space="preserve"> GFA;</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warehouses and Industry greater than 6,000m</w:t>
                  </w:r>
                  <w:r w:rsidRPr="00606EA1">
                    <w:rPr>
                      <w:rFonts w:ascii="Arial" w:hAnsi="Arial" w:cs="Arial"/>
                      <w:sz w:val="18"/>
                      <w:szCs w:val="20"/>
                      <w:vertAlign w:val="superscript"/>
                    </w:rPr>
                    <w:t>2</w:t>
                  </w:r>
                  <w:r w:rsidRPr="00606EA1">
                    <w:rPr>
                      <w:rFonts w:ascii="Arial" w:hAnsi="Arial" w:cs="Arial"/>
                      <w:sz w:val="18"/>
                      <w:szCs w:val="20"/>
                    </w:rPr>
                    <w:t xml:space="preserve"> GFA;</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on-site carpark greater than 100 spaces;</w:t>
                  </w:r>
                </w:p>
                <w:p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has a trip generation rate of 100 vehicles or more within the peak hour; </w:t>
                  </w:r>
                </w:p>
                <w:p w:rsidR="00D94CCB" w:rsidRPr="00D94CCB" w:rsidRDefault="00D94CCB" w:rsidP="00505354">
                  <w:pPr>
                    <w:numPr>
                      <w:ilvl w:val="0"/>
                      <w:numId w:val="14"/>
                    </w:numPr>
                    <w:spacing w:before="100" w:beforeAutospacing="1" w:after="100" w:afterAutospacing="1"/>
                    <w:rPr>
                      <w:rFonts w:ascii="Arial" w:hAnsi="Arial" w:cs="Arial"/>
                      <w:sz w:val="20"/>
                      <w:szCs w:val="20"/>
                    </w:rPr>
                  </w:pPr>
                  <w:r w:rsidRPr="00606EA1">
                    <w:rPr>
                      <w:rFonts w:ascii="Arial" w:hAnsi="Arial" w:cs="Arial"/>
                      <w:sz w:val="18"/>
                      <w:szCs w:val="20"/>
                    </w:rPr>
                    <w:t>development which dissects or significantly impacts on an environmental area or an environmental corridor.</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606EA1">
                    <w:rPr>
                      <w:rFonts w:ascii="Arial" w:hAnsi="Arial" w:cs="Arial"/>
                      <w:sz w:val="18"/>
                      <w:szCs w:val="20"/>
                    </w:rPr>
                    <w:t>sufficient</w:t>
                  </w:r>
                  <w:proofErr w:type="gramEnd"/>
                  <w:r w:rsidRPr="00606EA1">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primary and secondary active transport network is mapped on Overlay map - Active transport.</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E18.1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New intersections onto existing roads are designed to accommodate traffic volumes and traffic movements taken from a date 10 years from the date of completion of the last stage of the development. Design is to be in </w:t>
            </w:r>
            <w:r w:rsidRPr="00D94CCB">
              <w:rPr>
                <w:rFonts w:ascii="Arial" w:hAnsi="Arial" w:cs="Arial"/>
                <w:sz w:val="20"/>
                <w:szCs w:val="20"/>
              </w:rPr>
              <w:lastRenderedPageBreak/>
              <w:t>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All turns vehicular access to existing lots is to be retained at new road intersections wherever practicable.</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Existing on-street parking is to be retained at new road intersections and along road frontages wherever practicable.</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E18.2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All turns vehicular access to existing lots is to be retained at upgraded road intersections wherever practicable.</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Existing on-street parking is to be retained at upgraded road intersections and along road frontages wherever practicable.</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E18.3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active transport network is extended in accordance with Planning scheme policy - Integrated design.</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New intersections along all streets and roads are located and designed to provide for the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Planning scheme policy - Integrated design and Planning scheme policy - Operational works inspection, maintenance and bonding procedures for design and construction standards.</w:t>
                  </w:r>
                  <w:r w:rsidRPr="00606EA1">
                    <w:rPr>
                      <w:rFonts w:ascii="Arial" w:hAnsi="Arial" w:cs="Arial"/>
                      <w:sz w:val="18"/>
                      <w:szCs w:val="20"/>
                    </w:rPr>
                    <w:br/>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w:t>
                  </w:r>
                  <w:proofErr w:type="gramStart"/>
                  <w:r w:rsidRPr="00606EA1">
                    <w:rPr>
                      <w:rFonts w:ascii="Arial" w:hAnsi="Arial" w:cs="Arial"/>
                      <w:sz w:val="18"/>
                      <w:szCs w:val="20"/>
                    </w:rPr>
                    <w:t>-  An</w:t>
                  </w:r>
                  <w:proofErr w:type="gramEnd"/>
                  <w:r w:rsidRPr="00606EA1">
                    <w:rPr>
                      <w:rFonts w:ascii="Arial" w:hAnsi="Arial" w:cs="Arial"/>
                      <w:sz w:val="18"/>
                      <w:szCs w:val="20"/>
                    </w:rPr>
                    <w:t xml:space="preserve">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E19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New intersection spacing (centreline – centreline) along a through road conforms with the following:</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an access or residential street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60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40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 local collector or district collector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100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60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 sub-arterial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250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100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an arterial function:</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350 metres; or</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150 metres.</w:t>
            </w:r>
          </w:p>
          <w:p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Walkable block perimeter does not exceed:</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 xml:space="preserve">600 metres in the Coastal </w:t>
            </w:r>
            <w:proofErr w:type="gramStart"/>
            <w:r w:rsidRPr="00D94CCB">
              <w:rPr>
                <w:rFonts w:ascii="Arial" w:hAnsi="Arial" w:cs="Arial"/>
                <w:sz w:val="20"/>
                <w:szCs w:val="20"/>
              </w:rPr>
              <w:t>communities</w:t>
            </w:r>
            <w:proofErr w:type="gramEnd"/>
            <w:r w:rsidRPr="00D94CCB">
              <w:rPr>
                <w:rFonts w:ascii="Arial" w:hAnsi="Arial" w:cs="Arial"/>
                <w:sz w:val="20"/>
                <w:szCs w:val="20"/>
              </w:rPr>
              <w:t xml:space="preserve"> precinct and Suburban neighbourhood </w:t>
            </w:r>
            <w:proofErr w:type="spellStart"/>
            <w:r w:rsidRPr="00D94CCB">
              <w:rPr>
                <w:rFonts w:ascii="Arial" w:hAnsi="Arial" w:cs="Arial"/>
                <w:sz w:val="20"/>
                <w:szCs w:val="20"/>
              </w:rPr>
              <w:t>precicint</w:t>
            </w:r>
            <w:proofErr w:type="spellEnd"/>
            <w:r w:rsidRPr="00D94CCB">
              <w:rPr>
                <w:rFonts w:ascii="Arial" w:hAnsi="Arial" w:cs="Arial"/>
                <w:sz w:val="20"/>
                <w:szCs w:val="20"/>
              </w:rPr>
              <w:t>;</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500 metres in the Next generation neighbourhood precinct;</w:t>
            </w:r>
          </w:p>
          <w:p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400 metres in the Urban neighbourhood precinct.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Based on the absolute minimum intersection spacing identified above, all turns access may not be permitted (</w:t>
                  </w:r>
                  <w:proofErr w:type="spellStart"/>
                  <w:r w:rsidRPr="00606EA1">
                    <w:rPr>
                      <w:rFonts w:ascii="Arial" w:hAnsi="Arial" w:cs="Arial"/>
                      <w:sz w:val="18"/>
                      <w:szCs w:val="20"/>
                    </w:rPr>
                    <w:t>ie</w:t>
                  </w:r>
                  <w:proofErr w:type="spellEnd"/>
                  <w:r w:rsidRPr="00606EA1">
                    <w:rPr>
                      <w:rFonts w:ascii="Arial" w:hAnsi="Arial" w:cs="Arial"/>
                      <w:sz w:val="18"/>
                      <w:szCs w:val="20"/>
                    </w:rPr>
                    <w:t>. left in/left out only) at intersections with sub-arterial roads or arterial roads.</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Note - The road network is mapped on Overlay map - Road hierarchy.</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example.</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PO20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boding procedure.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Frontage roads include streets where no direct lot access is provided.</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Primary and Secondary active transport network is mapped on Overlay map - Active transport.</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 Roads </w:t>
                  </w:r>
                  <w:proofErr w:type="gramStart"/>
                  <w:r w:rsidRPr="00606EA1">
                    <w:rPr>
                      <w:rFonts w:ascii="Arial" w:hAnsi="Arial" w:cs="Arial"/>
                      <w:sz w:val="18"/>
                      <w:szCs w:val="20"/>
                    </w:rPr>
                    <w:t>are considered to be</w:t>
                  </w:r>
                  <w:proofErr w:type="gramEnd"/>
                  <w:r w:rsidRPr="00606EA1">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524"/>
              <w:gridCol w:w="2524"/>
              <w:gridCol w:w="45"/>
            </w:tblGrid>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Minimum construction</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unconstructed or gravel road only;</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OR</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sealed but not constructed* to Planning scheme policy - Integrated design standard;</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OR</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Construct the verge adjoining the development and the carriageway (including development side kerb and channel) to a minimum sealed width containing near side parking lane (if required), cycle land (if required), 2 travel lanes plus 1.5m wide (full depth pavement) gravel shoulder and table drainage to the opposite side.</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minimum total travel lane width is:</w:t>
                  </w:r>
                </w:p>
                <w:p w:rsidR="00D94CCB" w:rsidRPr="00D94CCB" w:rsidRDefault="00D94CCB" w:rsidP="00505354">
                  <w:pPr>
                    <w:numPr>
                      <w:ilvl w:val="0"/>
                      <w:numId w:val="16"/>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6m for minor roads;</w:t>
                  </w:r>
                </w:p>
                <w:p w:rsidR="00D94CCB" w:rsidRPr="00D94CCB" w:rsidRDefault="00D94CCB" w:rsidP="00505354">
                  <w:pPr>
                    <w:numPr>
                      <w:ilvl w:val="0"/>
                      <w:numId w:val="16"/>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7m for major roads.</w:t>
                  </w:r>
                </w:p>
              </w:tc>
            </w:tr>
            <w:tr w:rsidR="00D94CCB" w:rsidRPr="00606EA1" w:rsidTr="00FB0803">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Note - Major roads are sub-arterial roads and arterial roads.  Minor roads are roads that are not major roads.</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 Construction includes all associated works (services, street lighting and </w:t>
                  </w:r>
                  <w:proofErr w:type="spellStart"/>
                  <w:r w:rsidRPr="00606EA1">
                    <w:rPr>
                      <w:rFonts w:ascii="Arial" w:hAnsi="Arial" w:cs="Arial"/>
                      <w:sz w:val="18"/>
                      <w:szCs w:val="20"/>
                    </w:rPr>
                    <w:t>linemarking</w:t>
                  </w:r>
                  <w:proofErr w:type="spellEnd"/>
                  <w:r w:rsidRPr="00606EA1">
                    <w:rPr>
                      <w:rFonts w:ascii="Arial" w:hAnsi="Arial" w:cs="Arial"/>
                      <w:sz w:val="18"/>
                      <w:szCs w:val="20"/>
                    </w:rPr>
                    <w:t>).</w:t>
                  </w:r>
                </w:p>
              </w:tc>
            </w:tr>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Alignment within road reserves is to be agreed with Council.</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 *Roads </w:t>
                  </w:r>
                  <w:proofErr w:type="gramStart"/>
                  <w:r w:rsidRPr="00606EA1">
                    <w:rPr>
                      <w:rFonts w:ascii="Arial" w:hAnsi="Arial" w:cs="Arial"/>
                      <w:sz w:val="18"/>
                      <w:szCs w:val="20"/>
                    </w:rPr>
                    <w:t>are considered to be</w:t>
                  </w:r>
                  <w:proofErr w:type="gramEnd"/>
                  <w:r w:rsidRPr="00606EA1">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Editor's note - Where associated with a State-controlled road, further requirements may apply, and approvals may be required from the Department of Transport and Main Roads.</w:t>
                  </w:r>
                </w:p>
              </w:tc>
            </w:tr>
          </w:tbl>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The road network is mapped on Overlay map - Road hierarchy.</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Access roads to the development have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QUDM for requirements regarding trafficability. </w:t>
                  </w:r>
                </w:p>
              </w:tc>
            </w:tr>
          </w:tbl>
          <w:p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E22.2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Culverts and causeways do not increase inundation levels or increase velocities, for all events up to the defined flood event, to upstream or downstream properties.</w:t>
            </w:r>
          </w:p>
        </w:tc>
        <w:tc>
          <w:tcPr>
            <w:tcW w:w="54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632"/>
        <w:gridCol w:w="37"/>
        <w:gridCol w:w="5275"/>
        <w:gridCol w:w="1687"/>
        <w:gridCol w:w="1751"/>
      </w:tblGrid>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Park and open space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 hierarchy of Parks</w:t>
            </w:r>
            <w:r w:rsidRPr="00D94CCB">
              <w:rPr>
                <w:rFonts w:ascii="Arial" w:hAnsi="Arial" w:cs="Arial"/>
                <w:sz w:val="20"/>
                <w:szCs w:val="20"/>
                <w:vertAlign w:val="superscript"/>
              </w:rPr>
              <w:t>(</w:t>
            </w:r>
            <w:hyperlink r:id="rId1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and open space is provided to meet the recreational needs of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606EA1"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To determine the extent of Park</w:t>
                  </w:r>
                  <w:r w:rsidRPr="00606EA1">
                    <w:rPr>
                      <w:rFonts w:ascii="Arial" w:hAnsi="Arial" w:cs="Arial"/>
                      <w:sz w:val="18"/>
                      <w:szCs w:val="20"/>
                      <w:vertAlign w:val="superscript"/>
                    </w:rPr>
                    <w:t>(</w:t>
                  </w:r>
                  <w:hyperlink r:id="rId1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and open space required refer to Planning scheme policy - Integrated design.</w:t>
                  </w:r>
                </w:p>
              </w:tc>
            </w:tr>
          </w:tbl>
          <w:p w:rsidR="00D94CCB" w:rsidRPr="00606EA1" w:rsidRDefault="00D94CCB" w:rsidP="00FB0803">
            <w:pPr>
              <w:rPr>
                <w:rFonts w:ascii="Arial" w:eastAsia="Times New Roman" w:hAnsi="Arial" w:cs="Arial"/>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606EA1"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District level Parks</w:t>
                  </w:r>
                  <w:r w:rsidRPr="00606EA1">
                    <w:rPr>
                      <w:rFonts w:ascii="Arial" w:hAnsi="Arial" w:cs="Arial"/>
                      <w:sz w:val="18"/>
                      <w:szCs w:val="20"/>
                      <w:vertAlign w:val="superscript"/>
                    </w:rPr>
                    <w:t>(</w:t>
                  </w:r>
                  <w:hyperlink r:id="rId1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or larger may be required in certain locations in accordance with Part 4: Local Government Infrastructure Plan.</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Park</w:t>
            </w:r>
            <w:r w:rsidRPr="00D94CCB">
              <w:rPr>
                <w:rFonts w:ascii="Arial" w:hAnsi="Arial" w:cs="Arial"/>
                <w:sz w:val="20"/>
                <w:szCs w:val="20"/>
                <w:vertAlign w:val="superscript"/>
              </w:rPr>
              <w:t>(</w:t>
            </w:r>
            <w:hyperlink r:id="rId1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is to be provided within walking distance of all new residential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 xml:space="preserve">Note - To determine maximum walking distances for Park </w:t>
                  </w:r>
                  <w:r w:rsidRPr="00606EA1">
                    <w:rPr>
                      <w:rFonts w:ascii="Arial" w:hAnsi="Arial" w:cs="Arial"/>
                      <w:sz w:val="18"/>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types refer to Planning scheme policy - Integrated design.</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Park</w:t>
            </w:r>
            <w:r w:rsidRPr="00D94CCB">
              <w:rPr>
                <w:rFonts w:ascii="Arial" w:hAnsi="Arial" w:cs="Arial"/>
                <w:sz w:val="20"/>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is of a size and design standard to meet the needs of the expected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To determine the size and design standards for Parks</w:t>
                  </w:r>
                  <w:r w:rsidRPr="00606EA1">
                    <w:rPr>
                      <w:rFonts w:ascii="Arial" w:hAnsi="Arial" w:cs="Arial"/>
                      <w:sz w:val="18"/>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refer to Planning scheme policy - Integrated design.</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Parks</w:t>
            </w:r>
            <w:r w:rsidRPr="00D94CCB">
              <w:rPr>
                <w:rFonts w:ascii="Arial" w:hAnsi="Arial" w:cs="Arial"/>
                <w:sz w:val="20"/>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are designed and located to be safe and useable for all members of the community with high levels of surveillance, based on </w:t>
            </w:r>
            <w:r w:rsidRPr="00D94CCB">
              <w:rPr>
                <w:rFonts w:ascii="Arial" w:hAnsi="Arial" w:cs="Arial"/>
                <w:sz w:val="20"/>
                <w:szCs w:val="20"/>
              </w:rPr>
              <w:lastRenderedPageBreak/>
              <w:t>Crime Prevention Through Environmental Design (CPTED) principles, and access.</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E26.1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Local and district Parks</w:t>
            </w:r>
            <w:r w:rsidRPr="00D94CCB">
              <w:rPr>
                <w:rFonts w:ascii="Arial" w:hAnsi="Arial" w:cs="Arial"/>
                <w:sz w:val="20"/>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are bordered by streets and lots orientated to address and front onto Parks and not lots backing onto or not addressing the Park.</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E26.2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lots do adjoin local and district Parks</w:t>
            </w:r>
            <w:r w:rsidRPr="00D94CCB">
              <w:rPr>
                <w:rFonts w:ascii="Arial" w:hAnsi="Arial" w:cs="Arial"/>
                <w:sz w:val="20"/>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and fencing is provided along the Park</w:t>
            </w:r>
            <w:r w:rsidRPr="00D94CCB">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boundary, it is located within the lot and at a maximum height of 1m.</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E26.3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design of fencing and retaining features allows for safe and direct pedestrian access between the Park</w:t>
            </w:r>
            <w:r w:rsidRPr="00D94CCB">
              <w:rPr>
                <w:rFonts w:ascii="Arial" w:hAnsi="Arial" w:cs="Arial"/>
                <w:sz w:val="20"/>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and private allotments through the use of gates and limited retaining features along Park</w:t>
            </w:r>
            <w:r w:rsidRPr="00D94CCB">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boundaries.</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Boundary realignment</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alignments ensure that infrastructure and services are wholly contained within the lot they serve.</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9F0F63" w:rsidP="009F0F63">
            <w:pPr>
              <w:rPr>
                <w:rFonts w:ascii="Arial" w:hAnsi="Arial" w:cs="Arial"/>
                <w:sz w:val="20"/>
                <w:szCs w:val="20"/>
              </w:rPr>
            </w:pPr>
            <w:r>
              <w:rPr>
                <w:rFonts w:ascii="Arial" w:hAnsi="Arial" w:cs="Arial"/>
                <w:sz w:val="20"/>
                <w:szCs w:val="20"/>
              </w:rPr>
              <w:t>N</w:t>
            </w:r>
            <w:r w:rsidR="00D94CCB" w:rsidRPr="00D94CCB">
              <w:rPr>
                <w:rFonts w:ascii="Arial" w:hAnsi="Arial" w:cs="Arial"/>
                <w:sz w:val="20"/>
                <w:szCs w:val="20"/>
              </w:rPr>
              <w:t>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Fonts w:ascii="Arial" w:eastAsia="Times New Roman" w:hAnsi="Arial" w:cs="Arial"/>
                <w:sz w:val="20"/>
                <w:szCs w:val="20"/>
              </w:rPr>
            </w:pPr>
          </w:p>
        </w:tc>
      </w:tr>
      <w:tr w:rsidR="00D94CCB" w:rsidRPr="00D94CCB" w:rsidTr="00D94CCB">
        <w:trPr>
          <w:trHeight w:val="6840"/>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PO28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 does not result in:</w:t>
            </w:r>
          </w:p>
          <w:p w:rsidR="00D94CCB" w:rsidRPr="00D94CCB" w:rsidRDefault="00D94CCB" w:rsidP="00505354">
            <w:pPr>
              <w:pStyle w:val="NormalWeb"/>
              <w:numPr>
                <w:ilvl w:val="0"/>
                <w:numId w:val="17"/>
              </w:numPr>
              <w:rPr>
                <w:rFonts w:ascii="Arial" w:hAnsi="Arial" w:cs="Arial"/>
                <w:sz w:val="20"/>
                <w:szCs w:val="20"/>
              </w:rPr>
            </w:pPr>
            <w:r w:rsidRPr="00D94CCB">
              <w:rPr>
                <w:rFonts w:ascii="Arial" w:hAnsi="Arial" w:cs="Arial"/>
                <w:sz w:val="20"/>
                <w:szCs w:val="20"/>
              </w:rPr>
              <w:t>existing land uses on-site becoming non-complying with planning scheme criteria;</w:t>
            </w:r>
          </w:p>
          <w:p w:rsidR="00D94CCB" w:rsidRPr="00D94CCB" w:rsidRDefault="00D94CCB" w:rsidP="00505354">
            <w:pPr>
              <w:pStyle w:val="NormalWeb"/>
              <w:numPr>
                <w:ilvl w:val="0"/>
                <w:numId w:val="17"/>
              </w:numPr>
              <w:rPr>
                <w:rFonts w:ascii="Arial" w:hAnsi="Arial" w:cs="Arial"/>
                <w:sz w:val="20"/>
                <w:szCs w:val="20"/>
              </w:rPr>
            </w:pPr>
            <w:r w:rsidRPr="00D94CCB">
              <w:rPr>
                <w:rFonts w:ascii="Arial" w:hAnsi="Arial" w:cs="Arial"/>
                <w:sz w:val="20"/>
                <w:szCs w:val="20"/>
              </w:rPr>
              <w:t xml:space="preserve">lots being </w:t>
            </w:r>
            <w:proofErr w:type="spellStart"/>
            <w:r w:rsidRPr="00D94CCB">
              <w:rPr>
                <w:rFonts w:ascii="Arial" w:hAnsi="Arial" w:cs="Arial"/>
                <w:sz w:val="20"/>
                <w:szCs w:val="20"/>
              </w:rPr>
              <w:t>unserviced</w:t>
            </w:r>
            <w:proofErr w:type="spellEnd"/>
            <w:r w:rsidRPr="00D94CCB">
              <w:rPr>
                <w:rFonts w:ascii="Arial" w:hAnsi="Arial" w:cs="Arial"/>
                <w:sz w:val="20"/>
                <w:szCs w:val="20"/>
              </w:rPr>
              <w:t xml:space="preserve"> by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Examples of a. above may include but are not limited to:</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minimum lot size requirements;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setbacks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parking and access requirements;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servicing and Infrastructure requirements;</w:t>
                  </w:r>
                </w:p>
                <w:p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dependant elements of an existing or approved land use being separately titled, including but not limited to:</w:t>
                  </w:r>
                </w:p>
                <w:p w:rsidR="00D94CCB" w:rsidRPr="00606EA1" w:rsidRDefault="00D94CCB" w:rsidP="00505354">
                  <w:pPr>
                    <w:pStyle w:val="NormalWeb"/>
                    <w:numPr>
                      <w:ilvl w:val="1"/>
                      <w:numId w:val="18"/>
                    </w:numPr>
                    <w:rPr>
                      <w:rFonts w:ascii="Arial" w:hAnsi="Arial" w:cs="Arial"/>
                      <w:sz w:val="18"/>
                      <w:szCs w:val="20"/>
                    </w:rPr>
                  </w:pPr>
                  <w:r w:rsidRPr="00606EA1">
                    <w:rPr>
                      <w:rFonts w:ascii="Arial" w:hAnsi="Arial" w:cs="Arial"/>
                      <w:sz w:val="18"/>
                      <w:szCs w:val="20"/>
                    </w:rPr>
                    <w:t>Where premises is approved as Multiple dwelling</w:t>
                  </w:r>
                  <w:r w:rsidRPr="00606EA1">
                    <w:rPr>
                      <w:rFonts w:ascii="Arial" w:hAnsi="Arial" w:cs="Arial"/>
                      <w:sz w:val="18"/>
                      <w:szCs w:val="20"/>
                      <w:vertAlign w:val="superscript"/>
                    </w:rPr>
                    <w:t>(</w:t>
                  </w:r>
                  <w:hyperlink r:id="rId28" w:anchor="target-d768251e571524" w:tooltip="Multiple dwelling - Premises containing three or more dwellings for separate households." w:history="1">
                    <w:r w:rsidRPr="00606EA1">
                      <w:rPr>
                        <w:rStyle w:val="Hyperlink"/>
                        <w:rFonts w:ascii="Arial" w:hAnsi="Arial" w:cs="Arial"/>
                        <w:color w:val="auto"/>
                        <w:sz w:val="18"/>
                        <w:szCs w:val="20"/>
                        <w:vertAlign w:val="superscript"/>
                      </w:rPr>
                      <w:t>49</w:t>
                    </w:r>
                  </w:hyperlink>
                  <w:r w:rsidRPr="00606EA1">
                    <w:rPr>
                      <w:rFonts w:ascii="Arial" w:hAnsi="Arial" w:cs="Arial"/>
                      <w:sz w:val="18"/>
                      <w:szCs w:val="20"/>
                      <w:vertAlign w:val="superscript"/>
                    </w:rPr>
                    <w:t>)</w:t>
                  </w:r>
                  <w:r w:rsidRPr="00606EA1">
                    <w:rPr>
                      <w:rFonts w:ascii="Arial" w:hAnsi="Arial" w:cs="Arial"/>
                      <w:sz w:val="18"/>
                      <w:szCs w:val="20"/>
                    </w:rPr>
                    <w:t xml:space="preserve"> with a communal open space area, the communal open space cannot be separately titled as it is required by the Multiple dwelling</w:t>
                  </w:r>
                  <w:r w:rsidRPr="00606EA1">
                    <w:rPr>
                      <w:rFonts w:ascii="Arial" w:hAnsi="Arial" w:cs="Arial"/>
                      <w:sz w:val="18"/>
                      <w:szCs w:val="20"/>
                      <w:vertAlign w:val="superscript"/>
                    </w:rPr>
                    <w:t>(</w:t>
                  </w:r>
                  <w:hyperlink r:id="rId29" w:anchor="target-d768251e571524" w:tooltip="Multiple dwelling - Premises containing three or more dwellings for separate households." w:history="1">
                    <w:r w:rsidRPr="00606EA1">
                      <w:rPr>
                        <w:rStyle w:val="Hyperlink"/>
                        <w:rFonts w:ascii="Arial" w:hAnsi="Arial" w:cs="Arial"/>
                        <w:color w:val="auto"/>
                        <w:sz w:val="18"/>
                        <w:szCs w:val="20"/>
                        <w:vertAlign w:val="superscript"/>
                      </w:rPr>
                      <w:t>49</w:t>
                    </w:r>
                  </w:hyperlink>
                  <w:r w:rsidRPr="00606EA1">
                    <w:rPr>
                      <w:rFonts w:ascii="Arial" w:hAnsi="Arial" w:cs="Arial"/>
                      <w:sz w:val="18"/>
                      <w:szCs w:val="20"/>
                      <w:vertAlign w:val="superscript"/>
                    </w:rPr>
                    <w:t>)</w:t>
                  </w:r>
                  <w:r w:rsidRPr="00606EA1">
                    <w:rPr>
                      <w:rFonts w:ascii="Arial" w:hAnsi="Arial" w:cs="Arial"/>
                      <w:sz w:val="18"/>
                      <w:szCs w:val="20"/>
                    </w:rPr>
                    <w:t xml:space="preserve"> approval.</w:t>
                  </w:r>
                </w:p>
                <w:p w:rsidR="00D94CCB" w:rsidRPr="00606EA1" w:rsidRDefault="00D94CCB" w:rsidP="00505354">
                  <w:pPr>
                    <w:pStyle w:val="NormalWeb"/>
                    <w:numPr>
                      <w:ilvl w:val="1"/>
                      <w:numId w:val="18"/>
                    </w:numPr>
                    <w:rPr>
                      <w:rFonts w:ascii="Arial" w:hAnsi="Arial" w:cs="Arial"/>
                      <w:sz w:val="18"/>
                      <w:szCs w:val="20"/>
                    </w:rPr>
                  </w:pPr>
                  <w:r w:rsidRPr="00606EA1">
                    <w:rPr>
                      <w:rFonts w:ascii="Arial" w:hAnsi="Arial" w:cs="Arial"/>
                      <w:sz w:val="18"/>
                      <w:szCs w:val="20"/>
                    </w:rPr>
                    <w:t>Where a commercial or industrial land use contains an ancillary office</w:t>
                  </w:r>
                  <w:r w:rsidRPr="00606EA1">
                    <w:rPr>
                      <w:rFonts w:ascii="Arial" w:hAnsi="Arial" w:cs="Arial"/>
                      <w:sz w:val="18"/>
                      <w:szCs w:val="20"/>
                      <w:vertAlign w:val="superscript"/>
                    </w:rPr>
                    <w:t>(</w:t>
                  </w:r>
                  <w:hyperlink r:id="rId3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06EA1">
                      <w:rPr>
                        <w:rStyle w:val="Hyperlink"/>
                        <w:rFonts w:ascii="Arial" w:hAnsi="Arial" w:cs="Arial"/>
                        <w:color w:val="auto"/>
                        <w:sz w:val="18"/>
                        <w:szCs w:val="20"/>
                        <w:vertAlign w:val="superscript"/>
                      </w:rPr>
                      <w:t>53</w:t>
                    </w:r>
                  </w:hyperlink>
                  <w:r w:rsidRPr="00606EA1">
                    <w:rPr>
                      <w:rFonts w:ascii="Arial" w:hAnsi="Arial" w:cs="Arial"/>
                      <w:sz w:val="18"/>
                      <w:szCs w:val="20"/>
                      <w:vertAlign w:val="superscript"/>
                    </w:rPr>
                    <w:t>)</w:t>
                  </w:r>
                  <w:r w:rsidRPr="00606EA1">
                    <w:rPr>
                      <w:rFonts w:ascii="Arial" w:hAnsi="Arial" w:cs="Arial"/>
                      <w:sz w:val="18"/>
                      <w:szCs w:val="20"/>
                    </w:rPr>
                    <w:t>, the office</w:t>
                  </w:r>
                  <w:r w:rsidRPr="00606EA1">
                    <w:rPr>
                      <w:rFonts w:ascii="Arial" w:hAnsi="Arial" w:cs="Arial"/>
                      <w:sz w:val="18"/>
                      <w:szCs w:val="20"/>
                      <w:vertAlign w:val="superscript"/>
                    </w:rPr>
                    <w:t>(</w:t>
                  </w:r>
                  <w:hyperlink r:id="rId3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06EA1">
                      <w:rPr>
                        <w:rStyle w:val="Hyperlink"/>
                        <w:rFonts w:ascii="Arial" w:hAnsi="Arial" w:cs="Arial"/>
                        <w:color w:val="auto"/>
                        <w:sz w:val="18"/>
                        <w:szCs w:val="20"/>
                        <w:vertAlign w:val="superscript"/>
                      </w:rPr>
                      <w:t>53</w:t>
                    </w:r>
                  </w:hyperlink>
                  <w:r w:rsidRPr="00606EA1">
                    <w:rPr>
                      <w:rFonts w:ascii="Arial" w:hAnsi="Arial" w:cs="Arial"/>
                      <w:sz w:val="18"/>
                      <w:szCs w:val="20"/>
                      <w:vertAlign w:val="superscript"/>
                    </w:rPr>
                    <w:t>)</w:t>
                  </w:r>
                  <w:r w:rsidRPr="00606EA1">
                    <w:rPr>
                      <w:rFonts w:ascii="Arial" w:hAnsi="Arial" w:cs="Arial"/>
                      <w:sz w:val="18"/>
                      <w:szCs w:val="20"/>
                    </w:rPr>
                    <w:t xml:space="preserve"> cannot be separately titled as it is considered part of the commercial or industrial use.</w:t>
                  </w:r>
                </w:p>
                <w:p w:rsidR="00D94CCB" w:rsidRPr="00D94CCB" w:rsidRDefault="00D94CCB" w:rsidP="00505354">
                  <w:pPr>
                    <w:pStyle w:val="NormalWeb"/>
                    <w:numPr>
                      <w:ilvl w:val="1"/>
                      <w:numId w:val="18"/>
                    </w:numPr>
                    <w:rPr>
                      <w:rFonts w:ascii="Arial" w:hAnsi="Arial" w:cs="Arial"/>
                      <w:sz w:val="20"/>
                      <w:szCs w:val="20"/>
                    </w:rPr>
                  </w:pPr>
                  <w:r w:rsidRPr="00606EA1">
                    <w:rPr>
                      <w:rFonts w:ascii="Arial" w:hAnsi="Arial" w:cs="Arial"/>
                      <w:sz w:val="18"/>
                      <w:szCs w:val="20"/>
                    </w:rPr>
                    <w:t>Where a Dwelling house</w:t>
                  </w:r>
                  <w:r w:rsidRPr="00606EA1">
                    <w:rPr>
                      <w:rFonts w:ascii="Arial" w:hAnsi="Arial" w:cs="Arial"/>
                      <w:sz w:val="18"/>
                      <w:szCs w:val="20"/>
                      <w:vertAlign w:val="superscript"/>
                    </w:rPr>
                    <w:t>(</w:t>
                  </w:r>
                  <w:hyperlink r:id="rId3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includes a secondary dwelling or associated outbuildings, they cannot be separately titled as they are dependent on the Dwelling house</w:t>
                  </w:r>
                  <w:r w:rsidRPr="00606EA1">
                    <w:rPr>
                      <w:rFonts w:ascii="Arial" w:hAnsi="Arial" w:cs="Arial"/>
                      <w:sz w:val="18"/>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use.</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rHeight w:val="1965"/>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Refer to overall outcomes for the General residential zone - Suburban neighbourhood precinct for uses consistent in this precinct.</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 sizes and dimensions comply (excluding any access handles) with Lot Types D, E or F in accordance with Table 9.4.1.6.2.3: Lot Types.</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Reconfiguring existing development by Community Title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PO30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Reconfiguring a lot which creates or amends a community title scheme as described in the </w:t>
            </w:r>
            <w:r w:rsidRPr="00D94CCB">
              <w:rPr>
                <w:rStyle w:val="Emphasis"/>
                <w:rFonts w:ascii="Arial" w:hAnsi="Arial" w:cs="Arial"/>
                <w:sz w:val="20"/>
                <w:szCs w:val="20"/>
              </w:rPr>
              <w:t>Body Corporate and Community Management Act 199</w:t>
            </w:r>
            <w:r w:rsidRPr="00D94CCB">
              <w:rPr>
                <w:rFonts w:ascii="Arial" w:hAnsi="Arial" w:cs="Arial"/>
                <w:sz w:val="20"/>
                <w:szCs w:val="20"/>
              </w:rPr>
              <w:t>7 is undertaken in a way that does not result in existing uses on the land becoming unlawful or otherwise operating in a manner that is:</w:t>
            </w:r>
          </w:p>
          <w:p w:rsidR="00D94CCB" w:rsidRPr="00D94CCB" w:rsidRDefault="00D94CCB" w:rsidP="00505354">
            <w:pPr>
              <w:numPr>
                <w:ilvl w:val="0"/>
                <w:numId w:val="1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any approvals on which those uses rely; or</w:t>
            </w:r>
          </w:p>
          <w:p w:rsidR="00D94CCB" w:rsidRPr="00D94CCB" w:rsidRDefault="00D94CCB" w:rsidP="00505354">
            <w:pPr>
              <w:numPr>
                <w:ilvl w:val="0"/>
                <w:numId w:val="1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the requirements for accepted development applying to those uses at the time that they were established.</w:t>
            </w:r>
          </w:p>
          <w:tbl>
            <w:tblPr>
              <w:tblW w:w="658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83"/>
            </w:tblGrid>
            <w:tr w:rsidR="00D94CCB" w:rsidRPr="00D94CCB" w:rsidTr="00606EA1">
              <w:trPr>
                <w:trHeight w:val="2580"/>
                <w:tblCellSpacing w:w="15" w:type="dxa"/>
              </w:trPr>
              <w:tc>
                <w:tcPr>
                  <w:tcW w:w="6523"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-Examples of land uses becoming unlawful include, but are not limited to the following:</w:t>
                  </w:r>
                </w:p>
                <w:p w:rsidR="00D94CCB" w:rsidRPr="00606EA1" w:rsidRDefault="00D94CCB" w:rsidP="00505354">
                  <w:pPr>
                    <w:numPr>
                      <w:ilvl w:val="0"/>
                      <w:numId w:val="20"/>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Land on which a Dual occupancy</w:t>
                  </w:r>
                  <w:r w:rsidRPr="00606EA1">
                    <w:rPr>
                      <w:rFonts w:ascii="Arial" w:eastAsia="Times New Roman" w:hAnsi="Arial" w:cs="Arial"/>
                      <w:sz w:val="18"/>
                      <w:szCs w:val="20"/>
                      <w:vertAlign w:val="superscript"/>
                    </w:rPr>
                    <w:t>(</w:t>
                  </w:r>
                  <w:hyperlink r:id="rId34"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606EA1">
                      <w:rPr>
                        <w:rStyle w:val="Hyperlink"/>
                        <w:rFonts w:ascii="Arial" w:eastAsia="Times New Roman" w:hAnsi="Arial" w:cs="Arial"/>
                        <w:color w:val="auto"/>
                        <w:sz w:val="18"/>
                        <w:szCs w:val="20"/>
                        <w:vertAlign w:val="superscript"/>
                      </w:rPr>
                      <w:t>21</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606EA1">
                    <w:rPr>
                      <w:rFonts w:ascii="Arial" w:eastAsia="Times New Roman" w:hAnsi="Arial" w:cs="Arial"/>
                      <w:sz w:val="18"/>
                      <w:szCs w:val="20"/>
                      <w:vertAlign w:val="superscript"/>
                    </w:rPr>
                    <w:t>(</w:t>
                  </w:r>
                  <w:hyperlink r:id="rId35"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606EA1">
                      <w:rPr>
                        <w:rStyle w:val="Hyperlink"/>
                        <w:rFonts w:ascii="Arial" w:eastAsia="Times New Roman" w:hAnsi="Arial" w:cs="Arial"/>
                        <w:color w:val="auto"/>
                        <w:sz w:val="18"/>
                        <w:szCs w:val="20"/>
                        <w:vertAlign w:val="superscript"/>
                      </w:rPr>
                      <w:t>21</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to two separate Dwelling</w:t>
                  </w:r>
                  <w:r w:rsidRPr="00606EA1">
                    <w:rPr>
                      <w:rFonts w:ascii="Arial" w:eastAsia="Times New Roman" w:hAnsi="Arial" w:cs="Arial"/>
                      <w:sz w:val="18"/>
                      <w:szCs w:val="20"/>
                      <w:vertAlign w:val="superscript"/>
                    </w:rPr>
                    <w:t>(</w:t>
                  </w:r>
                  <w:hyperlink r:id="rId36"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eastAsia="Times New Roman" w:hAnsi="Arial" w:cs="Arial"/>
                        <w:color w:val="auto"/>
                        <w:sz w:val="18"/>
                        <w:szCs w:val="20"/>
                        <w:vertAlign w:val="superscript"/>
                      </w:rPr>
                      <w:t>22</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houses, at least one of which does not satisfy the requirements for accepted development applying to Dwelling houses.</w:t>
                  </w:r>
                </w:p>
                <w:p w:rsidR="00D94CCB" w:rsidRPr="00606EA1" w:rsidRDefault="00D94CCB" w:rsidP="00505354">
                  <w:pPr>
                    <w:numPr>
                      <w:ilvl w:val="0"/>
                      <w:numId w:val="20"/>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Land on which a Multiple dwelling</w:t>
                  </w:r>
                  <w:r w:rsidRPr="00606EA1">
                    <w:rPr>
                      <w:rFonts w:ascii="Arial" w:eastAsia="Times New Roman" w:hAnsi="Arial" w:cs="Arial"/>
                      <w:sz w:val="18"/>
                      <w:szCs w:val="20"/>
                      <w:vertAlign w:val="superscript"/>
                    </w:rPr>
                    <w:t>(</w:t>
                  </w:r>
                  <w:hyperlink r:id="rId37"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tc>
            </w:tr>
            <w:tr w:rsidR="00D94CCB" w:rsidRPr="00D94CCB" w:rsidTr="00606EA1">
              <w:trPr>
                <w:tblCellSpacing w:w="15" w:type="dxa"/>
              </w:trPr>
              <w:tc>
                <w:tcPr>
                  <w:tcW w:w="6523"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Reconfiguring by Lease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Reconfiguring a lot which divides land or buildings by lease in a way that allows separate occupation or use of those facilities is undertaken in a </w:t>
            </w:r>
            <w:r w:rsidRPr="00D94CCB">
              <w:rPr>
                <w:rFonts w:ascii="Arial" w:hAnsi="Arial" w:cs="Arial"/>
                <w:sz w:val="20"/>
                <w:szCs w:val="20"/>
              </w:rPr>
              <w:lastRenderedPageBreak/>
              <w:t>way that does not result in existing uses on the land becoming unlawful or otherwise operating in a manner that is:</w:t>
            </w:r>
          </w:p>
          <w:p w:rsidR="00D94CCB" w:rsidRPr="00D94CCB" w:rsidRDefault="00D94CCB" w:rsidP="00505354">
            <w:pPr>
              <w:numPr>
                <w:ilvl w:val="0"/>
                <w:numId w:val="2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any approvals on which those uses rely; or</w:t>
            </w:r>
          </w:p>
          <w:p w:rsidR="00D94CCB" w:rsidRPr="00D94CCB" w:rsidRDefault="00D94CCB" w:rsidP="00505354">
            <w:pPr>
              <w:numPr>
                <w:ilvl w:val="0"/>
                <w:numId w:val="2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the requirements for accepted development applying to those uses at the time that they were established.</w:t>
            </w:r>
          </w:p>
          <w:tbl>
            <w:tblPr>
              <w:tblW w:w="644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41"/>
            </w:tblGrid>
            <w:tr w:rsidR="00D94CCB" w:rsidRPr="00606EA1" w:rsidTr="00606EA1">
              <w:trPr>
                <w:tblCellSpacing w:w="15" w:type="dxa"/>
              </w:trPr>
              <w:tc>
                <w:tcPr>
                  <w:tcW w:w="6381"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An example of a land use becoming unlawful is a Multiple dwelling</w:t>
                  </w:r>
                  <w:r w:rsidRPr="00606EA1">
                    <w:rPr>
                      <w:rFonts w:ascii="Arial" w:eastAsia="Times New Roman" w:hAnsi="Arial" w:cs="Arial"/>
                      <w:sz w:val="18"/>
                      <w:szCs w:val="20"/>
                      <w:vertAlign w:val="superscript"/>
                    </w:rPr>
                    <w:t>(</w:t>
                  </w:r>
                  <w:hyperlink r:id="rId38"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w:t>
                  </w:r>
                  <w:proofErr w:type="gramStart"/>
                  <w:r w:rsidRPr="00606EA1">
                    <w:rPr>
                      <w:rFonts w:ascii="Arial" w:eastAsia="Times New Roman" w:hAnsi="Arial" w:cs="Arial"/>
                      <w:sz w:val="18"/>
                      <w:szCs w:val="20"/>
                    </w:rPr>
                    <w:t>are located in</w:t>
                  </w:r>
                  <w:proofErr w:type="gramEnd"/>
                  <w:r w:rsidRPr="00606EA1">
                    <w:rPr>
                      <w:rFonts w:ascii="Arial" w:eastAsia="Times New Roman"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606EA1">
                    <w:rPr>
                      <w:rFonts w:ascii="Arial" w:eastAsia="Times New Roman" w:hAnsi="Arial" w:cs="Arial"/>
                      <w:sz w:val="18"/>
                      <w:szCs w:val="20"/>
                      <w:vertAlign w:val="superscript"/>
                    </w:rPr>
                    <w:t>(</w:t>
                  </w:r>
                  <w:hyperlink r:id="rId39"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w:t>
                  </w:r>
                </w:p>
              </w:tc>
            </w:tr>
            <w:tr w:rsidR="00D94CCB" w:rsidRPr="00606EA1" w:rsidTr="00606EA1">
              <w:trPr>
                <w:tblCellSpacing w:w="15" w:type="dxa"/>
              </w:trPr>
              <w:tc>
                <w:tcPr>
                  <w:tcW w:w="6381"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D94CCB" w:rsidRPr="00606EA1" w:rsidRDefault="00D94CCB" w:rsidP="00FB0803">
            <w:pPr>
              <w:rPr>
                <w:rFonts w:ascii="Arial" w:eastAsia="Times New Roman" w:hAnsi="Arial" w:cs="Arial"/>
                <w:vanish/>
                <w:sz w:val="18"/>
                <w:szCs w:val="20"/>
              </w:rPr>
            </w:pPr>
          </w:p>
          <w:tbl>
            <w:tblPr>
              <w:tblW w:w="658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83"/>
            </w:tblGrid>
            <w:tr w:rsidR="00D94CCB" w:rsidRPr="00606EA1" w:rsidTr="00606EA1">
              <w:trPr>
                <w:tblCellSpacing w:w="15" w:type="dxa"/>
              </w:trPr>
              <w:tc>
                <w:tcPr>
                  <w:tcW w:w="6523"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Editor’s note – Under the definition in Schedule 2 of the Act, the following do not constitute reconfiguring a lot and are not subject to this performance outcome:</w:t>
                  </w:r>
                </w:p>
                <w:p w:rsidR="00D94CCB" w:rsidRPr="00606EA1" w:rsidRDefault="00D94CCB" w:rsidP="00505354">
                  <w:pPr>
                    <w:numPr>
                      <w:ilvl w:val="0"/>
                      <w:numId w:val="22"/>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a lease for a term, including renewal options, not exceeding 10 years; and</w:t>
                  </w:r>
                </w:p>
                <w:p w:rsidR="00D94CCB" w:rsidRPr="00606EA1" w:rsidRDefault="00D94CCB" w:rsidP="00505354">
                  <w:pPr>
                    <w:numPr>
                      <w:ilvl w:val="0"/>
                      <w:numId w:val="22"/>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 xml:space="preserve">an agreement for the exclusive use of part of the common property for a community titles scheme under the </w:t>
                  </w:r>
                  <w:r w:rsidRPr="00606EA1">
                    <w:rPr>
                      <w:rStyle w:val="Emphasis"/>
                      <w:rFonts w:ascii="Arial" w:eastAsia="Times New Roman" w:hAnsi="Arial" w:cs="Arial"/>
                      <w:sz w:val="18"/>
                      <w:szCs w:val="20"/>
                    </w:rPr>
                    <w:t>Body Corporate and Community Management Act 1997</w:t>
                  </w:r>
                  <w:r w:rsidRPr="00606EA1">
                    <w:rPr>
                      <w:rFonts w:ascii="Arial" w:eastAsia="Times New Roman" w:hAnsi="Arial" w:cs="Arial"/>
                      <w:sz w:val="18"/>
                      <w:szCs w:val="20"/>
                    </w:rPr>
                    <w:t>.</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Volumetric subdivision</w:t>
            </w:r>
          </w:p>
        </w:tc>
        <w:tc>
          <w:tcPr>
            <w:tcW w:w="541"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rsidTr="00D94CCB">
              <w:trPr>
                <w:tblCellSpacing w:w="15" w:type="dxa"/>
              </w:trPr>
              <w:tc>
                <w:tcPr>
                  <w:tcW w:w="14359" w:type="dxa"/>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An example may include but are not limited to:</w:t>
                  </w:r>
                </w:p>
                <w:p w:rsidR="00D94CCB" w:rsidRPr="00D94CCB" w:rsidRDefault="00D94CCB" w:rsidP="00505354">
                  <w:pPr>
                    <w:pStyle w:val="NormalWeb"/>
                    <w:numPr>
                      <w:ilvl w:val="0"/>
                      <w:numId w:val="23"/>
                    </w:numPr>
                    <w:rPr>
                      <w:rFonts w:ascii="Arial" w:hAnsi="Arial" w:cs="Arial"/>
                      <w:sz w:val="20"/>
                      <w:szCs w:val="20"/>
                    </w:rPr>
                  </w:pPr>
                  <w:r w:rsidRPr="00606EA1">
                    <w:rPr>
                      <w:rFonts w:ascii="Arial" w:hAnsi="Arial" w:cs="Arial"/>
                      <w:sz w:val="18"/>
                      <w:szCs w:val="20"/>
                    </w:rPr>
                    <w:lastRenderedPageBreak/>
                    <w:t>where a Dwelling house</w:t>
                  </w:r>
                  <w:r w:rsidRPr="00606EA1">
                    <w:rPr>
                      <w:rFonts w:ascii="Arial" w:hAnsi="Arial" w:cs="Arial"/>
                      <w:sz w:val="18"/>
                      <w:szCs w:val="20"/>
                      <w:vertAlign w:val="superscript"/>
                    </w:rPr>
                    <w:t>(</w:t>
                  </w:r>
                  <w:hyperlink r:id="rId4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includes a secondary dwelling or associated outbuildings, they cannot be separately titled as they are dependent on the Dwelling house</w:t>
                  </w:r>
                  <w:r w:rsidRPr="00606EA1">
                    <w:rPr>
                      <w:rFonts w:ascii="Arial" w:hAnsi="Arial" w:cs="Arial"/>
                      <w:sz w:val="18"/>
                      <w:szCs w:val="20"/>
                      <w:vertAlign w:val="superscript"/>
                    </w:rPr>
                    <w:t>(</w:t>
                  </w:r>
                  <w:hyperlink r:id="rId4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use.</w:t>
                  </w:r>
                </w:p>
              </w:tc>
            </w:tr>
          </w:tbl>
          <w:p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Access Easement</w:t>
            </w:r>
          </w:p>
        </w:tc>
        <w:tc>
          <w:tcPr>
            <w:tcW w:w="541"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easements contain a driveway constructed to an appropriate standard for the intended use.</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easement covers all works associated with the access.</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ind w:left="29"/>
              <w:rPr>
                <w:rFonts w:ascii="Arial" w:hAnsi="Arial" w:cs="Arial"/>
                <w:sz w:val="20"/>
                <w:szCs w:val="20"/>
              </w:rPr>
            </w:pPr>
            <w:r w:rsidRPr="00D94CCB">
              <w:rPr>
                <w:rStyle w:val="Strong"/>
                <w:rFonts w:ascii="Arial" w:hAnsi="Arial" w:cs="Arial"/>
                <w:sz w:val="20"/>
                <w:szCs w:val="20"/>
              </w:rPr>
              <w:t>E35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easement covers all driveway construction including cut and fill batters, drainage works and utility services.</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ind w:left="29"/>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ind w:left="29"/>
              <w:rPr>
                <w:rStyle w:val="Strong"/>
                <w:rFonts w:ascii="Arial" w:hAnsi="Arial" w:cs="Arial"/>
                <w:sz w:val="20"/>
                <w:szCs w:val="20"/>
              </w:rPr>
            </w:pPr>
          </w:p>
        </w:tc>
      </w:tr>
      <w:tr w:rsidR="00D94CCB" w:rsidRPr="00D94CCB"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PO36</w:t>
            </w:r>
          </w:p>
          <w:p w:rsidR="00D94CCB" w:rsidRPr="00D94CCB" w:rsidRDefault="00D94CCB" w:rsidP="00FB0803">
            <w:pPr>
              <w:pStyle w:val="NormalWeb"/>
              <w:ind w:left="25"/>
              <w:rPr>
                <w:rFonts w:ascii="Arial" w:hAnsi="Arial" w:cs="Arial"/>
                <w:sz w:val="20"/>
                <w:szCs w:val="20"/>
              </w:rPr>
            </w:pPr>
            <w:r w:rsidRPr="00D94CCB">
              <w:rPr>
                <w:rFonts w:ascii="Arial" w:hAnsi="Arial" w:cs="Arial"/>
                <w:sz w:val="20"/>
                <w:szCs w:val="20"/>
              </w:rPr>
              <w:t>Relocation or alteration of existing services are undertaken as a result of the access easement.</w:t>
            </w:r>
          </w:p>
        </w:tc>
        <w:tc>
          <w:tcPr>
            <w:tcW w:w="1702"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 </w:t>
            </w: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Utilities</w:t>
            </w:r>
          </w:p>
        </w:tc>
        <w:tc>
          <w:tcPr>
            <w:tcW w:w="541"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D94CCB" w:rsidRPr="00D94CCB" w:rsidRDefault="00D94CCB" w:rsidP="00FB0803">
            <w:pPr>
              <w:rPr>
                <w:rFonts w:ascii="Arial" w:eastAsia="Times New Roman" w:hAnsi="Arial" w:cs="Arial"/>
                <w:sz w:val="20"/>
                <w:szCs w:val="20"/>
              </w:rPr>
            </w:pPr>
          </w:p>
        </w:tc>
        <w:tc>
          <w:tcPr>
            <w:tcW w:w="1705"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rsidR="00D94CCB" w:rsidRPr="00D94CCB" w:rsidRDefault="00D94CCB" w:rsidP="00FB0803">
            <w:pPr>
              <w:rPr>
                <w:rFonts w:ascii="Arial" w:eastAsia="Times New Roman" w:hAnsi="Arial" w:cs="Arial"/>
                <w:sz w:val="20"/>
                <w:szCs w:val="20"/>
              </w:rPr>
            </w:pPr>
          </w:p>
        </w:tc>
        <w:tc>
          <w:tcPr>
            <w:tcW w:w="541"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46"/>
        <w:gridCol w:w="5288"/>
        <w:gridCol w:w="1837"/>
        <w:gridCol w:w="1611"/>
      </w:tblGrid>
      <w:tr w:rsidR="00D94CCB" w:rsidRPr="00D94CCB" w:rsidTr="00D94CCB">
        <w:trPr>
          <w:tblCellSpacing w:w="15" w:type="dxa"/>
        </w:trPr>
        <w:tc>
          <w:tcPr>
            <w:tcW w:w="38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Stormwater location and design</w:t>
            </w:r>
          </w:p>
        </w:tc>
        <w:tc>
          <w:tcPr>
            <w:tcW w:w="588"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Where development is for an urban purpose that involves a land 2500m</w:t>
            </w:r>
            <w:r w:rsidRPr="00D94CCB">
              <w:rPr>
                <w:rFonts w:ascii="Arial" w:hAnsi="Arial" w:cs="Arial"/>
                <w:sz w:val="20"/>
                <w:szCs w:val="20"/>
                <w:vertAlign w:val="superscript"/>
              </w:rPr>
              <w:t>2</w:t>
            </w:r>
            <w:r w:rsidRPr="00D94CCB">
              <w:rPr>
                <w:rFonts w:ascii="Arial" w:hAnsi="Arial" w:cs="Arial"/>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 xml:space="preserve">Note - A </w:t>
                  </w:r>
                  <w:proofErr w:type="gramStart"/>
                  <w:r w:rsidRPr="00606EA1">
                    <w:rPr>
                      <w:rFonts w:ascii="Arial" w:hAnsi="Arial" w:cs="Arial"/>
                      <w:sz w:val="18"/>
                      <w:szCs w:val="20"/>
                    </w:rPr>
                    <w:t>site based</w:t>
                  </w:r>
                  <w:proofErr w:type="gramEnd"/>
                  <w:r w:rsidRPr="00606EA1">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is designed and constructed to achieve Water Sensitive Urban Design best practice including:</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protection of existing natural features; </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integrating public open space with stormwater corridors or infrastructure;</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maintaining natural hydrologic behaviour of catchments and preserving the natural water cycle;</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protecting water quality environmental values of surface and ground waters;</w:t>
            </w:r>
          </w:p>
          <w:p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minimising capital and maintenance costs of stormwater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1"/>
            </w:tblGrid>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Planning scheme policy - Integrated design (Appendix C) for more information and examples on water sensitive urban design.</w:t>
                  </w:r>
                </w:p>
              </w:tc>
            </w:tr>
            <w:tr w:rsidR="00D94CCB" w:rsidRPr="00D94CCB"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 A </w:t>
                  </w:r>
                  <w:proofErr w:type="gramStart"/>
                  <w:r w:rsidRPr="00606EA1">
                    <w:rPr>
                      <w:rFonts w:ascii="Arial" w:hAnsi="Arial" w:cs="Arial"/>
                      <w:sz w:val="18"/>
                      <w:szCs w:val="20"/>
                    </w:rPr>
                    <w:t>site based</w:t>
                  </w:r>
                  <w:proofErr w:type="gramEnd"/>
                  <w:r w:rsidRPr="00606EA1">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rHeight w:val="2160"/>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PO40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Stormwater drainage infrastructure (including inter-allotment drainage) within private land is protected by easements in favour of Council with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area for practical access for maintenance.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D94CCB" w:rsidRPr="00D94CCB" w:rsidRDefault="00D94CCB" w:rsidP="00FB0803">
            <w:pPr>
              <w:spacing w:after="240"/>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531"/>
              <w:gridCol w:w="2531"/>
              <w:gridCol w:w="45"/>
            </w:tblGrid>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t>Minimum Easement Width (excluding access requirements)</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3.0m</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4.0m</w:t>
                  </w:r>
                </w:p>
              </w:tc>
            </w:tr>
            <w:tr w:rsidR="00D94CCB" w:rsidRPr="00D94CCB"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Easement boundary to be 1m clear of the outside wall of the stormwater pipe (each side). </w:t>
                  </w:r>
                </w:p>
              </w:tc>
            </w:tr>
            <w:tr w:rsidR="00D94CCB" w:rsidRPr="00606EA1" w:rsidTr="00FB0803">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Additional easement width may be required in certain circumstances in order to facilitate maintenance access to the stormwater system.</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68"/>
            </w:tblGrid>
            <w:tr w:rsidR="00D94CCB" w:rsidRPr="00606EA1" w:rsidTr="00FB0803">
              <w:trPr>
                <w:tblCellSpacing w:w="15" w:type="dxa"/>
              </w:trPr>
              <w:tc>
                <w:tcPr>
                  <w:tcW w:w="0" w:type="auto"/>
                  <w:vAlign w:val="center"/>
                  <w:hideMark/>
                </w:tcPr>
                <w:p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Planning scheme policy - Integrated design (Appendix C) for easement requirements over open channels.</w:t>
                  </w:r>
                </w:p>
              </w:tc>
            </w:tr>
          </w:tbl>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management facilities are located outside of riparian areas and prevent increased channel bed and bank erosion.</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Natural streams and riparian vegetation are retained and enhanced through revegetation.</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PO43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Areas constructed as detention basins: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are adaptable for passive recreation;</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appear to be a natural land form;</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provide practical access for maintenance purposes;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do not create safety or security issues by creating potential concealment areas;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have adequate setbacks to adjoining properties;</w:t>
            </w:r>
          </w:p>
          <w:p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are located within land to be dedicated to Council as public land.</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rHeight w:val="885"/>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maintains the environmental values of waterway ecosystems.</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 constructed water body proposed to be dedicated as public asset is to be avoided, unless there is an overriding need in the public interest.</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Lots are of a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grade to accommodate effective stormwater drainage to a lawful point of discharge.</w:t>
            </w: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surface level of a lot is at a minimum grade of 1:100 and slopes towards the street frontage, or other lawful point of discharge.</w:t>
            </w: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3863" w:type="pct"/>
            <w:gridSpan w:val="2"/>
            <w:tcBorders>
              <w:top w:val="outset" w:sz="6" w:space="0" w:color="auto"/>
              <w:left w:val="outset" w:sz="6" w:space="0" w:color="auto"/>
              <w:bottom w:val="outset" w:sz="6" w:space="0" w:color="auto"/>
              <w:right w:val="outset" w:sz="6" w:space="0" w:color="auto"/>
            </w:tcBorders>
            <w:shd w:val="clear" w:color="auto" w:fill="D8D9D9"/>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Stormwater management system</w:t>
            </w:r>
          </w:p>
        </w:tc>
        <w:tc>
          <w:tcPr>
            <w:tcW w:w="588"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shd w:val="clear" w:color="auto" w:fill="D8D9D9"/>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major drainage system has the capacity to safely convey stormwater flows for the defined flood event.</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roads, drainage pathways, drainage features and waterways safely convey the stormwater flows for the defined flood event without allowing flows to encroach upon private lots.</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Overland flow paths (for any storm event) from newly constructed roads and public open space areas do not pass through private lots and allow safe and convenient access for pedestrians and cyclists.</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E48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Drainage pathways are provided to accommodate overland flows from roads and public open space areas</w:t>
            </w:r>
            <w:r w:rsidRPr="00D94CCB">
              <w:rPr>
                <w:rStyle w:val="Emphasis"/>
                <w:rFonts w:ascii="Arial" w:hAnsi="Arial" w:cs="Arial"/>
                <w:sz w:val="20"/>
                <w:szCs w:val="20"/>
              </w:rPr>
              <w:t>. </w:t>
            </w:r>
            <w:r w:rsidRPr="00D94CCB">
              <w:rPr>
                <w:rFonts w:ascii="Arial" w:hAnsi="Arial" w:cs="Arial"/>
                <w:sz w:val="20"/>
                <w:szCs w:val="20"/>
              </w:rPr>
              <w:t>The overland flow paths have a minimum width of 8m and are designed and constructed to allow safe and convenient access for pedestrians and cyclists.</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stormwater drainage system is designed and constructed in accordance with Planning scheme policy - Integrated design.</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stormwater management system is designed to:</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the environmental values in downstream waterways;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maintain ground water recharge areas;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preserve existing natural wetlands and associated buffers;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avoid disturbing soils or sediments;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 xml:space="preserve">avoid altering the natural hydrologic regime in acid </w:t>
            </w:r>
            <w:proofErr w:type="spellStart"/>
            <w:r w:rsidRPr="00D94CCB">
              <w:rPr>
                <w:rFonts w:ascii="Arial" w:hAnsi="Arial" w:cs="Arial"/>
                <w:sz w:val="20"/>
                <w:szCs w:val="20"/>
              </w:rPr>
              <w:t>sulfate</w:t>
            </w:r>
            <w:proofErr w:type="spellEnd"/>
            <w:r w:rsidRPr="00D94CCB">
              <w:rPr>
                <w:rFonts w:ascii="Arial" w:hAnsi="Arial" w:cs="Arial"/>
                <w:sz w:val="20"/>
                <w:szCs w:val="20"/>
              </w:rPr>
              <w:t xml:space="preserve"> soil and nutrient hazardous areas;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maintain and improve receiving water quality;</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natural waterway configuration;</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natural wetlands and vegetation;</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downstream and adjacent properties;</w:t>
            </w:r>
          </w:p>
          <w:p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and enhance riparian areas.</w:t>
            </w:r>
          </w:p>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D94CCB" w:rsidRPr="00D94CCB"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Design and construction of the stormwater management system:</w:t>
            </w:r>
          </w:p>
          <w:p w:rsidR="00D94CCB" w:rsidRPr="00D94CCB" w:rsidRDefault="00D94CCB" w:rsidP="00505354">
            <w:pPr>
              <w:numPr>
                <w:ilvl w:val="0"/>
                <w:numId w:val="27"/>
              </w:numPr>
              <w:spacing w:before="100" w:beforeAutospacing="1" w:after="100" w:afterAutospacing="1"/>
              <w:rPr>
                <w:rFonts w:ascii="Arial" w:hAnsi="Arial" w:cs="Arial"/>
                <w:sz w:val="20"/>
                <w:szCs w:val="20"/>
              </w:rPr>
            </w:pPr>
            <w:r w:rsidRPr="00D94CCB">
              <w:rPr>
                <w:rFonts w:ascii="Arial" w:hAnsi="Arial" w:cs="Arial"/>
                <w:sz w:val="20"/>
                <w:szCs w:val="20"/>
              </w:rPr>
              <w:lastRenderedPageBreak/>
              <w:t>utilise methods and materials to minimise the whole of lifecycle costs of the stormwater management system; and</w:t>
            </w:r>
          </w:p>
          <w:p w:rsidR="00D94CCB" w:rsidRPr="00D94CCB" w:rsidRDefault="00D94CCB" w:rsidP="00505354">
            <w:pPr>
              <w:numPr>
                <w:ilvl w:val="0"/>
                <w:numId w:val="27"/>
              </w:numPr>
              <w:spacing w:before="100" w:beforeAutospacing="1" w:after="100" w:afterAutospacing="1"/>
              <w:rPr>
                <w:rFonts w:ascii="Arial" w:hAnsi="Arial" w:cs="Arial"/>
                <w:sz w:val="20"/>
                <w:szCs w:val="20"/>
              </w:rPr>
            </w:pPr>
            <w:r w:rsidRPr="00D94CCB">
              <w:rPr>
                <w:rFonts w:ascii="Arial" w:hAnsi="Arial" w:cs="Arial"/>
                <w:sz w:val="20"/>
                <w:szCs w:val="20"/>
              </w:rPr>
              <w:t>are coordinated with civil and other landscaping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1"/>
            </w:tblGrid>
            <w:tr w:rsidR="00D94CCB" w:rsidRPr="00D94CCB" w:rsidTr="00FB0803">
              <w:trPr>
                <w:tblCellSpacing w:w="15" w:type="dxa"/>
              </w:trPr>
              <w:tc>
                <w:tcPr>
                  <w:tcW w:w="0" w:type="auto"/>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Refer to Planning scheme policy - Integrated design for guidance on how to demonstrate achievement of this performance outcome.</w:t>
                  </w:r>
                </w:p>
              </w:tc>
            </w:tr>
          </w:tbl>
          <w:p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p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bl>
    <w:p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238"/>
        <w:gridCol w:w="5264"/>
        <w:gridCol w:w="1721"/>
        <w:gridCol w:w="2159"/>
      </w:tblGrid>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Native vegetation where not located in the Environmental areas overlay</w:t>
            </w:r>
          </w:p>
        </w:tc>
        <w:tc>
          <w:tcPr>
            <w:tcW w:w="55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facilitates the retention of native vegetation by:</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incorporating native vegetation and habitat trees into the overall subdivision design, development layout, on-street amenity and landscaping where practicable;</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providing safe, unimpeded, convenient and ongoing wildlife movement;</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avoiding creating fragmented and isolated patches of native vegetation.</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biodiversity quality and integrity of habitats is not adversely impacted upon but are maintained and protected;</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soil erosion and land degradation does not occur;</w:t>
            </w:r>
          </w:p>
          <w:p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quality of surface water is not adversely impacted upon by providing effective vegetated buffers to water bodies. </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Noise</w:t>
            </w:r>
          </w:p>
        </w:tc>
        <w:tc>
          <w:tcPr>
            <w:tcW w:w="55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Noise attenuation structure (e.g. walls, barriers or fences):</w:t>
            </w:r>
          </w:p>
          <w:p w:rsidR="00D94CCB" w:rsidRPr="00D94CCB" w:rsidRDefault="00D94CCB" w:rsidP="00505354">
            <w:pPr>
              <w:numPr>
                <w:ilvl w:val="0"/>
                <w:numId w:val="2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D94CCB" w:rsidRPr="00D94CCB" w:rsidRDefault="00D94CCB" w:rsidP="00505354">
            <w:pPr>
              <w:numPr>
                <w:ilvl w:val="0"/>
                <w:numId w:val="2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 the amenity of the streetscape.</w:t>
            </w:r>
          </w:p>
          <w:tbl>
            <w:tblPr>
              <w:tblW w:w="63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04"/>
            </w:tblGrid>
            <w:tr w:rsidR="00D94CCB" w:rsidRPr="00D94CCB" w:rsidTr="00D94CCB">
              <w:trPr>
                <w:tblCellSpacing w:w="15" w:type="dxa"/>
              </w:trPr>
              <w:tc>
                <w:tcPr>
                  <w:tcW w:w="6244"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D94CCB" w:rsidRPr="00D94CCB" w:rsidTr="00D94CCB">
              <w:trPr>
                <w:tblCellSpacing w:w="15" w:type="dxa"/>
              </w:trPr>
              <w:tc>
                <w:tcPr>
                  <w:tcW w:w="6244"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Planning Scheme Policy – Integrated design for details and examples of noise attenuation structures.</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Noise attenuation structures (e.g. walls, barriers or fences):</w:t>
            </w:r>
          </w:p>
          <w:p w:rsidR="00D94CCB" w:rsidRPr="00D94CCB" w:rsidRDefault="00D94CCB" w:rsidP="00505354">
            <w:pPr>
              <w:numPr>
                <w:ilvl w:val="0"/>
                <w:numId w:val="3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are not visible from an adjoining road or public area unless;</w:t>
            </w:r>
          </w:p>
          <w:p w:rsidR="00D94CCB" w:rsidRPr="00D94CCB" w:rsidRDefault="00D94CCB" w:rsidP="00505354">
            <w:pPr>
              <w:numPr>
                <w:ilvl w:val="0"/>
                <w:numId w:val="5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adjoining a motorway or rail line; or</w:t>
            </w:r>
          </w:p>
          <w:p w:rsidR="00D94CCB" w:rsidRPr="00D94CCB" w:rsidRDefault="00D94CCB" w:rsidP="00505354">
            <w:pPr>
              <w:numPr>
                <w:ilvl w:val="0"/>
                <w:numId w:val="5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D94CCB" w:rsidRPr="00D94CCB" w:rsidRDefault="00D94CCB" w:rsidP="00505354">
            <w:pPr>
              <w:numPr>
                <w:ilvl w:val="0"/>
                <w:numId w:val="3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do not remove existing or prevent future active transport routes or connections to the street network;</w:t>
            </w:r>
          </w:p>
          <w:p w:rsidR="00D94CCB" w:rsidRPr="00D94CCB" w:rsidRDefault="00D94CCB" w:rsidP="00505354">
            <w:pPr>
              <w:numPr>
                <w:ilvl w:val="0"/>
                <w:numId w:val="3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are located, constructed and landscaped in accordance with Planning scheme policy - Integrated design.</w:t>
            </w:r>
          </w:p>
          <w:tbl>
            <w:tblPr>
              <w:tblW w:w="51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72"/>
            </w:tblGrid>
            <w:tr w:rsidR="00D94CCB" w:rsidRPr="00D94CCB" w:rsidTr="00606EA1">
              <w:trPr>
                <w:tblCellSpacing w:w="15" w:type="dxa"/>
              </w:trPr>
              <w:tc>
                <w:tcPr>
                  <w:tcW w:w="5112"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Planning Scheme Policy – Integrated design for details and examples of noise attenuation structures.</w:t>
                  </w:r>
                </w:p>
              </w:tc>
            </w:tr>
            <w:tr w:rsidR="00D94CCB" w:rsidRPr="00D94CCB" w:rsidTr="00606EA1">
              <w:trPr>
                <w:tblCellSpacing w:w="15" w:type="dxa"/>
              </w:trPr>
              <w:tc>
                <w:tcPr>
                  <w:tcW w:w="5112"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Overlay map – Active transport for future active transport routes.</w:t>
                  </w:r>
                </w:p>
              </w:tc>
            </w:tr>
          </w:tbl>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863F1D" w:rsidRPr="00D94CCB" w:rsidTr="00863F1D">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63F1D" w:rsidRPr="00D94CCB" w:rsidRDefault="00863F1D" w:rsidP="00FB0803">
            <w:pPr>
              <w:pStyle w:val="NormalWeb"/>
              <w:jc w:val="center"/>
              <w:rPr>
                <w:rFonts w:ascii="Arial" w:hAnsi="Arial" w:cs="Arial"/>
                <w:sz w:val="20"/>
                <w:szCs w:val="20"/>
              </w:rPr>
            </w:pPr>
            <w:r w:rsidRPr="00D94CCB">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863F1D" w:rsidRPr="00D94CCB" w:rsidTr="00D94CCB">
              <w:trPr>
                <w:tblCellSpacing w:w="15" w:type="dxa"/>
              </w:trPr>
              <w:tc>
                <w:tcPr>
                  <w:tcW w:w="14928" w:type="dxa"/>
                  <w:shd w:val="clear" w:color="auto" w:fill="CCCCCC"/>
                  <w:vAlign w:val="center"/>
                  <w:hideMark/>
                </w:tcPr>
                <w:p w:rsidR="00863F1D" w:rsidRPr="00D94CCB" w:rsidRDefault="00863F1D" w:rsidP="00FB0803">
                  <w:pPr>
                    <w:pStyle w:val="NormalWeb"/>
                    <w:rPr>
                      <w:rFonts w:ascii="Arial" w:hAnsi="Arial" w:cs="Arial"/>
                      <w:sz w:val="20"/>
                      <w:szCs w:val="20"/>
                    </w:rPr>
                  </w:pPr>
                  <w:r w:rsidRPr="00D94CCB">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863F1D" w:rsidRPr="00D94CCB" w:rsidRDefault="00863F1D" w:rsidP="00FB0803">
            <w:pPr>
              <w:pStyle w:val="NormalWeb"/>
              <w:jc w:val="center"/>
              <w:rPr>
                <w:rStyle w:val="Strong"/>
                <w:rFonts w:ascii="Arial" w:hAnsi="Arial" w:cs="Arial"/>
                <w:sz w:val="20"/>
                <w:szCs w:val="20"/>
              </w:rPr>
            </w:pPr>
          </w:p>
        </w:tc>
      </w:tr>
      <w:tr w:rsidR="00863F1D" w:rsidRPr="00D94CCB" w:rsidTr="00863F1D">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63F1D" w:rsidRPr="00D94CCB" w:rsidRDefault="00863F1D" w:rsidP="00FB0803">
            <w:pPr>
              <w:pStyle w:val="NormalWeb"/>
              <w:rPr>
                <w:rFonts w:ascii="Arial" w:hAnsi="Arial" w:cs="Arial"/>
                <w:sz w:val="20"/>
                <w:szCs w:val="20"/>
              </w:rPr>
            </w:pPr>
            <w:r w:rsidRPr="00D94CCB">
              <w:rPr>
                <w:rStyle w:val="Strong"/>
                <w:rFonts w:ascii="Arial" w:hAnsi="Arial" w:cs="Arial"/>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863F1D" w:rsidRPr="00D94CCB" w:rsidTr="00D94CCB">
              <w:trPr>
                <w:tblCellSpacing w:w="15" w:type="dxa"/>
              </w:trPr>
              <w:tc>
                <w:tcPr>
                  <w:tcW w:w="14928" w:type="dxa"/>
                  <w:vAlign w:val="center"/>
                  <w:hideMark/>
                </w:tcPr>
                <w:p w:rsidR="00863F1D" w:rsidRPr="00D94CCB" w:rsidRDefault="00863F1D" w:rsidP="00FB0803">
                  <w:pPr>
                    <w:pStyle w:val="NormalWeb"/>
                    <w:rPr>
                      <w:rFonts w:ascii="Arial" w:hAnsi="Arial" w:cs="Arial"/>
                      <w:sz w:val="20"/>
                      <w:szCs w:val="20"/>
                    </w:rPr>
                  </w:pPr>
                  <w:r w:rsidRPr="00D94CCB">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863F1D" w:rsidRPr="00D94CCB" w:rsidRDefault="00863F1D"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Lots are designed to:</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minimise the risk from bushfire hazard to each lot and provide the safest possible siting for buildings and structures;</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limit the possible spread paths of bushfire within the reconfiguring;</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 xml:space="preserve">achieve </w:t>
            </w:r>
            <w:proofErr w:type="gramStart"/>
            <w:r w:rsidRPr="00D94CCB">
              <w:rPr>
                <w:rFonts w:ascii="Arial" w:hAnsi="Arial" w:cs="Arial"/>
                <w:sz w:val="20"/>
                <w:szCs w:val="20"/>
              </w:rPr>
              <w:t>sufficient</w:t>
            </w:r>
            <w:proofErr w:type="gramEnd"/>
            <w:r w:rsidRPr="00D94CCB">
              <w:rPr>
                <w:rFonts w:ascii="Arial" w:hAnsi="Arial" w:cs="Arial"/>
                <w:sz w:val="20"/>
                <w:szCs w:val="20"/>
              </w:rPr>
              <w:t xml:space="preserve"> separation distance between development and hazardous vegetation to minimise the risk to future buildings and structures during bushfire events;</w:t>
            </w:r>
          </w:p>
          <w:p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maintain the required level of functionality for emergency services and uses during and immediately after a natural hazard event.</w:t>
            </w:r>
          </w:p>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Reconfiguring a lot ensures that all new lots are of an appropriate size, shape and layout to allow for the siting of future buildings being located:</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within an appropriate development footprint;</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within the lowest hazard locations on a lot;</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away from ridgelines and hilltops;</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on land with a slope of less than 15%;</w:t>
            </w:r>
          </w:p>
          <w:p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away from north to west facing slopes.</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adequate water supply and infrastructure to support fire-fighting.</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E55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For water supply purposes, reconfiguring a lot ensures that:</w:t>
            </w:r>
          </w:p>
          <w:p w:rsidR="00D94CCB" w:rsidRPr="00D94CCB" w:rsidRDefault="00D94CCB" w:rsidP="00505354">
            <w:pPr>
              <w:pStyle w:val="NormalWeb"/>
              <w:numPr>
                <w:ilvl w:val="0"/>
                <w:numId w:val="34"/>
              </w:numPr>
              <w:rPr>
                <w:rFonts w:ascii="Arial" w:hAnsi="Arial" w:cs="Arial"/>
                <w:sz w:val="20"/>
                <w:szCs w:val="20"/>
              </w:rPr>
            </w:pPr>
            <w:r w:rsidRPr="00D94CCB">
              <w:rPr>
                <w:rFonts w:ascii="Arial" w:hAnsi="Arial" w:cs="Arial"/>
                <w:sz w:val="20"/>
                <w:szCs w:val="20"/>
              </w:rPr>
              <w:t xml:space="preserve">lots have access to a reticulated water </w:t>
            </w:r>
            <w:proofErr w:type="gramStart"/>
            <w:r w:rsidRPr="00D94CCB">
              <w:rPr>
                <w:rFonts w:ascii="Arial" w:hAnsi="Arial" w:cs="Arial"/>
                <w:sz w:val="20"/>
                <w:szCs w:val="20"/>
              </w:rPr>
              <w:t>supply  provided</w:t>
            </w:r>
            <w:proofErr w:type="gramEnd"/>
            <w:r w:rsidRPr="00D94CCB">
              <w:rPr>
                <w:rFonts w:ascii="Arial" w:hAnsi="Arial" w:cs="Arial"/>
                <w:sz w:val="20"/>
                <w:szCs w:val="20"/>
              </w:rPr>
              <w:t xml:space="preserve"> by a distributer retailer for the area; or</w:t>
            </w:r>
          </w:p>
          <w:p w:rsidR="00D94CCB" w:rsidRPr="00D94CCB" w:rsidRDefault="00D94CCB" w:rsidP="00505354">
            <w:pPr>
              <w:pStyle w:val="NormalWeb"/>
              <w:numPr>
                <w:ilvl w:val="0"/>
                <w:numId w:val="34"/>
              </w:numPr>
              <w:rPr>
                <w:rFonts w:ascii="Arial" w:hAnsi="Arial" w:cs="Arial"/>
                <w:sz w:val="20"/>
                <w:szCs w:val="20"/>
              </w:rPr>
            </w:pPr>
            <w:r w:rsidRPr="00D94CCB">
              <w:rPr>
                <w:rFonts w:ascii="Arial" w:hAnsi="Arial" w:cs="Arial"/>
                <w:sz w:val="20"/>
                <w:szCs w:val="20"/>
              </w:rPr>
              <w:t xml:space="preserve">where no reticulated water supply is available, on-site </w:t>
            </w:r>
            <w:proofErr w:type="spellStart"/>
            <w:r w:rsidRPr="00D94CCB">
              <w:rPr>
                <w:rFonts w:ascii="Arial" w:hAnsi="Arial" w:cs="Arial"/>
                <w:sz w:val="20"/>
                <w:szCs w:val="20"/>
              </w:rPr>
              <w:t>fire fighting</w:t>
            </w:r>
            <w:proofErr w:type="spellEnd"/>
            <w:r w:rsidRPr="00D94CCB">
              <w:rPr>
                <w:rFonts w:ascii="Arial" w:hAnsi="Arial" w:cs="Arial"/>
                <w:sz w:val="20"/>
                <w:szCs w:val="20"/>
              </w:rPr>
              <w:t xml:space="preserve"> water storage containing not less than 10000 litres and located within a development footprint.</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Lots are designed to achieve:</w:t>
            </w:r>
          </w:p>
          <w:p w:rsidR="00D94CCB" w:rsidRPr="00D94CCB" w:rsidRDefault="00D94CCB" w:rsidP="00505354">
            <w:pPr>
              <w:pStyle w:val="NormalWeb"/>
              <w:numPr>
                <w:ilvl w:val="0"/>
                <w:numId w:val="35"/>
              </w:numPr>
              <w:rPr>
                <w:rFonts w:ascii="Arial" w:hAnsi="Arial" w:cs="Arial"/>
                <w:sz w:val="20"/>
                <w:szCs w:val="20"/>
              </w:rPr>
            </w:pPr>
            <w:r w:rsidRPr="00D94CCB">
              <w:rPr>
                <w:rFonts w:ascii="Arial" w:hAnsi="Arial" w:cs="Arial"/>
                <w:sz w:val="20"/>
                <w:szCs w:val="20"/>
              </w:rPr>
              <w:t>safe site access by avoiding potential entrapment situations;</w:t>
            </w:r>
          </w:p>
          <w:p w:rsidR="00D94CCB" w:rsidRPr="00D94CCB" w:rsidRDefault="00D94CCB" w:rsidP="00505354">
            <w:pPr>
              <w:pStyle w:val="NormalWeb"/>
              <w:numPr>
                <w:ilvl w:val="0"/>
                <w:numId w:val="35"/>
              </w:numPr>
              <w:rPr>
                <w:rFonts w:ascii="Arial" w:hAnsi="Arial" w:cs="Arial"/>
                <w:sz w:val="20"/>
                <w:szCs w:val="20"/>
              </w:rPr>
            </w:pPr>
            <w:r w:rsidRPr="00D94CCB">
              <w:rPr>
                <w:rFonts w:ascii="Arial" w:hAnsi="Arial" w:cs="Arial"/>
                <w:sz w:val="20"/>
                <w:szCs w:val="20"/>
              </w:rPr>
              <w:t>accessibility and manoeuvring for fire-fighting during bushfire.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Reconfiguring a lot ensures a new lot is provided with:</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direct road access and egress to public roads;</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an alternative access where the private driveway is longer than 100m to reach a public road;</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driveway access to a public road that has a gradient no greater than 12.5%;</w:t>
            </w:r>
          </w:p>
          <w:p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minimum width of 3.5m.</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The road layout and design </w:t>
            </w:r>
            <w:proofErr w:type="gramStart"/>
            <w:r w:rsidRPr="00D94CCB">
              <w:rPr>
                <w:rFonts w:ascii="Arial" w:hAnsi="Arial" w:cs="Arial"/>
                <w:sz w:val="20"/>
                <w:szCs w:val="20"/>
              </w:rPr>
              <w:t>supports</w:t>
            </w:r>
            <w:proofErr w:type="gramEnd"/>
            <w:r w:rsidRPr="00D94CCB">
              <w:rPr>
                <w:rFonts w:ascii="Arial" w:hAnsi="Arial" w:cs="Arial"/>
                <w:sz w:val="20"/>
                <w:szCs w:val="20"/>
              </w:rPr>
              <w:t>:</w:t>
            </w:r>
          </w:p>
          <w:p w:rsidR="00D94CCB" w:rsidRPr="00D94CCB" w:rsidRDefault="00D94CCB" w:rsidP="00505354">
            <w:pPr>
              <w:pStyle w:val="NormalWeb"/>
              <w:numPr>
                <w:ilvl w:val="0"/>
                <w:numId w:val="37"/>
              </w:numPr>
              <w:rPr>
                <w:rFonts w:ascii="Arial" w:hAnsi="Arial" w:cs="Arial"/>
                <w:sz w:val="20"/>
                <w:szCs w:val="20"/>
              </w:rPr>
            </w:pPr>
            <w:r w:rsidRPr="00D94CCB">
              <w:rPr>
                <w:rFonts w:ascii="Arial" w:hAnsi="Arial" w:cs="Arial"/>
                <w:sz w:val="20"/>
                <w:szCs w:val="20"/>
              </w:rPr>
              <w:t>safe and efficient emergency services access to all lots; and manoeuvring within the subdivision;</w:t>
            </w:r>
          </w:p>
          <w:p w:rsidR="00D94CCB" w:rsidRPr="00D94CCB" w:rsidRDefault="00D94CCB" w:rsidP="00505354">
            <w:pPr>
              <w:pStyle w:val="NormalWeb"/>
              <w:numPr>
                <w:ilvl w:val="0"/>
                <w:numId w:val="37"/>
              </w:numPr>
              <w:rPr>
                <w:rFonts w:ascii="Arial" w:hAnsi="Arial" w:cs="Arial"/>
                <w:sz w:val="20"/>
                <w:szCs w:val="20"/>
              </w:rPr>
            </w:pPr>
            <w:r w:rsidRPr="00D94CCB">
              <w:rPr>
                <w:rFonts w:ascii="Arial" w:hAnsi="Arial" w:cs="Arial"/>
                <w:sz w:val="20"/>
                <w:szCs w:val="20"/>
              </w:rPr>
              <w:t>availability and maintenance of access routes for the purpose of safe evacuation.</w:t>
            </w:r>
          </w:p>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E57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provides a road layout which:</w:t>
            </w:r>
          </w:p>
          <w:p w:rsidR="00D94CCB" w:rsidRPr="00D94CCB" w:rsidRDefault="00D94CCB" w:rsidP="00505354">
            <w:pPr>
              <w:pStyle w:val="NormalWeb"/>
              <w:numPr>
                <w:ilvl w:val="0"/>
                <w:numId w:val="38"/>
              </w:numPr>
              <w:rPr>
                <w:rFonts w:ascii="Arial" w:hAnsi="Arial" w:cs="Arial"/>
                <w:sz w:val="20"/>
                <w:szCs w:val="20"/>
              </w:rPr>
            </w:pPr>
            <w:r w:rsidRPr="00D94CCB">
              <w:rPr>
                <w:rFonts w:ascii="Arial" w:hAnsi="Arial" w:cs="Arial"/>
                <w:sz w:val="20"/>
                <w:szCs w:val="20"/>
              </w:rPr>
              <w:t>includes a perimeter road that separating the new lots from hazardous vegetation on adjacent lots incorporating by:</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a cleared width of 20m;</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road gradients not exceeding 12.5%;</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pavement and surface treatment capable of being used by emergency vehicles;</w:t>
            </w:r>
          </w:p>
          <w:p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 xml:space="preserve">Turning areas for </w:t>
            </w:r>
            <w:proofErr w:type="spellStart"/>
            <w:r w:rsidRPr="00D94CCB">
              <w:rPr>
                <w:rFonts w:ascii="Arial" w:hAnsi="Arial" w:cs="Arial"/>
                <w:sz w:val="20"/>
                <w:szCs w:val="20"/>
              </w:rPr>
              <w:t>fire fighting</w:t>
            </w:r>
            <w:proofErr w:type="spellEnd"/>
            <w:r w:rsidRPr="00D94CCB">
              <w:rPr>
                <w:rFonts w:ascii="Arial" w:hAnsi="Arial" w:cs="Arial"/>
                <w:sz w:val="20"/>
                <w:szCs w:val="20"/>
              </w:rPr>
              <w:t xml:space="preserve"> appliances in accordance with Qld Fire and Emergency Services' Fire Hydrant and Vehicle Access Guidelines.</w:t>
            </w:r>
          </w:p>
          <w:p w:rsidR="00D94CCB" w:rsidRPr="00D94CCB" w:rsidRDefault="00D94CCB" w:rsidP="00505354">
            <w:pPr>
              <w:pStyle w:val="NormalWeb"/>
              <w:numPr>
                <w:ilvl w:val="0"/>
                <w:numId w:val="38"/>
              </w:numPr>
              <w:rPr>
                <w:rFonts w:ascii="Arial" w:hAnsi="Arial" w:cs="Arial"/>
                <w:sz w:val="20"/>
                <w:szCs w:val="20"/>
              </w:rPr>
            </w:pPr>
            <w:r w:rsidRPr="00D94CCB">
              <w:rPr>
                <w:rFonts w:ascii="Arial" w:hAnsi="Arial" w:cs="Arial"/>
                <w:sz w:val="20"/>
                <w:szCs w:val="20"/>
              </w:rPr>
              <w:t>Or if the above is not practicable, a fire maintenance trail separates the lots from hazardous vegetation on adjacent lots incorporating:</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a minimum cleared width of 6m and minimum formed width of 4m;</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gradient not exceeding 12.5%;</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cross slope not exceeding 10%;</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a formed width and erosion control devices to the standards specified in Planning scheme policy - Integrated design;</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lastRenderedPageBreak/>
              <w:t>a turning circle or turnaround area at the end of the trail to allow fire fighting vehicles to manoeuvre;</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passing bays and turning/reversing bays every 200m;</w:t>
            </w:r>
          </w:p>
          <w:p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 an access easement that is granted in favour of the Council and the Queensland Fire and Rescue Service or located on public land.</w:t>
            </w:r>
          </w:p>
          <w:p w:rsidR="00D94CCB" w:rsidRPr="00D94CCB" w:rsidRDefault="00D94CCB" w:rsidP="00505354">
            <w:pPr>
              <w:pStyle w:val="NormalWeb"/>
              <w:numPr>
                <w:ilvl w:val="0"/>
                <w:numId w:val="39"/>
              </w:numPr>
              <w:rPr>
                <w:rFonts w:ascii="Arial" w:hAnsi="Arial" w:cs="Arial"/>
                <w:sz w:val="20"/>
                <w:szCs w:val="20"/>
              </w:rPr>
            </w:pPr>
            <w:r w:rsidRPr="00D94CCB">
              <w:rPr>
                <w:rFonts w:ascii="Arial" w:hAnsi="Arial" w:cs="Arial"/>
                <w:sz w:val="20"/>
                <w:szCs w:val="20"/>
              </w:rPr>
              <w:t>excludes cul-de-sacs, except where a perimeter road with a cleared width of 20m isolates the lots from hazardous vegetation on adjacent lots; and</w:t>
            </w:r>
          </w:p>
          <w:p w:rsidR="00D94CCB" w:rsidRPr="00D94CCB" w:rsidRDefault="00D94CCB" w:rsidP="00505354">
            <w:pPr>
              <w:pStyle w:val="NormalWeb"/>
              <w:numPr>
                <w:ilvl w:val="0"/>
                <w:numId w:val="39"/>
              </w:numPr>
              <w:rPr>
                <w:rFonts w:ascii="Arial" w:hAnsi="Arial" w:cs="Arial"/>
                <w:sz w:val="20"/>
                <w:szCs w:val="20"/>
              </w:rPr>
            </w:pPr>
            <w:r w:rsidRPr="00D94CCB">
              <w:rPr>
                <w:rFonts w:ascii="Arial" w:hAnsi="Arial" w:cs="Arial"/>
                <w:sz w:val="20"/>
                <w:szCs w:val="20"/>
              </w:rPr>
              <w:t>excludes dead-end roads.</w:t>
            </w:r>
          </w:p>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Environmental areas (refer Overlay map - Environmental areas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p w:rsidR="00505354" w:rsidRPr="00D94CCB" w:rsidRDefault="00505354" w:rsidP="00FB0803">
                  <w:pPr>
                    <w:rPr>
                      <w:rFonts w:ascii="Arial" w:eastAsia="Times New Roman" w:hAnsi="Arial" w:cs="Arial"/>
                      <w:sz w:val="20"/>
                      <w:szCs w:val="20"/>
                    </w:rPr>
                  </w:pPr>
                  <w:r w:rsidRPr="00D94CCB">
                    <w:rPr>
                      <w:rFonts w:ascii="Arial" w:eastAsia="Times New Roman" w:hAnsi="Arial" w:cs="Arial"/>
                      <w:sz w:val="20"/>
                      <w:szCs w:val="20"/>
                    </w:rPr>
                    <w:br/>
                  </w:r>
                </w:p>
                <w:p w:rsidR="00505354" w:rsidRPr="00D94CCB" w:rsidRDefault="00505354" w:rsidP="00FB0803">
                  <w:pPr>
                    <w:pStyle w:val="NormalWeb"/>
                    <w:rPr>
                      <w:rFonts w:ascii="Arial" w:hAnsi="Arial" w:cs="Arial"/>
                      <w:sz w:val="20"/>
                      <w:szCs w:val="20"/>
                    </w:rPr>
                  </w:pPr>
                  <w:r w:rsidRPr="00D94CCB">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boundaries are located within 2m of High Value Areas.</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minimise the extent of encroachment into the MLES waterway buffer or a MLES wetland buffer;</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ensure quality and integrity of biodiversity and ecological values is not adversely impacted upon but are maintained and protected;</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incorporate native vegetation and habitat trees into the overall subdivision design, development layout, on-street amenity and landscaping where practicable;</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provide safe, unimpeded, convenient and ongoing wildlife movement;</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avoid creating fragmented and isolated patches of native vegetation;</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soil erosion and land degradation does not occur;</w:t>
            </w:r>
          </w:p>
          <w:p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quality of surface water is not adversely impacted upon by providing effective vegetated buffers to water bodies.</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AND</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ensures that no additional lots are created within a Value Offset Area.</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1020"/>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 xml:space="preserve">Extractive resources transport route </w:t>
            </w:r>
            <w:proofErr w:type="gramStart"/>
            <w:r w:rsidRPr="00D94CCB">
              <w:rPr>
                <w:rStyle w:val="Strong"/>
                <w:rFonts w:ascii="Arial" w:hAnsi="Arial" w:cs="Arial"/>
                <w:sz w:val="20"/>
                <w:szCs w:val="20"/>
              </w:rPr>
              <w:t>buffer(</w:t>
            </w:r>
            <w:proofErr w:type="gramEnd"/>
            <w:r w:rsidRPr="00D94CCB">
              <w:rPr>
                <w:rStyle w:val="Strong"/>
                <w:rFonts w:ascii="Arial" w:hAnsi="Arial" w:cs="Arial"/>
                <w:sz w:val="20"/>
                <w:szCs w:val="20"/>
              </w:rPr>
              <w:t>refer Overlay map - Extractive resources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 xml:space="preserve">Note - The identification of a development </w:t>
                  </w:r>
                  <w:proofErr w:type="gramStart"/>
                  <w:r w:rsidRPr="00D94CCB">
                    <w:rPr>
                      <w:rFonts w:ascii="Arial" w:hAnsi="Arial" w:cs="Arial"/>
                      <w:sz w:val="20"/>
                      <w:szCs w:val="20"/>
                    </w:rPr>
                    <w:t>footprint  will</w:t>
                  </w:r>
                  <w:proofErr w:type="gramEnd"/>
                  <w:r w:rsidRPr="00D94CCB">
                    <w:rPr>
                      <w:rFonts w:ascii="Arial" w:hAnsi="Arial" w:cs="Arial"/>
                      <w:sz w:val="20"/>
                      <w:szCs w:val="20"/>
                    </w:rPr>
                    <w:t xml:space="preserve">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to a new lot is not from an identified extractive industry transportation route, but to an alternative public road.</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 xml:space="preserve">Extractive resources separation </w:t>
            </w:r>
            <w:proofErr w:type="gramStart"/>
            <w:r w:rsidRPr="00D94CCB">
              <w:rPr>
                <w:rStyle w:val="Strong"/>
                <w:rFonts w:ascii="Arial" w:hAnsi="Arial" w:cs="Arial"/>
                <w:sz w:val="20"/>
                <w:szCs w:val="20"/>
              </w:rPr>
              <w:t>area(</w:t>
            </w:r>
            <w:proofErr w:type="gramEnd"/>
            <w:r w:rsidRPr="00D94CCB">
              <w:rPr>
                <w:rStyle w:val="Strong"/>
                <w:rFonts w:ascii="Arial" w:hAnsi="Arial" w:cs="Arial"/>
                <w:sz w:val="20"/>
                <w:szCs w:val="20"/>
              </w:rPr>
              <w:t>refer Overlay map - Extractive resources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Lots provide a development footprint outside of the separation area.</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rsidTr="00D94CCB">
              <w:trPr>
                <w:tblCellSpacing w:w="15" w:type="dxa"/>
              </w:trPr>
              <w:tc>
                <w:tcPr>
                  <w:tcW w:w="11510"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do not:</w:t>
            </w:r>
          </w:p>
          <w:p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reduce public access to a heritage place, building, item or object;</w:t>
            </w:r>
          </w:p>
          <w:p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create the potential to adversely affect views to and from the heritage place, building, item or object;</w:t>
            </w:r>
          </w:p>
          <w:p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retains significant trees and incorporates them into the subdivision design, development layout and provision of infrastructure.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rsidTr="00D94CCB">
              <w:trPr>
                <w:tblCellSpacing w:w="15" w:type="dxa"/>
              </w:trPr>
              <w:tc>
                <w:tcPr>
                  <w:tcW w:w="11510"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Bulk water supply infrastructure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Reconfiguration of lots does not compromise or adversely impact upon the efficiency and integrity of Bulk water supply infrastructure.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of lots ensures that access requirements of Bulk water supply infrastructure are maintained.</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E66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Bulk water supply infrastructure traversing or within private land are protected by easement in favour of the service provider for access and maintenance.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within a Bulk water supply infrastructure buffer:</w:t>
            </w:r>
          </w:p>
          <w:p w:rsidR="00D94CCB" w:rsidRPr="00D94CCB" w:rsidRDefault="00D94CCB" w:rsidP="00505354">
            <w:pPr>
              <w:numPr>
                <w:ilvl w:val="0"/>
                <w:numId w:val="4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is located, designed and constructed to protect the integrity of the water supply pipeline;</w:t>
            </w:r>
          </w:p>
          <w:p w:rsidR="00D94CCB" w:rsidRPr="00D94CCB" w:rsidRDefault="00D94CCB" w:rsidP="00505354">
            <w:pPr>
              <w:numPr>
                <w:ilvl w:val="0"/>
                <w:numId w:val="4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maintains adequate access for any required maintenance or upgrading work to the water supply pipeline.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E67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the Bulk water supply infrastructure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3"/>
              </w:numPr>
              <w:rPr>
                <w:rFonts w:ascii="Arial" w:hAnsi="Arial" w:cs="Arial"/>
                <w:sz w:val="20"/>
                <w:szCs w:val="20"/>
              </w:rPr>
            </w:pPr>
            <w:r w:rsidRPr="00D94CCB">
              <w:rPr>
                <w:rFonts w:ascii="Arial" w:hAnsi="Arial" w:cs="Arial"/>
                <w:sz w:val="20"/>
                <w:szCs w:val="20"/>
              </w:rPr>
              <w:t>do not result in the creation of additional building development opportunities within the buffer;</w:t>
            </w:r>
          </w:p>
          <w:p w:rsidR="00D94CCB" w:rsidRPr="00D94CCB" w:rsidRDefault="00D94CCB" w:rsidP="00505354">
            <w:pPr>
              <w:pStyle w:val="NormalWeb"/>
              <w:numPr>
                <w:ilvl w:val="0"/>
                <w:numId w:val="43"/>
              </w:numPr>
              <w:rPr>
                <w:rFonts w:ascii="Arial" w:hAnsi="Arial" w:cs="Arial"/>
                <w:sz w:val="20"/>
                <w:szCs w:val="20"/>
              </w:rPr>
            </w:pPr>
            <w:r w:rsidRPr="00D94CCB">
              <w:rPr>
                <w:rFonts w:ascii="Arial" w:hAnsi="Arial" w:cs="Arial"/>
                <w:sz w:val="20"/>
                <w:szCs w:val="20"/>
              </w:rPr>
              <w:t>results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High voltage electricity line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creation of lots does not compromise or adversely impact upon the efficiency and integrity of supply.</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lots are created within the buffer area.</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The creation of new lots does not compromise or adversely impact upon access to the supply line for any required maintenance or upgrading work.</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lots are created within the buffer area.</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1860"/>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PO72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4"/>
              </w:numPr>
              <w:rPr>
                <w:rFonts w:ascii="Arial" w:hAnsi="Arial" w:cs="Arial"/>
                <w:sz w:val="20"/>
                <w:szCs w:val="20"/>
              </w:rPr>
            </w:pPr>
            <w:r w:rsidRPr="00D94CCB">
              <w:rPr>
                <w:rFonts w:ascii="Arial" w:hAnsi="Arial" w:cs="Arial"/>
                <w:sz w:val="20"/>
                <w:szCs w:val="20"/>
              </w:rPr>
              <w:t>do not result in the creation of additional building development within the buffer;</w:t>
            </w:r>
          </w:p>
          <w:p w:rsidR="00D94CCB" w:rsidRPr="00D94CCB" w:rsidRDefault="00D94CCB" w:rsidP="00505354">
            <w:pPr>
              <w:pStyle w:val="NormalWeb"/>
              <w:numPr>
                <w:ilvl w:val="0"/>
                <w:numId w:val="44"/>
              </w:numPr>
              <w:rPr>
                <w:rFonts w:ascii="Arial" w:hAnsi="Arial" w:cs="Arial"/>
                <w:sz w:val="20"/>
                <w:szCs w:val="20"/>
              </w:rPr>
            </w:pPr>
            <w:r w:rsidRPr="00D94CCB">
              <w:rPr>
                <w:rFonts w:ascii="Arial" w:hAnsi="Arial" w:cs="Arial"/>
                <w:sz w:val="20"/>
                <w:szCs w:val="20"/>
              </w:rPr>
              <w:t>result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Landfill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5"/>
              </w:numPr>
              <w:rPr>
                <w:rFonts w:ascii="Arial" w:hAnsi="Arial" w:cs="Arial"/>
                <w:sz w:val="20"/>
                <w:szCs w:val="20"/>
              </w:rPr>
            </w:pPr>
            <w:r w:rsidRPr="00D94CCB">
              <w:rPr>
                <w:rFonts w:ascii="Arial" w:hAnsi="Arial" w:cs="Arial"/>
                <w:sz w:val="20"/>
                <w:szCs w:val="20"/>
              </w:rPr>
              <w:t>do not result in the creation of additional building development within the buffer;</w:t>
            </w:r>
          </w:p>
          <w:p w:rsidR="00D94CCB" w:rsidRPr="00D94CCB" w:rsidRDefault="00D94CCB" w:rsidP="00505354">
            <w:pPr>
              <w:pStyle w:val="NormalWeb"/>
              <w:numPr>
                <w:ilvl w:val="0"/>
                <w:numId w:val="45"/>
              </w:numPr>
              <w:rPr>
                <w:rFonts w:ascii="Arial" w:hAnsi="Arial" w:cs="Arial"/>
                <w:sz w:val="20"/>
                <w:szCs w:val="20"/>
              </w:rPr>
            </w:pPr>
            <w:r w:rsidRPr="00D94CCB">
              <w:rPr>
                <w:rFonts w:ascii="Arial" w:hAnsi="Arial" w:cs="Arial"/>
                <w:sz w:val="20"/>
                <w:szCs w:val="20"/>
              </w:rPr>
              <w:t>results in the reduction of building development opportunities within the buffer.</w:t>
            </w:r>
          </w:p>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rPr>
                <w:rFonts w:ascii="Arial" w:eastAsia="Times New Roman" w:hAnsi="Arial" w:cs="Arial"/>
                <w:sz w:val="20"/>
                <w:szCs w:val="20"/>
              </w:rPr>
            </w:pPr>
            <w:r w:rsidRPr="00D94CCB">
              <w:rPr>
                <w:rStyle w:val="Strong"/>
                <w:rFonts w:ascii="Arial" w:eastAsia="Times New Roman" w:hAnsi="Arial" w:cs="Arial"/>
                <w:sz w:val="20"/>
                <w:szCs w:val="20"/>
              </w:rPr>
              <w:t>Wastewater treatment site buffer</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Style w:val="Strong"/>
                <w:rFonts w:ascii="Arial" w:eastAsia="Times New Roman"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rPr>
                <w:rStyle w:val="Strong"/>
                <w:rFonts w:ascii="Arial" w:eastAsia="Times New Roman"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rsidR="00D94CCB" w:rsidRPr="00D94CCB" w:rsidRDefault="00D94CCB" w:rsidP="00505354">
            <w:pPr>
              <w:pStyle w:val="NormalWeb"/>
              <w:numPr>
                <w:ilvl w:val="0"/>
                <w:numId w:val="46"/>
              </w:numPr>
              <w:rPr>
                <w:rFonts w:ascii="Arial" w:hAnsi="Arial" w:cs="Arial"/>
                <w:sz w:val="20"/>
                <w:szCs w:val="20"/>
              </w:rPr>
            </w:pPr>
            <w:r w:rsidRPr="00D94CCB">
              <w:rPr>
                <w:rFonts w:ascii="Arial" w:hAnsi="Arial" w:cs="Arial"/>
                <w:sz w:val="20"/>
                <w:szCs w:val="20"/>
              </w:rPr>
              <w:t>do not result in the creation of additional building development opportunities within the buffer;</w:t>
            </w:r>
          </w:p>
          <w:p w:rsidR="00D94CCB" w:rsidRPr="00D94CCB" w:rsidRDefault="00D94CCB" w:rsidP="00505354">
            <w:pPr>
              <w:pStyle w:val="NormalWeb"/>
              <w:numPr>
                <w:ilvl w:val="0"/>
                <w:numId w:val="46"/>
              </w:numPr>
              <w:rPr>
                <w:rFonts w:ascii="Arial" w:hAnsi="Arial" w:cs="Arial"/>
                <w:sz w:val="20"/>
                <w:szCs w:val="20"/>
              </w:rPr>
            </w:pPr>
            <w:r w:rsidRPr="00D94CCB">
              <w:rPr>
                <w:rFonts w:ascii="Arial" w:hAnsi="Arial" w:cs="Arial"/>
                <w:sz w:val="20"/>
                <w:szCs w:val="20"/>
              </w:rPr>
              <w:t>results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lastRenderedPageBreak/>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-The preparation of a site-specific geotechnical assessment report in accordance with Planning scheme policy – Landslide hazard can assist in demonstrating compliance with the following performance criteria. The identification of a development footprint on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PO77</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ensure that:</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 xml:space="preserve">future building location </w:t>
            </w:r>
            <w:proofErr w:type="gramStart"/>
            <w:r w:rsidRPr="00D94CCB">
              <w:rPr>
                <w:rFonts w:ascii="Arial" w:hAnsi="Arial" w:cs="Arial"/>
                <w:sz w:val="20"/>
                <w:szCs w:val="20"/>
              </w:rPr>
              <w:t>is located in</w:t>
            </w:r>
            <w:proofErr w:type="gramEnd"/>
            <w:r w:rsidRPr="00D94CCB">
              <w:rPr>
                <w:rFonts w:ascii="Arial" w:hAnsi="Arial" w:cs="Arial"/>
                <w:sz w:val="20"/>
                <w:szCs w:val="20"/>
              </w:rPr>
              <w:t xml:space="preserve"> part of a site not subject to landslide risk;</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the need for excessive on-site works, change to finished landform, or excessive vegetation clearance to provide for future development is avoided;</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there is minimal disturbance to natural drainage patterns; and</w:t>
            </w:r>
          </w:p>
          <w:p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earthworks do not:</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cut and filling having a height greater than 1.5m;</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any retaining wall having a height greater than 1.5m;</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earthworks exceeding 50m</w:t>
            </w:r>
            <w:r w:rsidRPr="00D94CCB">
              <w:rPr>
                <w:rFonts w:ascii="Arial" w:hAnsi="Arial" w:cs="Arial"/>
                <w:sz w:val="20"/>
                <w:szCs w:val="20"/>
                <w:vertAlign w:val="superscript"/>
              </w:rPr>
              <w:t>3</w:t>
            </w:r>
            <w:r w:rsidRPr="00D94CCB">
              <w:rPr>
                <w:rFonts w:ascii="Arial" w:hAnsi="Arial" w:cs="Arial"/>
                <w:sz w:val="20"/>
                <w:szCs w:val="20"/>
              </w:rPr>
              <w:t>;</w:t>
            </w:r>
          </w:p>
          <w:p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redirect or alter the existing flows of surface or groundwater.</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E77.1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Lots provides a development </w:t>
            </w:r>
            <w:proofErr w:type="gramStart"/>
            <w:r w:rsidRPr="00D94CCB">
              <w:rPr>
                <w:rFonts w:ascii="Arial" w:hAnsi="Arial" w:cs="Arial"/>
                <w:sz w:val="20"/>
                <w:szCs w:val="20"/>
              </w:rPr>
              <w:t>footprint  free</w:t>
            </w:r>
            <w:proofErr w:type="gramEnd"/>
            <w:r w:rsidRPr="00D94CCB">
              <w:rPr>
                <w:rFonts w:ascii="Arial" w:hAnsi="Arial" w:cs="Arial"/>
                <w:sz w:val="20"/>
                <w:szCs w:val="20"/>
              </w:rPr>
              <w:t xml:space="preserve"> from risk of landslide.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E77.2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footprints and driveways for lots does not exceed 15% slope.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PO78</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w:t>
            </w:r>
          </w:p>
          <w:p w:rsidR="00D94CCB" w:rsidRPr="00D94CCB" w:rsidRDefault="00D94CCB" w:rsidP="00505354">
            <w:pPr>
              <w:numPr>
                <w:ilvl w:val="0"/>
                <w:numId w:val="4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minimises the risk to persons from overland flow;</w:t>
            </w:r>
          </w:p>
          <w:p w:rsidR="00D94CCB" w:rsidRPr="00D94CCB" w:rsidRDefault="00D94CCB" w:rsidP="00505354">
            <w:pPr>
              <w:numPr>
                <w:ilvl w:val="0"/>
                <w:numId w:val="4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does not increase the potential for damage from overland flow either on the premises or on a surrounding property, public land, road or infrastructure.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w:t>
            </w:r>
          </w:p>
          <w:p w:rsidR="00D94CCB" w:rsidRPr="00D94CCB" w:rsidRDefault="00D94CCB" w:rsidP="00505354">
            <w:pPr>
              <w:pStyle w:val="NormalWeb"/>
              <w:numPr>
                <w:ilvl w:val="0"/>
                <w:numId w:val="49"/>
              </w:numPr>
              <w:rPr>
                <w:rFonts w:ascii="Arial" w:hAnsi="Arial" w:cs="Arial"/>
                <w:sz w:val="20"/>
                <w:szCs w:val="20"/>
              </w:rPr>
            </w:pPr>
            <w:r w:rsidRPr="00D94CCB">
              <w:rPr>
                <w:rFonts w:ascii="Arial" w:hAnsi="Arial" w:cs="Arial"/>
                <w:sz w:val="20"/>
                <w:szCs w:val="20"/>
              </w:rPr>
              <w:t>maintains the conveyance of overland flow predominantly unimpeded through the premises for any event up to and including the 1% AEP for the fully developed upstream catchment;</w:t>
            </w:r>
          </w:p>
          <w:p w:rsidR="00D94CCB" w:rsidRPr="00D94CCB" w:rsidRDefault="00D94CCB" w:rsidP="00505354">
            <w:pPr>
              <w:pStyle w:val="NormalWeb"/>
              <w:numPr>
                <w:ilvl w:val="0"/>
                <w:numId w:val="49"/>
              </w:numPr>
              <w:rPr>
                <w:rFonts w:ascii="Arial" w:hAnsi="Arial" w:cs="Arial"/>
                <w:sz w:val="20"/>
                <w:szCs w:val="20"/>
              </w:rPr>
            </w:pPr>
            <w:r w:rsidRPr="00D94CCB">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D94CCB" w:rsidTr="00D94CCB">
              <w:trPr>
                <w:tblCellSpacing w:w="15" w:type="dxa"/>
              </w:trPr>
              <w:tc>
                <w:tcPr>
                  <w:tcW w:w="7398" w:type="dxa"/>
                  <w:vAlign w:val="center"/>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Reporting to be prepared in accordance with Planning scheme policy – Flood hazard, Coastal hazard and Overland flow.</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E79</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any buildings are not located in an Overland flow path area.</w:t>
            </w:r>
          </w:p>
          <w:tbl>
            <w:tblPr>
              <w:tblW w:w="51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72"/>
            </w:tblGrid>
            <w:tr w:rsidR="00D94CCB" w:rsidRPr="00606EA1" w:rsidTr="00606EA1">
              <w:trPr>
                <w:tblCellSpacing w:w="15" w:type="dxa"/>
              </w:trPr>
              <w:tc>
                <w:tcPr>
                  <w:tcW w:w="5112"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PO80</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does not:</w:t>
            </w:r>
          </w:p>
          <w:p w:rsidR="00D94CCB" w:rsidRPr="00D94CCB" w:rsidRDefault="00D94CCB" w:rsidP="00505354">
            <w:pPr>
              <w:numPr>
                <w:ilvl w:val="0"/>
                <w:numId w:val="5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directly, indirectly or cumulatively cause any increase in overland flow velocity or level;</w:t>
            </w:r>
          </w:p>
          <w:p w:rsidR="00D94CCB" w:rsidRPr="00D94CCB" w:rsidRDefault="00D94CCB" w:rsidP="00505354">
            <w:pPr>
              <w:numPr>
                <w:ilvl w:val="0"/>
                <w:numId w:val="5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increase the potential for flood damage from overland flow either on the premises or on a surrounding property, public land, road or infrastructure.</w:t>
            </w:r>
          </w:p>
          <w:tbl>
            <w:tblPr>
              <w:tblW w:w="61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57"/>
            </w:tblGrid>
            <w:tr w:rsidR="00D94CCB" w:rsidRPr="00606EA1" w:rsidTr="00606EA1">
              <w:trPr>
                <w:tblCellSpacing w:w="15" w:type="dxa"/>
              </w:trPr>
              <w:tc>
                <w:tcPr>
                  <w:tcW w:w="6097"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Open concrete drains greater than 1m in width are not an acceptable outcome, nor are any other design options that may increase scouring.</w:t>
                  </w:r>
                </w:p>
              </w:tc>
            </w:tr>
            <w:tr w:rsidR="00D94CCB" w:rsidRPr="00606EA1" w:rsidTr="00606EA1">
              <w:trPr>
                <w:tblCellSpacing w:w="15" w:type="dxa"/>
              </w:trPr>
              <w:tc>
                <w:tcPr>
                  <w:tcW w:w="6097"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606EA1">
                    <w:rPr>
                      <w:rFonts w:ascii="Arial" w:eastAsia="Times New Roman" w:hAnsi="Arial" w:cs="Arial"/>
                      <w:sz w:val="18"/>
                      <w:szCs w:val="20"/>
                    </w:rPr>
                    <w:t>upstream, downstream or surrounding premises</w:t>
                  </w:r>
                  <w:proofErr w:type="gramEnd"/>
                  <w:r w:rsidRPr="00606EA1">
                    <w:rPr>
                      <w:rFonts w:ascii="Arial" w:eastAsia="Times New Roman" w:hAnsi="Arial" w:cs="Arial"/>
                      <w:sz w:val="18"/>
                      <w:szCs w:val="20"/>
                    </w:rPr>
                    <w:t>.</w:t>
                  </w:r>
                </w:p>
              </w:tc>
            </w:tr>
          </w:tbl>
          <w:p w:rsidR="00D94CCB" w:rsidRPr="00606EA1" w:rsidRDefault="00D94CCB" w:rsidP="00FB080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606EA1" w:rsidTr="00D94CCB">
              <w:trPr>
                <w:tblCellSpacing w:w="15" w:type="dxa"/>
              </w:trPr>
              <w:tc>
                <w:tcPr>
                  <w:tcW w:w="7398"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Reporting to be prepared in accordance with Planning scheme policy – Flood hazard, Coastal hazard and Overland flow</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rHeight w:val="1530"/>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overland flow is not conveyed from a road or public open space onto a private lot, unless the development is in a Rural zone.</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val="restar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D94CCB">
              <w:rPr>
                <w:rFonts w:ascii="Arial" w:hAnsi="Arial" w:cs="Arial"/>
                <w:sz w:val="20"/>
                <w:szCs w:val="20"/>
              </w:rPr>
              <w:t>are able to</w:t>
            </w:r>
            <w:proofErr w:type="gramEnd"/>
            <w:r w:rsidRPr="00D94CCB">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D94CCB" w:rsidTr="00D94CCB">
              <w:trPr>
                <w:tblCellSpacing w:w="15" w:type="dxa"/>
              </w:trPr>
              <w:tc>
                <w:tcPr>
                  <w:tcW w:w="7398"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606EA1">
                    <w:rPr>
                      <w:rFonts w:ascii="Arial" w:eastAsia="Times New Roman" w:hAnsi="Arial" w:cs="Arial"/>
                      <w:sz w:val="18"/>
                      <w:szCs w:val="20"/>
                    </w:rPr>
                    <w:t>upstream, downstream or surrounding premises</w:t>
                  </w:r>
                  <w:proofErr w:type="gramEnd"/>
                  <w:r w:rsidRPr="00606EA1">
                    <w:rPr>
                      <w:rFonts w:ascii="Arial" w:eastAsia="Times New Roman" w:hAnsi="Arial" w:cs="Arial"/>
                      <w:sz w:val="18"/>
                      <w:szCs w:val="20"/>
                    </w:rPr>
                    <w:t>.</w:t>
                  </w:r>
                </w:p>
              </w:tc>
            </w:tr>
            <w:tr w:rsidR="00D94CCB" w:rsidRPr="00D94CCB" w:rsidTr="00D94CCB">
              <w:trPr>
                <w:tblCellSpacing w:w="15" w:type="dxa"/>
              </w:trPr>
              <w:tc>
                <w:tcPr>
                  <w:tcW w:w="7398" w:type="dxa"/>
                  <w:vAlign w:val="center"/>
                  <w:hideMark/>
                </w:tcPr>
                <w:p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Reporting to be prepared in accordance with Planning scheme policy – Flood hazard, Coastal hazard and Overland flow</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E82.1</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roof and allotment drainage infrastructure is provided in accordance with the following relevant level as identified in QUDM:</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Urban area – Level III;</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Rural area – N/A;</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Industrial area – Level V;</w:t>
            </w:r>
          </w:p>
          <w:p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Commercial area – Level V.</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vMerge/>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E82.2</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all Council and allotment drainage infrastructure is designed to accommodate any event up to and including the 1% AEP for the fully developed upstream catchment.</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PO83</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protects the conveyance of overland flow such that easements for drainage purposes are provided over:</w:t>
            </w:r>
          </w:p>
          <w:p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t>a stormwater pipe if the nominal pipe diameter exceeds 300mm;</w:t>
            </w:r>
          </w:p>
          <w:p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t>an overland flow path where it crosses more than one property; and</w:t>
            </w:r>
          </w:p>
          <w:p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t>inter-allotment drainage infrastructure.</w:t>
            </w:r>
          </w:p>
          <w:tbl>
            <w:tblPr>
              <w:tblW w:w="63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04"/>
            </w:tblGrid>
            <w:tr w:rsidR="00D94CCB" w:rsidRPr="00D94CCB" w:rsidTr="00D94CCB">
              <w:trPr>
                <w:tblCellSpacing w:w="15" w:type="dxa"/>
              </w:trPr>
              <w:tc>
                <w:tcPr>
                  <w:tcW w:w="6244" w:type="dxa"/>
                  <w:vAlign w:val="center"/>
                  <w:hideMark/>
                </w:tcPr>
                <w:p w:rsidR="00D94CCB" w:rsidRPr="00D94CCB" w:rsidRDefault="00D94CCB" w:rsidP="00FB0803">
                  <w:pPr>
                    <w:rPr>
                      <w:rFonts w:ascii="Arial" w:eastAsia="Times New Roman" w:hAnsi="Arial" w:cs="Arial"/>
                      <w:sz w:val="20"/>
                      <w:szCs w:val="20"/>
                    </w:rPr>
                  </w:pPr>
                  <w:r w:rsidRPr="00606EA1">
                    <w:rPr>
                      <w:rFonts w:ascii="Arial" w:eastAsia="Times New Roman" w:hAnsi="Arial" w:cs="Arial"/>
                      <w:sz w:val="18"/>
                      <w:szCs w:val="20"/>
                    </w:rPr>
                    <w:t>Note - Refer to Planning scheme policy - Integrated design for details and examples.</w:t>
                  </w:r>
                </w:p>
              </w:tc>
            </w:tr>
            <w:tr w:rsidR="00D94CCB" w:rsidRPr="00D94CCB" w:rsidTr="00D94CCB">
              <w:trPr>
                <w:tblCellSpacing w:w="15" w:type="dxa"/>
              </w:trPr>
              <w:tc>
                <w:tcPr>
                  <w:tcW w:w="6244" w:type="dxa"/>
                  <w:vAlign w:val="center"/>
                  <w:hideMark/>
                </w:tcPr>
                <w:p w:rsidR="00D94CCB" w:rsidRPr="00D94CCB" w:rsidRDefault="00D94CCB" w:rsidP="00FB0803">
                  <w:pPr>
                    <w:rPr>
                      <w:rFonts w:ascii="Arial" w:eastAsia="Times New Roman" w:hAnsi="Arial" w:cs="Arial"/>
                      <w:sz w:val="20"/>
                      <w:szCs w:val="20"/>
                    </w:rPr>
                  </w:pPr>
                  <w:r w:rsidRPr="00606EA1">
                    <w:rPr>
                      <w:rFonts w:ascii="Arial" w:eastAsia="Times New Roman" w:hAnsi="Arial" w:cs="Arial"/>
                      <w:sz w:val="18"/>
                      <w:szCs w:val="20"/>
                    </w:rPr>
                    <w:lastRenderedPageBreak/>
                    <w:t>Note - Stormwater drainage easement dimensions are provided in accordance with Section 3.8.5 of QUDM.</w:t>
                  </w:r>
                </w:p>
              </w:tc>
            </w:tr>
          </w:tbl>
          <w:p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r w:rsidR="00505354" w:rsidRPr="00D94CCB"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vAlign w:val="center"/>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Additional criteria for development for a Park</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for a Park</w:t>
            </w:r>
            <w:r w:rsidRPr="00D94CCB">
              <w:rPr>
                <w:rFonts w:ascii="Arial" w:hAnsi="Arial" w:cs="Arial"/>
                <w:sz w:val="20"/>
                <w:szCs w:val="20"/>
                <w:vertAlign w:val="superscript"/>
              </w:rPr>
              <w:t>(</w:t>
            </w:r>
            <w:hyperlink r:id="rId4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ensures that the design and layout responds to the nature of the overland flow affecting the premises such that:</w:t>
            </w:r>
          </w:p>
          <w:p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 xml:space="preserve">public benefit and enjoyment </w:t>
            </w:r>
            <w:proofErr w:type="gramStart"/>
            <w:r w:rsidRPr="00D94CCB">
              <w:rPr>
                <w:rFonts w:ascii="Arial" w:hAnsi="Arial" w:cs="Arial"/>
                <w:sz w:val="20"/>
                <w:szCs w:val="20"/>
              </w:rPr>
              <w:t>is</w:t>
            </w:r>
            <w:proofErr w:type="gramEnd"/>
            <w:r w:rsidRPr="00D94CCB">
              <w:rPr>
                <w:rFonts w:ascii="Arial" w:hAnsi="Arial" w:cs="Arial"/>
                <w:sz w:val="20"/>
                <w:szCs w:val="20"/>
              </w:rPr>
              <w:t xml:space="preserve"> maximised;</w:t>
            </w:r>
          </w:p>
          <w:p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impacts on the asset life and integrity of park structures is minimised;</w:t>
            </w:r>
          </w:p>
          <w:p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maintenance and replacement costs are minimised.</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E84</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for a Park</w:t>
            </w:r>
            <w:r w:rsidRPr="00D94CCB">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ensures works are provided in accordance with the requirements set out in Appendix B of the Planning scheme policy - Integrated Design.</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34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rsidTr="00D94CCB">
              <w:trPr>
                <w:tblCellSpacing w:w="15" w:type="dxa"/>
              </w:trPr>
              <w:tc>
                <w:tcPr>
                  <w:tcW w:w="14928" w:type="dxa"/>
                  <w:vAlign w:val="center"/>
                  <w:hideMark/>
                </w:tcPr>
                <w:p w:rsidR="00505354" w:rsidRPr="00D94CCB" w:rsidRDefault="00505354" w:rsidP="00FB0803">
                  <w:pPr>
                    <w:rPr>
                      <w:rFonts w:ascii="Arial" w:eastAsia="Times New Roman" w:hAnsi="Arial" w:cs="Arial"/>
                      <w:sz w:val="20"/>
                      <w:szCs w:val="20"/>
                    </w:rPr>
                  </w:pPr>
                  <w:r w:rsidRPr="00D94CCB">
                    <w:rPr>
                      <w:rFonts w:ascii="Arial" w:eastAsia="Times New Roman" w:hAnsi="Arial" w:cs="Arial"/>
                      <w:sz w:val="20"/>
                      <w:szCs w:val="20"/>
                    </w:rPr>
                    <w:t>Note - W1, W2 and W3 waterway and drainage lines, and wetlands are mapped on Schedule 2, Section 2.5 Overlay Maps – Riparian and wetland setbacks.</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minimise the extent of encroachment into the riparian and wetland setback;</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ensure the protection of wildlife corridors and connectivity;</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reduce the impact on fauna habitats;</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minimise edge effects;</w:t>
            </w:r>
          </w:p>
          <w:p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ensure an appropriate extent of public access to waterways and wetlands.</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E85</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ensures that:</w:t>
            </w:r>
          </w:p>
          <w:p w:rsidR="00D94CCB" w:rsidRPr="00D94CCB" w:rsidRDefault="00D94CCB" w:rsidP="00505354">
            <w:pPr>
              <w:pStyle w:val="NormalWeb"/>
              <w:numPr>
                <w:ilvl w:val="0"/>
                <w:numId w:val="55"/>
              </w:numPr>
              <w:rPr>
                <w:rFonts w:ascii="Arial" w:hAnsi="Arial" w:cs="Arial"/>
                <w:sz w:val="20"/>
                <w:szCs w:val="20"/>
              </w:rPr>
            </w:pPr>
            <w:r w:rsidRPr="00D94CCB">
              <w:rPr>
                <w:rFonts w:ascii="Arial" w:hAnsi="Arial" w:cs="Arial"/>
                <w:sz w:val="20"/>
                <w:szCs w:val="20"/>
              </w:rPr>
              <w:t>no new lots are created within a riparian and wetland setback;</w:t>
            </w:r>
          </w:p>
          <w:p w:rsidR="00D94CCB" w:rsidRPr="00D94CCB" w:rsidRDefault="00D94CCB" w:rsidP="00505354">
            <w:pPr>
              <w:pStyle w:val="NormalWeb"/>
              <w:numPr>
                <w:ilvl w:val="0"/>
                <w:numId w:val="55"/>
              </w:numPr>
              <w:rPr>
                <w:rFonts w:ascii="Arial" w:hAnsi="Arial" w:cs="Arial"/>
                <w:sz w:val="20"/>
                <w:szCs w:val="20"/>
              </w:rPr>
            </w:pPr>
            <w:r w:rsidRPr="00D94CCB">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4"/>
            </w:tblGrid>
            <w:tr w:rsidR="00D94CCB" w:rsidRPr="00D94CCB" w:rsidTr="00D94CCB">
              <w:trPr>
                <w:tblCellSpacing w:w="15" w:type="dxa"/>
              </w:trPr>
              <w:tc>
                <w:tcPr>
                  <w:tcW w:w="7350" w:type="dxa"/>
                  <w:hideMark/>
                </w:tcPr>
                <w:p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Riparian and wetlands are mapped on Schedule 2, Section 2.5 Overlay Maps – Riparian and wetland setbacks.</w:t>
                  </w:r>
                </w:p>
              </w:tc>
            </w:tr>
          </w:tbl>
          <w:p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Style w:val="Strong"/>
                <w:rFonts w:ascii="Arial" w:hAnsi="Arial" w:cs="Arial"/>
                <w:sz w:val="20"/>
                <w:szCs w:val="20"/>
              </w:rPr>
            </w:pPr>
          </w:p>
        </w:tc>
      </w:tr>
      <w:tr w:rsidR="00505354" w:rsidRPr="00D94CCB" w:rsidTr="00505354">
        <w:trPr>
          <w:trHeight w:val="97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Scenic amenity (refer Overlay map - Scenic amenity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rsidTr="00D94CCB">
              <w:trPr>
                <w:tblCellSpacing w:w="15" w:type="dxa"/>
              </w:trPr>
              <w:tc>
                <w:tcPr>
                  <w:tcW w:w="11510" w:type="dxa"/>
                  <w:vAlign w:val="center"/>
                  <w:hideMark/>
                </w:tcPr>
                <w:p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rsidR="00505354" w:rsidRPr="00D94CCB" w:rsidRDefault="00505354" w:rsidP="00FB0803">
            <w:pPr>
              <w:pStyle w:val="NormalWeb"/>
              <w:rPr>
                <w:rStyle w:val="Strong"/>
                <w:rFonts w:ascii="Arial" w:hAnsi="Arial" w:cs="Arial"/>
                <w:sz w:val="20"/>
                <w:szCs w:val="20"/>
              </w:rPr>
            </w:pPr>
          </w:p>
        </w:tc>
      </w:tr>
      <w:tr w:rsidR="00505354" w:rsidRPr="00D94CCB"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PO86</w:t>
            </w:r>
          </w:p>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Lots are sited, designed and oriented to:</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maximise the retention of existing trees and land cover including the preservation of ridgeline vegetation and coastal trees;</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maximise the retention of highly natural and vegetated areas and natural landforms by minimising the use of cut and fill;</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ensure that buildings and structures are not located on a hill top or ridgeline;</w:t>
            </w:r>
          </w:p>
          <w:p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ensure that roads, driveways and accessways go across land contours, and do not cut straight up slopes and follow natural contours, not resulting in batters or retaining walls being greater than 1.5m in height.</w:t>
            </w:r>
          </w:p>
        </w:tc>
        <w:tc>
          <w:tcPr>
            <w:tcW w:w="1701" w:type="pct"/>
            <w:tcBorders>
              <w:top w:val="outset" w:sz="6" w:space="0" w:color="auto"/>
              <w:left w:val="outset" w:sz="6" w:space="0" w:color="auto"/>
              <w:bottom w:val="outset" w:sz="6" w:space="0" w:color="auto"/>
              <w:right w:val="outset" w:sz="6" w:space="0" w:color="auto"/>
            </w:tcBorders>
            <w:hideMark/>
          </w:tcPr>
          <w:p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rsidR="00D94CCB" w:rsidRPr="00D94CCB" w:rsidRDefault="00D94CCB" w:rsidP="00FB0803">
            <w:pPr>
              <w:pStyle w:val="NormalWeb"/>
              <w:rPr>
                <w:rFonts w:ascii="Arial" w:hAnsi="Arial" w:cs="Arial"/>
                <w:sz w:val="20"/>
                <w:szCs w:val="20"/>
              </w:rPr>
            </w:pPr>
          </w:p>
        </w:tc>
      </w:tr>
    </w:tbl>
    <w:p w:rsidR="00A20125" w:rsidRDefault="00A20125" w:rsidP="00A20125">
      <w:pPr>
        <w:pStyle w:val="NormalWeb"/>
        <w:jc w:val="center"/>
        <w:rPr>
          <w:rStyle w:val="Strong"/>
          <w:rFonts w:ascii="Arial" w:hAnsi="Arial" w:cs="Arial"/>
          <w:sz w:val="20"/>
          <w:szCs w:val="20"/>
        </w:rPr>
      </w:pPr>
      <w:r w:rsidRPr="00D94CCB">
        <w:rPr>
          <w:rStyle w:val="Strong"/>
          <w:rFonts w:ascii="Arial" w:hAnsi="Arial" w:cs="Arial"/>
          <w:sz w:val="20"/>
          <w:szCs w:val="20"/>
        </w:rPr>
        <w:t>Movement network figures</w:t>
      </w:r>
    </w:p>
    <w:p w:rsidR="00606EA1" w:rsidRDefault="00606EA1" w:rsidP="00A20125">
      <w:pPr>
        <w:pStyle w:val="NormalWeb"/>
        <w:jc w:val="center"/>
        <w:rPr>
          <w:rStyle w:val="Strong"/>
          <w:rFonts w:ascii="Arial" w:hAnsi="Arial" w:cs="Arial"/>
          <w:sz w:val="20"/>
          <w:szCs w:val="20"/>
        </w:rPr>
      </w:pPr>
      <w:r w:rsidRPr="00606EA1">
        <w:rPr>
          <w:rFonts w:ascii="Arial" w:hAnsi="Arial" w:cs="Arial"/>
          <w:b/>
          <w:bCs/>
          <w:sz w:val="20"/>
          <w:szCs w:val="20"/>
        </w:rPr>
        <w:t>Figure 1 - Elimbah - Beerburrum Road</w:t>
      </w:r>
    </w:p>
    <w:p w:rsidR="00D94CCB" w:rsidRDefault="00606EA1" w:rsidP="00A20125">
      <w:pPr>
        <w:pStyle w:val="NormalWeb"/>
        <w:jc w:val="center"/>
        <w:rPr>
          <w:rStyle w:val="Strong"/>
          <w:rFonts w:ascii="Arial" w:hAnsi="Arial" w:cs="Arial"/>
          <w:sz w:val="20"/>
          <w:szCs w:val="20"/>
        </w:rPr>
      </w:pPr>
      <w:r w:rsidRPr="00606EA1">
        <w:rPr>
          <w:rStyle w:val="Strong"/>
          <w:b w:val="0"/>
          <w:bCs w:val="0"/>
        </w:rPr>
        <w:drawing>
          <wp:inline distT="0" distB="0" distL="0" distR="0">
            <wp:extent cx="6533290" cy="297172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4221" cy="2999439"/>
                    </a:xfrm>
                    <a:prstGeom prst="rect">
                      <a:avLst/>
                    </a:prstGeom>
                    <a:noFill/>
                    <a:ln>
                      <a:noFill/>
                    </a:ln>
                  </pic:spPr>
                </pic:pic>
              </a:graphicData>
            </a:graphic>
          </wp:inline>
        </w:drawing>
      </w: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 xml:space="preserve">Figure 2 - </w:t>
      </w:r>
      <w:proofErr w:type="spellStart"/>
      <w:r w:rsidRPr="00606EA1">
        <w:rPr>
          <w:rFonts w:ascii="Arial" w:hAnsi="Arial" w:cs="Arial"/>
          <w:b/>
          <w:bCs/>
          <w:sz w:val="20"/>
          <w:szCs w:val="20"/>
        </w:rPr>
        <w:t>Bellmere</w:t>
      </w:r>
      <w:proofErr w:type="spellEnd"/>
      <w:r w:rsidRPr="00606EA1">
        <w:rPr>
          <w:rFonts w:ascii="Arial" w:hAnsi="Arial" w:cs="Arial"/>
          <w:b/>
          <w:bCs/>
          <w:sz w:val="20"/>
          <w:szCs w:val="20"/>
        </w:rPr>
        <w:t xml:space="preserve"> - Guilford Court</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8075718" cy="3574756"/>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87279" cy="3579873"/>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Figure 3 - Narangba - Youngs Road / Oakey Flat Road</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7409503" cy="367745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31804" cy="3688525"/>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Figure 4 - Dakabin</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9191311" cy="524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92451" cy="5245751"/>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lastRenderedPageBreak/>
        <w:t>Figure 5 - Mango Hill - Johns Road</w:t>
      </w:r>
    </w:p>
    <w:p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drawing>
          <wp:inline distT="0" distB="0" distL="0" distR="0">
            <wp:extent cx="9404350" cy="4457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04350" cy="4457700"/>
                    </a:xfrm>
                    <a:prstGeom prst="rect">
                      <a:avLst/>
                    </a:prstGeom>
                    <a:noFill/>
                    <a:ln>
                      <a:noFill/>
                    </a:ln>
                  </pic:spPr>
                </pic:pic>
              </a:graphicData>
            </a:graphic>
          </wp:inline>
        </w:drawing>
      </w: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Default="00606EA1" w:rsidP="00A20125">
      <w:pPr>
        <w:pStyle w:val="NormalWeb"/>
        <w:jc w:val="center"/>
        <w:rPr>
          <w:rStyle w:val="Strong"/>
          <w:rFonts w:ascii="Arial" w:hAnsi="Arial" w:cs="Arial"/>
          <w:sz w:val="20"/>
          <w:szCs w:val="20"/>
        </w:rPr>
      </w:pPr>
    </w:p>
    <w:p w:rsidR="00606EA1" w:rsidRPr="00606EA1" w:rsidRDefault="00606EA1" w:rsidP="00606EA1">
      <w:pPr>
        <w:pStyle w:val="NormalWeb"/>
        <w:jc w:val="center"/>
        <w:rPr>
          <w:rFonts w:ascii="Arial" w:hAnsi="Arial" w:cs="Arial"/>
          <w:b/>
          <w:bCs/>
          <w:sz w:val="20"/>
          <w:szCs w:val="20"/>
        </w:rPr>
      </w:pPr>
      <w:r w:rsidRPr="00606EA1">
        <w:rPr>
          <w:rFonts w:ascii="Arial" w:hAnsi="Arial" w:cs="Arial"/>
          <w:b/>
          <w:bCs/>
          <w:sz w:val="20"/>
          <w:szCs w:val="20"/>
        </w:rPr>
        <w:lastRenderedPageBreak/>
        <w:t>Figure 6 - Lawnton - Akers Road / Isis Road</w:t>
      </w:r>
    </w:p>
    <w:p w:rsidR="00606EA1" w:rsidRDefault="00606EA1" w:rsidP="00606EA1">
      <w:pPr>
        <w:pStyle w:val="NormalWeb"/>
        <w:jc w:val="center"/>
        <w:rPr>
          <w:rStyle w:val="Strong"/>
          <w:rFonts w:ascii="Arial" w:hAnsi="Arial" w:cs="Arial"/>
          <w:sz w:val="20"/>
          <w:szCs w:val="20"/>
        </w:rPr>
      </w:pPr>
      <w:r w:rsidRPr="00606EA1">
        <w:rPr>
          <w:rStyle w:val="Strong"/>
          <w:rFonts w:ascii="Arial" w:hAnsi="Arial" w:cs="Arial"/>
          <w:noProof/>
          <w:sz w:val="20"/>
          <w:szCs w:val="20"/>
        </w:rPr>
        <w:lastRenderedPageBreak/>
        <w:drawing>
          <wp:inline distT="0" distB="0" distL="0" distR="0">
            <wp:extent cx="4891664" cy="58356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7001" cy="5842017"/>
                    </a:xfrm>
                    <a:prstGeom prst="rect">
                      <a:avLst/>
                    </a:prstGeom>
                    <a:noFill/>
                    <a:ln>
                      <a:noFill/>
                    </a:ln>
                  </pic:spPr>
                </pic:pic>
              </a:graphicData>
            </a:graphic>
          </wp:inline>
        </w:drawing>
      </w:r>
    </w:p>
    <w:p w:rsidR="00543AEE" w:rsidRP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lastRenderedPageBreak/>
        <w:t>Figure 7 - Albany Creek - Morgan Road</w:t>
      </w:r>
    </w:p>
    <w:p w:rsidR="00543AEE" w:rsidRDefault="00543AEE" w:rsidP="00543AEE">
      <w:pPr>
        <w:pStyle w:val="NormalWeb"/>
        <w:jc w:val="center"/>
        <w:rPr>
          <w:rStyle w:val="Strong"/>
          <w:rFonts w:ascii="Arial" w:hAnsi="Arial" w:cs="Arial"/>
          <w:sz w:val="20"/>
          <w:szCs w:val="20"/>
        </w:rPr>
      </w:pPr>
      <w:r w:rsidRPr="00543AEE">
        <w:rPr>
          <w:rStyle w:val="Strong"/>
          <w:b w:val="0"/>
          <w:bCs w:val="0"/>
        </w:rPr>
        <w:drawing>
          <wp:inline distT="0" distB="0" distL="0" distR="0">
            <wp:extent cx="9777730" cy="4451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7730" cy="4451350"/>
                    </a:xfrm>
                    <a:prstGeom prst="rect">
                      <a:avLst/>
                    </a:prstGeom>
                    <a:noFill/>
                    <a:ln>
                      <a:noFill/>
                    </a:ln>
                  </pic:spPr>
                </pic:pic>
              </a:graphicData>
            </a:graphic>
          </wp:inline>
        </w:drawing>
      </w: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lastRenderedPageBreak/>
        <w:t>Figure 8 - Deception Bay - Bailey Road / Park Road</w:t>
      </w:r>
    </w:p>
    <w:p w:rsidR="00543AEE" w:rsidRDefault="00543AEE" w:rsidP="00543AEE">
      <w:pPr>
        <w:pStyle w:val="NormalWeb"/>
        <w:jc w:val="center"/>
        <w:rPr>
          <w:rStyle w:val="Strong"/>
          <w:rFonts w:ascii="Arial" w:hAnsi="Arial" w:cs="Arial"/>
          <w:sz w:val="20"/>
          <w:szCs w:val="20"/>
        </w:rPr>
      </w:pPr>
      <w:r w:rsidRPr="00543AEE">
        <w:rPr>
          <w:rStyle w:val="Strong"/>
          <w:b w:val="0"/>
          <w:bCs w:val="0"/>
        </w:rPr>
        <w:drawing>
          <wp:inline distT="0" distB="0" distL="0" distR="0">
            <wp:extent cx="9777730" cy="4667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7730" cy="4667250"/>
                    </a:xfrm>
                    <a:prstGeom prst="rect">
                      <a:avLst/>
                    </a:prstGeom>
                    <a:noFill/>
                    <a:ln>
                      <a:noFill/>
                    </a:ln>
                  </pic:spPr>
                </pic:pic>
              </a:graphicData>
            </a:graphic>
          </wp:inline>
        </w:drawing>
      </w: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Style w:val="Strong"/>
          <w:rFonts w:ascii="Arial" w:hAnsi="Arial" w:cs="Arial"/>
          <w:sz w:val="20"/>
          <w:szCs w:val="20"/>
        </w:rPr>
      </w:pPr>
    </w:p>
    <w:p w:rsid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lastRenderedPageBreak/>
        <w:t>Figure 9 - Rothwell - Whitlock Drive</w:t>
      </w:r>
    </w:p>
    <w:p w:rsidR="00543AEE" w:rsidRDefault="00543AEE" w:rsidP="00543AEE">
      <w:pPr>
        <w:pStyle w:val="NormalWeb"/>
        <w:jc w:val="center"/>
        <w:rPr>
          <w:rStyle w:val="Strong"/>
          <w:rFonts w:ascii="Arial" w:hAnsi="Arial" w:cs="Arial"/>
          <w:sz w:val="20"/>
          <w:szCs w:val="20"/>
        </w:rPr>
      </w:pPr>
      <w:r w:rsidRPr="00543AEE">
        <w:rPr>
          <w:rStyle w:val="Strong"/>
          <w:rFonts w:ascii="Arial" w:hAnsi="Arial" w:cs="Arial"/>
          <w:noProof/>
          <w:sz w:val="20"/>
          <w:szCs w:val="20"/>
        </w:rPr>
        <w:drawing>
          <wp:inline distT="0" distB="0" distL="0" distR="0">
            <wp:extent cx="9251950" cy="42862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51950" cy="4286250"/>
                    </a:xfrm>
                    <a:prstGeom prst="rect">
                      <a:avLst/>
                    </a:prstGeom>
                    <a:noFill/>
                    <a:ln>
                      <a:noFill/>
                    </a:ln>
                  </pic:spPr>
                </pic:pic>
              </a:graphicData>
            </a:graphic>
          </wp:inline>
        </w:drawing>
      </w:r>
      <w:bookmarkStart w:id="0" w:name="_GoBack"/>
      <w:bookmarkEnd w:id="0"/>
    </w:p>
    <w:sectPr w:rsidR="00543AEE" w:rsidSect="00A20125">
      <w:footerReference w:type="default" r:id="rId5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79D8" w:rsidRDefault="008279D8" w:rsidP="00FB0803">
      <w:r>
        <w:separator/>
      </w:r>
    </w:p>
  </w:endnote>
  <w:endnote w:type="continuationSeparator" w:id="0">
    <w:p w:rsidR="008279D8" w:rsidRDefault="008279D8" w:rsidP="00FB0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803" w:rsidRPr="00FB0803" w:rsidRDefault="00FB0803" w:rsidP="00FB0803">
    <w:pPr>
      <w:pStyle w:val="Footer"/>
      <w:rPr>
        <w:i/>
      </w:rPr>
    </w:pPr>
    <w:r w:rsidRPr="00FB0803">
      <w:t>MBRC Planning Scheme</w:t>
    </w:r>
    <w:r>
      <w:t xml:space="preserve"> V4 - RAL - </w:t>
    </w:r>
    <w:r w:rsidRPr="00FB0803">
      <w:t xml:space="preserve">General residential zone - </w:t>
    </w:r>
    <w:r>
      <w:t>Suburban Neighbourhood</w:t>
    </w:r>
    <w:r w:rsidRPr="00FB0803">
      <w:t xml:space="preserve"> precinct - Assessable </w:t>
    </w:r>
    <w:r w:rsidRPr="00FB0803">
      <w:tab/>
    </w:r>
    <w:r w:rsidRPr="00FB0803">
      <w:rPr>
        <w:i/>
      </w:rPr>
      <w:tab/>
    </w:r>
    <w:sdt>
      <w:sdtPr>
        <w:id w:val="1697655104"/>
        <w:docPartObj>
          <w:docPartGallery w:val="Page Numbers (Bottom of Page)"/>
          <w:docPartUnique/>
        </w:docPartObj>
      </w:sdtPr>
      <w:sdtContent>
        <w:r>
          <w:tab/>
        </w:r>
        <w:r>
          <w:tab/>
        </w:r>
        <w:r>
          <w:tab/>
        </w:r>
        <w:r w:rsidRPr="00FB0803">
          <w:fldChar w:fldCharType="begin"/>
        </w:r>
        <w:r w:rsidRPr="00FB0803">
          <w:instrText xml:space="preserve"> PAGE   \* MERGEFORMAT </w:instrText>
        </w:r>
        <w:r w:rsidRPr="00FB0803">
          <w:fldChar w:fldCharType="separate"/>
        </w:r>
        <w:r w:rsidRPr="00FB0803">
          <w:t>1</w:t>
        </w:r>
        <w:r w:rsidRPr="00FB0803">
          <w:fldChar w:fldCharType="end"/>
        </w:r>
      </w:sdtContent>
    </w:sdt>
  </w:p>
  <w:p w:rsidR="00FB0803" w:rsidRDefault="00FB0803">
    <w:pPr>
      <w:pStyle w:val="Footer"/>
    </w:pPr>
  </w:p>
  <w:p w:rsidR="00FB0803" w:rsidRDefault="00FB0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79D8" w:rsidRDefault="008279D8" w:rsidP="00FB0803">
      <w:r>
        <w:separator/>
      </w:r>
    </w:p>
  </w:footnote>
  <w:footnote w:type="continuationSeparator" w:id="0">
    <w:p w:rsidR="008279D8" w:rsidRDefault="008279D8" w:rsidP="00FB0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FE0"/>
    <w:multiLevelType w:val="multilevel"/>
    <w:tmpl w:val="21B44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B10F20"/>
    <w:multiLevelType w:val="multilevel"/>
    <w:tmpl w:val="FF8095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76D00C4"/>
    <w:multiLevelType w:val="multilevel"/>
    <w:tmpl w:val="172E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90DA7"/>
    <w:multiLevelType w:val="multilevel"/>
    <w:tmpl w:val="00D09B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337EFB"/>
    <w:multiLevelType w:val="multilevel"/>
    <w:tmpl w:val="5478EA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1E06FDC"/>
    <w:multiLevelType w:val="multilevel"/>
    <w:tmpl w:val="520642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3BE177A"/>
    <w:multiLevelType w:val="multilevel"/>
    <w:tmpl w:val="D52801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4082B47"/>
    <w:multiLevelType w:val="multilevel"/>
    <w:tmpl w:val="1E9CB5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4715A22"/>
    <w:multiLevelType w:val="multilevel"/>
    <w:tmpl w:val="13C031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 w15:restartNumberingAfterBreak="0">
    <w:nsid w:val="1C0B1B17"/>
    <w:multiLevelType w:val="multilevel"/>
    <w:tmpl w:val="DCFE74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CDA174E"/>
    <w:multiLevelType w:val="multilevel"/>
    <w:tmpl w:val="8B780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E060409"/>
    <w:multiLevelType w:val="multilevel"/>
    <w:tmpl w:val="E9F4E2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FA83254"/>
    <w:multiLevelType w:val="multilevel"/>
    <w:tmpl w:val="1B7CE93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2A267CB"/>
    <w:multiLevelType w:val="multilevel"/>
    <w:tmpl w:val="2DC434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2A37B5D"/>
    <w:multiLevelType w:val="multilevel"/>
    <w:tmpl w:val="CBF8A4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3B76DD1"/>
    <w:multiLevelType w:val="multilevel"/>
    <w:tmpl w:val="929600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4FB7D73"/>
    <w:multiLevelType w:val="multilevel"/>
    <w:tmpl w:val="DF94DE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5666EE0"/>
    <w:multiLevelType w:val="multilevel"/>
    <w:tmpl w:val="C7B4D2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7576D9F"/>
    <w:multiLevelType w:val="multilevel"/>
    <w:tmpl w:val="82B849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DC4E07"/>
    <w:multiLevelType w:val="multilevel"/>
    <w:tmpl w:val="63A897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86D0D06"/>
    <w:multiLevelType w:val="multilevel"/>
    <w:tmpl w:val="87E85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BF34D42"/>
    <w:multiLevelType w:val="multilevel"/>
    <w:tmpl w:val="658074E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DDB6836"/>
    <w:multiLevelType w:val="multilevel"/>
    <w:tmpl w:val="39D86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E8E4CD1"/>
    <w:multiLevelType w:val="multilevel"/>
    <w:tmpl w:val="49C208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26D379A"/>
    <w:multiLevelType w:val="multilevel"/>
    <w:tmpl w:val="8BBE7D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60D4336"/>
    <w:multiLevelType w:val="multilevel"/>
    <w:tmpl w:val="572A4B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E39408C"/>
    <w:multiLevelType w:val="multilevel"/>
    <w:tmpl w:val="E676C3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29A42D0"/>
    <w:multiLevelType w:val="multilevel"/>
    <w:tmpl w:val="C27A51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4274BB0"/>
    <w:multiLevelType w:val="multilevel"/>
    <w:tmpl w:val="CF628E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49250A5"/>
    <w:multiLevelType w:val="multilevel"/>
    <w:tmpl w:val="1286077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477937C5"/>
    <w:multiLevelType w:val="multilevel"/>
    <w:tmpl w:val="9B522E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EA66975"/>
    <w:multiLevelType w:val="multilevel"/>
    <w:tmpl w:val="FF5ABE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FFC4184"/>
    <w:multiLevelType w:val="multilevel"/>
    <w:tmpl w:val="631C96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73C5D9A"/>
    <w:multiLevelType w:val="multilevel"/>
    <w:tmpl w:val="5F84E5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C724217"/>
    <w:multiLevelType w:val="multilevel"/>
    <w:tmpl w:val="6298E9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F7C5139"/>
    <w:multiLevelType w:val="multilevel"/>
    <w:tmpl w:val="8A72CA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8CC2808"/>
    <w:multiLevelType w:val="multilevel"/>
    <w:tmpl w:val="F5BA85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AF75777"/>
    <w:multiLevelType w:val="multilevel"/>
    <w:tmpl w:val="5DBC4C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D093780"/>
    <w:multiLevelType w:val="multilevel"/>
    <w:tmpl w:val="B3289B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D37214F"/>
    <w:multiLevelType w:val="multilevel"/>
    <w:tmpl w:val="06345386"/>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41" w15:restartNumberingAfterBreak="0">
    <w:nsid w:val="6DC734B9"/>
    <w:multiLevelType w:val="multilevel"/>
    <w:tmpl w:val="ADA085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0C6335C"/>
    <w:multiLevelType w:val="multilevel"/>
    <w:tmpl w:val="FFF271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24058BF"/>
    <w:multiLevelType w:val="multilevel"/>
    <w:tmpl w:val="DA72F3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729B7214"/>
    <w:multiLevelType w:val="multilevel"/>
    <w:tmpl w:val="6D34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F548C6"/>
    <w:multiLevelType w:val="multilevel"/>
    <w:tmpl w:val="2EE223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51B4B16"/>
    <w:multiLevelType w:val="multilevel"/>
    <w:tmpl w:val="91201140"/>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6EE5E2D"/>
    <w:multiLevelType w:val="multilevel"/>
    <w:tmpl w:val="58CAB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7681706"/>
    <w:multiLevelType w:val="multilevel"/>
    <w:tmpl w:val="D90C57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87C1051"/>
    <w:multiLevelType w:val="multilevel"/>
    <w:tmpl w:val="60F407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15:restartNumberingAfterBreak="0">
    <w:nsid w:val="78B32F8C"/>
    <w:multiLevelType w:val="multilevel"/>
    <w:tmpl w:val="89E6A7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7AC519B9"/>
    <w:multiLevelType w:val="multilevel"/>
    <w:tmpl w:val="25CC50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7B276B51"/>
    <w:multiLevelType w:val="multilevel"/>
    <w:tmpl w:val="9ABC90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B2A4B1D"/>
    <w:multiLevelType w:val="multilevel"/>
    <w:tmpl w:val="D992300C"/>
    <w:lvl w:ilvl="0">
      <w:start w:val="3"/>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D13231C"/>
    <w:multiLevelType w:val="multilevel"/>
    <w:tmpl w:val="438261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D3B2710"/>
    <w:multiLevelType w:val="multilevel"/>
    <w:tmpl w:val="71BA76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D904454"/>
    <w:multiLevelType w:val="multilevel"/>
    <w:tmpl w:val="399A1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1"/>
  </w:num>
  <w:num w:numId="3">
    <w:abstractNumId w:val="26"/>
  </w:num>
  <w:num w:numId="4">
    <w:abstractNumId w:val="53"/>
  </w:num>
  <w:num w:numId="5">
    <w:abstractNumId w:val="46"/>
  </w:num>
  <w:num w:numId="6">
    <w:abstractNumId w:val="25"/>
  </w:num>
  <w:num w:numId="7">
    <w:abstractNumId w:val="24"/>
  </w:num>
  <w:num w:numId="8">
    <w:abstractNumId w:val="33"/>
  </w:num>
  <w:num w:numId="9">
    <w:abstractNumId w:val="14"/>
  </w:num>
  <w:num w:numId="10">
    <w:abstractNumId w:val="28"/>
  </w:num>
  <w:num w:numId="11">
    <w:abstractNumId w:val="56"/>
  </w:num>
  <w:num w:numId="12">
    <w:abstractNumId w:val="15"/>
  </w:num>
  <w:num w:numId="13">
    <w:abstractNumId w:val="7"/>
  </w:num>
  <w:num w:numId="14">
    <w:abstractNumId w:val="44"/>
  </w:num>
  <w:num w:numId="15">
    <w:abstractNumId w:val="37"/>
  </w:num>
  <w:num w:numId="16">
    <w:abstractNumId w:val="2"/>
  </w:num>
  <w:num w:numId="17">
    <w:abstractNumId w:val="18"/>
  </w:num>
  <w:num w:numId="18">
    <w:abstractNumId w:val="22"/>
  </w:num>
  <w:num w:numId="19">
    <w:abstractNumId w:val="12"/>
  </w:num>
  <w:num w:numId="20">
    <w:abstractNumId w:val="54"/>
  </w:num>
  <w:num w:numId="21">
    <w:abstractNumId w:val="39"/>
  </w:num>
  <w:num w:numId="22">
    <w:abstractNumId w:val="4"/>
  </w:num>
  <w:num w:numId="23">
    <w:abstractNumId w:val="19"/>
  </w:num>
  <w:num w:numId="24">
    <w:abstractNumId w:val="3"/>
  </w:num>
  <w:num w:numId="25">
    <w:abstractNumId w:val="16"/>
  </w:num>
  <w:num w:numId="26">
    <w:abstractNumId w:val="29"/>
  </w:num>
  <w:num w:numId="27">
    <w:abstractNumId w:val="20"/>
  </w:num>
  <w:num w:numId="28">
    <w:abstractNumId w:val="35"/>
  </w:num>
  <w:num w:numId="29">
    <w:abstractNumId w:val="27"/>
  </w:num>
  <w:num w:numId="30">
    <w:abstractNumId w:val="32"/>
  </w:num>
  <w:num w:numId="31">
    <w:abstractNumId w:val="51"/>
  </w:num>
  <w:num w:numId="32">
    <w:abstractNumId w:val="42"/>
  </w:num>
  <w:num w:numId="33">
    <w:abstractNumId w:val="48"/>
  </w:num>
  <w:num w:numId="34">
    <w:abstractNumId w:val="8"/>
  </w:num>
  <w:num w:numId="35">
    <w:abstractNumId w:val="21"/>
  </w:num>
  <w:num w:numId="36">
    <w:abstractNumId w:val="41"/>
  </w:num>
  <w:num w:numId="37">
    <w:abstractNumId w:val="47"/>
  </w:num>
  <w:num w:numId="38">
    <w:abstractNumId w:val="52"/>
  </w:num>
  <w:num w:numId="39">
    <w:abstractNumId w:val="52"/>
    <w:lvlOverride w:ilvl="1">
      <w:startOverride w:val="1"/>
    </w:lvlOverride>
  </w:num>
  <w:num w:numId="40">
    <w:abstractNumId w:val="38"/>
  </w:num>
  <w:num w:numId="41">
    <w:abstractNumId w:val="5"/>
  </w:num>
  <w:num w:numId="42">
    <w:abstractNumId w:val="0"/>
  </w:num>
  <w:num w:numId="43">
    <w:abstractNumId w:val="30"/>
  </w:num>
  <w:num w:numId="44">
    <w:abstractNumId w:val="43"/>
  </w:num>
  <w:num w:numId="45">
    <w:abstractNumId w:val="50"/>
  </w:num>
  <w:num w:numId="46">
    <w:abstractNumId w:val="49"/>
  </w:num>
  <w:num w:numId="47">
    <w:abstractNumId w:val="13"/>
  </w:num>
  <w:num w:numId="48">
    <w:abstractNumId w:val="10"/>
  </w:num>
  <w:num w:numId="49">
    <w:abstractNumId w:val="55"/>
  </w:num>
  <w:num w:numId="50">
    <w:abstractNumId w:val="45"/>
  </w:num>
  <w:num w:numId="51">
    <w:abstractNumId w:val="34"/>
  </w:num>
  <w:num w:numId="52">
    <w:abstractNumId w:val="36"/>
  </w:num>
  <w:num w:numId="53">
    <w:abstractNumId w:val="31"/>
  </w:num>
  <w:num w:numId="54">
    <w:abstractNumId w:val="11"/>
  </w:num>
  <w:num w:numId="55">
    <w:abstractNumId w:val="17"/>
  </w:num>
  <w:num w:numId="56">
    <w:abstractNumId w:val="23"/>
  </w:num>
  <w:num w:numId="57">
    <w:abstractNumId w:val="9"/>
  </w:num>
  <w:num w:numId="58">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125"/>
    <w:rsid w:val="00505354"/>
    <w:rsid w:val="00543AEE"/>
    <w:rsid w:val="00606EA1"/>
    <w:rsid w:val="006F18C7"/>
    <w:rsid w:val="008279D8"/>
    <w:rsid w:val="00863F1D"/>
    <w:rsid w:val="009D27FF"/>
    <w:rsid w:val="009F0F63"/>
    <w:rsid w:val="00A20125"/>
    <w:rsid w:val="00B06B0C"/>
    <w:rsid w:val="00D94CCB"/>
    <w:rsid w:val="00DD33C8"/>
    <w:rsid w:val="00FB08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A1E79"/>
  <w15:chartTrackingRefBased/>
  <w15:docId w15:val="{D5E71A32-422E-4BAA-A340-941D45F6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0125"/>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A2012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2012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20125"/>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20125"/>
    <w:pPr>
      <w:spacing w:before="100" w:beforeAutospacing="1" w:after="100" w:afterAutospacing="1"/>
      <w:outlineLvl w:val="3"/>
    </w:pPr>
    <w:rPr>
      <w:b/>
      <w:bCs/>
    </w:rPr>
  </w:style>
  <w:style w:type="paragraph" w:styleId="Heading5">
    <w:name w:val="heading 5"/>
    <w:basedOn w:val="Normal"/>
    <w:link w:val="Heading5Char"/>
    <w:uiPriority w:val="9"/>
    <w:qFormat/>
    <w:rsid w:val="00A20125"/>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A20125"/>
    <w:pPr>
      <w:spacing w:before="100" w:beforeAutospacing="1" w:after="100" w:afterAutospacing="1"/>
      <w:outlineLvl w:val="5"/>
    </w:pPr>
    <w:rPr>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125"/>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A20125"/>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A20125"/>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A20125"/>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A20125"/>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A20125"/>
    <w:rPr>
      <w:rFonts w:ascii="Times New Roman" w:eastAsiaTheme="minorEastAsia" w:hAnsi="Times New Roman" w:cs="Times New Roman"/>
      <w:b/>
      <w:bCs/>
      <w:sz w:val="15"/>
      <w:szCs w:val="15"/>
      <w:lang w:eastAsia="en-AU"/>
    </w:rPr>
  </w:style>
  <w:style w:type="paragraph" w:customStyle="1" w:styleId="msonormal0">
    <w:name w:val="msonormal"/>
    <w:basedOn w:val="Normal"/>
    <w:rsid w:val="00A20125"/>
    <w:pPr>
      <w:spacing w:before="100" w:beforeAutospacing="1" w:after="100" w:afterAutospacing="1"/>
    </w:pPr>
  </w:style>
  <w:style w:type="character" w:styleId="Hyperlink">
    <w:name w:val="Hyperlink"/>
    <w:basedOn w:val="DefaultParagraphFont"/>
    <w:uiPriority w:val="99"/>
    <w:semiHidden/>
    <w:unhideWhenUsed/>
    <w:rsid w:val="00A20125"/>
    <w:rPr>
      <w:color w:val="0000FF"/>
      <w:u w:val="single"/>
    </w:rPr>
  </w:style>
  <w:style w:type="character" w:styleId="FollowedHyperlink">
    <w:name w:val="FollowedHyperlink"/>
    <w:basedOn w:val="DefaultParagraphFont"/>
    <w:uiPriority w:val="99"/>
    <w:semiHidden/>
    <w:unhideWhenUsed/>
    <w:rsid w:val="00A20125"/>
    <w:rPr>
      <w:color w:val="800080"/>
      <w:u w:val="single"/>
    </w:rPr>
  </w:style>
  <w:style w:type="paragraph" w:customStyle="1" w:styleId="hidden">
    <w:name w:val="hidden"/>
    <w:basedOn w:val="Normal"/>
    <w:rsid w:val="00A20125"/>
    <w:pPr>
      <w:spacing w:before="100" w:beforeAutospacing="1" w:after="100" w:afterAutospacing="1"/>
    </w:pPr>
  </w:style>
  <w:style w:type="paragraph" w:styleId="NormalWeb">
    <w:name w:val="Normal (Web)"/>
    <w:basedOn w:val="Normal"/>
    <w:uiPriority w:val="99"/>
    <w:semiHidden/>
    <w:unhideWhenUsed/>
    <w:rsid w:val="00A20125"/>
    <w:pPr>
      <w:spacing w:before="100" w:beforeAutospacing="1" w:after="100" w:afterAutospacing="1"/>
    </w:pPr>
  </w:style>
  <w:style w:type="character" w:styleId="Strong">
    <w:name w:val="Strong"/>
    <w:basedOn w:val="DefaultParagraphFont"/>
    <w:uiPriority w:val="22"/>
    <w:qFormat/>
    <w:rsid w:val="00A20125"/>
    <w:rPr>
      <w:b/>
      <w:bCs/>
    </w:rPr>
  </w:style>
  <w:style w:type="character" w:styleId="Emphasis">
    <w:name w:val="Emphasis"/>
    <w:basedOn w:val="DefaultParagraphFont"/>
    <w:uiPriority w:val="20"/>
    <w:qFormat/>
    <w:rsid w:val="00A20125"/>
    <w:rPr>
      <w:i/>
      <w:iCs/>
    </w:rPr>
  </w:style>
  <w:style w:type="character" w:customStyle="1" w:styleId="highlightbackground">
    <w:name w:val="highlightbackground"/>
    <w:basedOn w:val="DefaultParagraphFont"/>
    <w:rsid w:val="00A20125"/>
  </w:style>
  <w:style w:type="character" w:customStyle="1" w:styleId="number">
    <w:name w:val="number"/>
    <w:basedOn w:val="DefaultParagraphFont"/>
    <w:rsid w:val="00A20125"/>
  </w:style>
  <w:style w:type="character" w:customStyle="1" w:styleId="newwindow">
    <w:name w:val="newwindow"/>
    <w:basedOn w:val="DefaultParagraphFont"/>
    <w:rsid w:val="00A20125"/>
  </w:style>
  <w:style w:type="character" w:customStyle="1" w:styleId="highlighttext">
    <w:name w:val="highlighttext"/>
    <w:basedOn w:val="DefaultParagraphFont"/>
    <w:rsid w:val="00A20125"/>
  </w:style>
  <w:style w:type="paragraph" w:customStyle="1" w:styleId="right">
    <w:name w:val="right"/>
    <w:basedOn w:val="Normal"/>
    <w:rsid w:val="00A20125"/>
    <w:pPr>
      <w:spacing w:before="100" w:beforeAutospacing="1" w:after="100" w:afterAutospacing="1"/>
    </w:pPr>
  </w:style>
  <w:style w:type="paragraph" w:styleId="BalloonText">
    <w:name w:val="Balloon Text"/>
    <w:basedOn w:val="Normal"/>
    <w:link w:val="BalloonTextChar"/>
    <w:uiPriority w:val="99"/>
    <w:semiHidden/>
    <w:unhideWhenUsed/>
    <w:rsid w:val="00A20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125"/>
    <w:rPr>
      <w:rFonts w:ascii="Segoe UI" w:eastAsiaTheme="minorEastAsia" w:hAnsi="Segoe UI" w:cs="Segoe UI"/>
      <w:sz w:val="18"/>
      <w:szCs w:val="18"/>
      <w:lang w:eastAsia="en-AU"/>
    </w:rPr>
  </w:style>
  <w:style w:type="paragraph" w:styleId="ListParagraph">
    <w:name w:val="List Paragraph"/>
    <w:basedOn w:val="Normal"/>
    <w:uiPriority w:val="34"/>
    <w:qFormat/>
    <w:rsid w:val="00D94CCB"/>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FB0803"/>
    <w:pPr>
      <w:tabs>
        <w:tab w:val="center" w:pos="4513"/>
        <w:tab w:val="right" w:pos="9026"/>
      </w:tabs>
    </w:pPr>
  </w:style>
  <w:style w:type="character" w:customStyle="1" w:styleId="HeaderChar">
    <w:name w:val="Header Char"/>
    <w:basedOn w:val="DefaultParagraphFont"/>
    <w:link w:val="Header"/>
    <w:uiPriority w:val="99"/>
    <w:rsid w:val="00FB0803"/>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FB0803"/>
    <w:pPr>
      <w:tabs>
        <w:tab w:val="center" w:pos="4513"/>
        <w:tab w:val="right" w:pos="9026"/>
      </w:tabs>
    </w:pPr>
  </w:style>
  <w:style w:type="character" w:customStyle="1" w:styleId="FooterChar">
    <w:name w:val="Footer Char"/>
    <w:basedOn w:val="DefaultParagraphFont"/>
    <w:link w:val="Footer"/>
    <w:uiPriority w:val="99"/>
    <w:rsid w:val="00FB0803"/>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image" Target="media/image11.emf"/><Relationship Id="rId50" Type="http://schemas.openxmlformats.org/officeDocument/2006/relationships/image" Target="media/image14.emf"/><Relationship Id="rId55" Type="http://schemas.openxmlformats.org/officeDocument/2006/relationships/theme" Target="theme/theme1.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5.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image" Target="media/image9.emf"/><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image" Target="media/image8.emf"/><Relationship Id="rId52"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image" Target="media/image12.emf"/><Relationship Id="rId8" Type="http://schemas.openxmlformats.org/officeDocument/2006/relationships/image" Target="media/image1.jpeg"/><Relationship Id="rId51" Type="http://schemas.openxmlformats.org/officeDocument/2006/relationships/image" Target="media/image15.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49</Pages>
  <Words>10162</Words>
  <Characters>57928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Gorring</dc:creator>
  <cp:keywords/>
  <dc:description/>
  <cp:lastModifiedBy>Kasaia Bray</cp:lastModifiedBy>
  <cp:revision>4</cp:revision>
  <dcterms:created xsi:type="dcterms:W3CDTF">2019-12-17T04:45:00Z</dcterms:created>
  <dcterms:modified xsi:type="dcterms:W3CDTF">2020-01-07T01:47:00Z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A19485614</vt:lpwstr>
  </property>
  <property fmtid="{D5CDD505-2E9C-101B-9397-08002B2CF9AE}" pid="4" name="Objective-Title">
    <vt:lpwstr>9.4.1.6.2 Suburban neighbourhood precinct - Assessable - UPDATED</vt:lpwstr>
  </property>
  <property fmtid="{D5CDD505-2E9C-101B-9397-08002B2CF9AE}" pid="5" name="Objective-Comment">
    <vt:lpwstr/>
  </property>
  <property fmtid="{D5CDD505-2E9C-101B-9397-08002B2CF9AE}" pid="6" name="Objective-CreationStamp">
    <vt:filetime>2019-12-17T05:56:18Z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2020-01-07T01:23:47Z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