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013BEF" w:rsidRPr="00013BEF" w:rsidTr="00013BEF">
        <w:trPr>
          <w:trHeight w:val="90"/>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rsidR="00013BEF" w:rsidRPr="00013BEF" w:rsidRDefault="00013BEF" w:rsidP="00013BEF">
            <w:pPr>
              <w:spacing w:before="150" w:after="150" w:line="240" w:lineRule="auto"/>
              <w:jc w:val="center"/>
              <w:rPr>
                <w:rFonts w:ascii="Arial" w:eastAsia="Times New Roman" w:hAnsi="Arial" w:cs="Arial"/>
                <w:sz w:val="20"/>
                <w:szCs w:val="20"/>
                <w:lang w:eastAsia="en-AU"/>
              </w:rPr>
            </w:pPr>
            <w:r w:rsidRPr="00013BEF">
              <w:rPr>
                <w:rFonts w:ascii="Arial" w:eastAsia="Times New Roman" w:hAnsi="Arial" w:cs="Arial"/>
                <w:b/>
                <w:bCs/>
                <w:sz w:val="20"/>
                <w:szCs w:val="20"/>
                <w:lang w:eastAsia="en-AU"/>
              </w:rPr>
              <w:t>Table 9.4.1.8.1 Assessable development - Limited development zone</w:t>
            </w:r>
          </w:p>
        </w:tc>
      </w:tr>
    </w:tbl>
    <w:p w:rsidR="00013BEF" w:rsidRDefault="00013BE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97"/>
        <w:gridCol w:w="5270"/>
        <w:gridCol w:w="1829"/>
        <w:gridCol w:w="1677"/>
      </w:tblGrid>
      <w:tr w:rsidR="00013BEF" w:rsidRPr="00013BEF" w:rsidTr="00013BEF">
        <w:trPr>
          <w:trHeight w:val="90"/>
          <w:tblCellSpacing w:w="15" w:type="dxa"/>
        </w:trPr>
        <w:tc>
          <w:tcPr>
            <w:tcW w:w="214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Performance outcomes</w:t>
            </w:r>
          </w:p>
        </w:tc>
        <w:tc>
          <w:tcPr>
            <w:tcW w:w="170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Examples that achieve aspects of the Performance Outcomes</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013BEF" w:rsidRPr="002A3213" w:rsidRDefault="00013BEF" w:rsidP="00013BE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13BEF" w:rsidRPr="008B6E1B" w:rsidRDefault="00013BEF" w:rsidP="00013BEF">
            <w:pPr>
              <w:pStyle w:val="ListParagraph"/>
              <w:numPr>
                <w:ilvl w:val="0"/>
                <w:numId w:val="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013BEF" w:rsidRPr="00E42B98"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013BEF" w:rsidRPr="00666BDF"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013BEF" w:rsidRPr="00666BDF" w:rsidRDefault="00013BEF" w:rsidP="00013BE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13BEF" w:rsidRPr="00013BEF" w:rsidTr="00013BE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jc w:val="center"/>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General criteria</w:t>
            </w: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PO1</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a lot does not create lots wholly contained within the Limited development zone unless for the purposes of Park</w:t>
            </w:r>
            <w:r w:rsidRPr="00013BEF">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8"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PO2</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for any purpose other than Park</w:t>
            </w:r>
            <w:r w:rsidRPr="00013BEF">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0"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ensures appropriate building area outside of the Limited development zone to support land uses consistent with the adjoining zone.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p w:rsidR="00013BEF" w:rsidRPr="00013BEF" w:rsidRDefault="00013BEF" w:rsidP="00013BEF">
            <w:pPr>
              <w:spacing w:after="0"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385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Boundary realignment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PO3</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alignments ensure that infrastructure and services are wholly contained within the lot they serve.</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PO4</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result in existing land uses on-site becoming non-compliant with planning scheme requirements.</w:t>
            </w:r>
          </w:p>
          <w:tbl>
            <w:tblPr>
              <w:tblW w:w="64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30"/>
            </w:tblGrid>
            <w:tr w:rsidR="00013BEF" w:rsidRPr="00013BEF" w:rsidTr="00013BEF">
              <w:trPr>
                <w:tblCellSpacing w:w="15" w:type="dxa"/>
              </w:trPr>
              <w:tc>
                <w:tcPr>
                  <w:tcW w:w="6370" w:type="dxa"/>
                  <w:vAlign w:val="cente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Note - Examples may include but are not limited to:</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minimum lot size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setbacks;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parking and access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servicing and Infrastructure requirements;</w:t>
                  </w:r>
                </w:p>
                <w:p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dependant elements of an existing or approved land use being separately titled, including but not limited to:</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premises is approved as Multiple dwelling</w:t>
                  </w:r>
                  <w:r w:rsidRPr="00013BEF">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013BEF">
                      <w:rPr>
                        <w:rFonts w:ascii="Arial" w:eastAsia="Times New Roman" w:hAnsi="Arial" w:cs="Arial"/>
                        <w:color w:val="0000FF"/>
                        <w:sz w:val="20"/>
                        <w:szCs w:val="20"/>
                        <w:vertAlign w:val="superscript"/>
                        <w:lang w:eastAsia="en-AU"/>
                      </w:rPr>
                      <w:t>49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with a communal open space area, the communal open space cannot be separately titled as it is required by the Multiple dwelling approval. </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commercial or industrial land use contains an ancillary office</w:t>
                  </w:r>
                  <w:r w:rsidRPr="00013BEF">
                    <w:rPr>
                      <w:rFonts w:ascii="Arial" w:eastAsia="Times New Roman" w:hAnsi="Arial" w:cs="Arial"/>
                      <w:sz w:val="20"/>
                      <w:szCs w:val="20"/>
                      <w:vertAlign w:val="superscript"/>
                      <w:lang w:eastAsia="en-AU"/>
                    </w:rPr>
                    <w:t>(</w:t>
                  </w:r>
                  <w:hyperlink r:id="rId1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the office</w:t>
                  </w:r>
                  <w:r w:rsidRPr="00013BEF">
                    <w:rPr>
                      <w:rFonts w:ascii="Arial" w:eastAsia="Times New Roman" w:hAnsi="Arial" w:cs="Arial"/>
                      <w:sz w:val="20"/>
                      <w:szCs w:val="20"/>
                      <w:vertAlign w:val="superscript"/>
                      <w:lang w:eastAsia="en-AU"/>
                    </w:rPr>
                    <w:t>(</w:t>
                  </w:r>
                  <w:hyperlink r:id="rId1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cannot be separately titled as it is considered part of the commercial or industrial use. </w:t>
                  </w:r>
                </w:p>
                <w:p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Dwelling house</w:t>
                  </w:r>
                  <w:r w:rsidRPr="00013BEF">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013BEF">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use. </w:t>
                  </w:r>
                </w:p>
              </w:tc>
            </w:tr>
          </w:tbl>
          <w:p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lastRenderedPageBreak/>
              <w:t>PO5</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Boundary realignment results in lots which have appropriate size, dimensions and access to cater for uses consistent with the zone. </w:t>
            </w:r>
          </w:p>
        </w:tc>
        <w:tc>
          <w:tcPr>
            <w:tcW w:w="1704"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PO6</w:t>
            </w:r>
          </w:p>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place future development in areas of increased natural hazard risk, unless for Park</w:t>
            </w:r>
            <w:r w:rsidRPr="00013BEF">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7"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2"/>
            </w:tblGrid>
            <w:tr w:rsidR="00013BEF" w:rsidRPr="00013BEF" w:rsidTr="00013BEF">
              <w:trPr>
                <w:tblCellSpacing w:w="15" w:type="dxa"/>
              </w:trPr>
              <w:tc>
                <w:tcPr>
                  <w:tcW w:w="13950" w:type="dxa"/>
                  <w:vAlign w:val="center"/>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Note - The Flood Hazard Overlay and Coastal Hazard Overlay allocate areas of risk for development within the respective flood planning area and coastal planning area. </w:t>
                  </w:r>
                </w:p>
              </w:tc>
            </w:tr>
          </w:tbl>
          <w:p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hideMark/>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bl>
    <w:p w:rsidR="00641E2E" w:rsidRPr="00013BEF" w:rsidRDefault="00013BEF" w:rsidP="00013BEF">
      <w:pPr>
        <w:tabs>
          <w:tab w:val="left" w:pos="6865"/>
        </w:tabs>
        <w:spacing w:before="100" w:beforeAutospacing="1" w:after="100" w:afterAutospacing="1" w:line="240" w:lineRule="auto"/>
        <w:rPr>
          <w:rFonts w:ascii="Arial" w:hAnsi="Arial" w:cs="Arial"/>
          <w:sz w:val="20"/>
          <w:szCs w:val="20"/>
        </w:rPr>
      </w:pPr>
      <w:r>
        <w:rPr>
          <w:rFonts w:ascii="Arial" w:hAnsi="Arial" w:cs="Arial"/>
          <w:sz w:val="20"/>
          <w:szCs w:val="20"/>
        </w:rPr>
        <w:tab/>
      </w:r>
    </w:p>
    <w:sectPr w:rsidR="00641E2E" w:rsidRPr="00013BEF" w:rsidSect="00013BEF">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06" w:rsidRDefault="00311006" w:rsidP="00013BEF">
      <w:pPr>
        <w:spacing w:after="0" w:line="240" w:lineRule="auto"/>
      </w:pPr>
      <w:r>
        <w:separator/>
      </w:r>
    </w:p>
  </w:endnote>
  <w:endnote w:type="continuationSeparator" w:id="0">
    <w:p w:rsidR="00311006" w:rsidRDefault="00311006" w:rsidP="0001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Default="00013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Pr="00013BEF" w:rsidRDefault="00013BEF" w:rsidP="00013BEF">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Other development codes - Reconfiguring a lot - Limited development</w:t>
    </w:r>
    <w:r>
      <w:rPr>
        <w:rFonts w:ascii="Arial" w:hAnsi="Arial" w:cs="Arial"/>
        <w:i/>
        <w:sz w:val="20"/>
        <w:szCs w:val="20"/>
      </w:rPr>
      <w:t xml:space="preserve"> zone - </w:t>
    </w:r>
    <w:r w:rsidRPr="005A0BA0">
      <w:rPr>
        <w:rFonts w:ascii="Arial" w:hAnsi="Arial" w:cs="Arial"/>
        <w:i/>
        <w:sz w:val="20"/>
        <w:szCs w:val="20"/>
      </w:rPr>
      <w:t>Assessable</w:t>
    </w:r>
    <w:bookmarkEnd w:id="0"/>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Default="0001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06" w:rsidRDefault="00311006" w:rsidP="00013BEF">
      <w:pPr>
        <w:spacing w:after="0" w:line="240" w:lineRule="auto"/>
      </w:pPr>
      <w:r>
        <w:separator/>
      </w:r>
    </w:p>
  </w:footnote>
  <w:footnote w:type="continuationSeparator" w:id="0">
    <w:p w:rsidR="00311006" w:rsidRDefault="00311006" w:rsidP="0001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Default="00013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Default="00013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EF" w:rsidRDefault="00013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1AA72DC6"/>
    <w:multiLevelType w:val="multilevel"/>
    <w:tmpl w:val="7BF83F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EF"/>
    <w:rsid w:val="00013BEF"/>
    <w:rsid w:val="00311006"/>
    <w:rsid w:val="004E0E41"/>
    <w:rsid w:val="00641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4C551-7BE8-480F-843F-FC1D7C4B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BEF"/>
    <w:rPr>
      <w:b/>
      <w:bCs/>
    </w:rPr>
  </w:style>
  <w:style w:type="paragraph" w:styleId="Header">
    <w:name w:val="header"/>
    <w:basedOn w:val="Normal"/>
    <w:link w:val="HeaderChar"/>
    <w:uiPriority w:val="99"/>
    <w:unhideWhenUsed/>
    <w:rsid w:val="0001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EF"/>
  </w:style>
  <w:style w:type="paragraph" w:styleId="Footer">
    <w:name w:val="footer"/>
    <w:basedOn w:val="Normal"/>
    <w:link w:val="FooterChar"/>
    <w:uiPriority w:val="99"/>
    <w:unhideWhenUsed/>
    <w:rsid w:val="0001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EF"/>
  </w:style>
  <w:style w:type="paragraph" w:styleId="ListParagraph">
    <w:name w:val="List Paragraph"/>
    <w:basedOn w:val="Normal"/>
    <w:uiPriority w:val="34"/>
    <w:qFormat/>
    <w:rsid w:val="00013BEF"/>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3362">
      <w:bodyDiv w:val="1"/>
      <w:marLeft w:val="0"/>
      <w:marRight w:val="0"/>
      <w:marTop w:val="0"/>
      <w:marBottom w:val="0"/>
      <w:divBdr>
        <w:top w:val="none" w:sz="0" w:space="0" w:color="auto"/>
        <w:left w:val="none" w:sz="0" w:space="0" w:color="auto"/>
        <w:bottom w:val="none" w:sz="0" w:space="0" w:color="auto"/>
        <w:right w:val="none" w:sz="0" w:space="0" w:color="auto"/>
      </w:divBdr>
      <w:divsChild>
        <w:div w:id="1354726549">
          <w:marLeft w:val="0"/>
          <w:marRight w:val="0"/>
          <w:marTop w:val="0"/>
          <w:marBottom w:val="0"/>
          <w:divBdr>
            <w:top w:val="none" w:sz="0" w:space="0" w:color="auto"/>
            <w:left w:val="none" w:sz="0" w:space="0" w:color="auto"/>
            <w:bottom w:val="none" w:sz="0" w:space="0" w:color="auto"/>
            <w:right w:val="none" w:sz="0" w:space="0" w:color="auto"/>
          </w:divBdr>
          <w:divsChild>
            <w:div w:id="712579069">
              <w:marLeft w:val="0"/>
              <w:marRight w:val="0"/>
              <w:marTop w:val="150"/>
              <w:marBottom w:val="0"/>
              <w:divBdr>
                <w:top w:val="none" w:sz="0" w:space="0" w:color="auto"/>
                <w:left w:val="none" w:sz="0" w:space="0" w:color="auto"/>
                <w:bottom w:val="none" w:sz="0" w:space="0" w:color="auto"/>
                <w:right w:val="none" w:sz="0" w:space="0" w:color="auto"/>
              </w:divBdr>
              <w:divsChild>
                <w:div w:id="443770241">
                  <w:marLeft w:val="3300"/>
                  <w:marRight w:val="0"/>
                  <w:marTop w:val="0"/>
                  <w:marBottom w:val="0"/>
                  <w:divBdr>
                    <w:top w:val="none" w:sz="0" w:space="0" w:color="auto"/>
                    <w:left w:val="none" w:sz="0" w:space="0" w:color="auto"/>
                    <w:bottom w:val="none" w:sz="0" w:space="0" w:color="auto"/>
                    <w:right w:val="none" w:sz="0" w:space="0" w:color="auto"/>
                  </w:divBdr>
                  <w:divsChild>
                    <w:div w:id="625938737">
                      <w:marLeft w:val="0"/>
                      <w:marRight w:val="0"/>
                      <w:marTop w:val="0"/>
                      <w:marBottom w:val="0"/>
                      <w:divBdr>
                        <w:top w:val="single" w:sz="6" w:space="7" w:color="A8A8A8"/>
                        <w:left w:val="single" w:sz="2" w:space="14" w:color="A8A8A8"/>
                        <w:bottom w:val="single" w:sz="6" w:space="7" w:color="A8A8A8"/>
                        <w:right w:val="single" w:sz="2" w:space="14" w:color="A8A8A8"/>
                      </w:divBdr>
                      <w:divsChild>
                        <w:div w:id="939989725">
                          <w:marLeft w:val="0"/>
                          <w:marRight w:val="0"/>
                          <w:marTop w:val="0"/>
                          <w:marBottom w:val="0"/>
                          <w:divBdr>
                            <w:top w:val="none" w:sz="0" w:space="0" w:color="auto"/>
                            <w:left w:val="none" w:sz="0" w:space="0" w:color="auto"/>
                            <w:bottom w:val="none" w:sz="0" w:space="0" w:color="auto"/>
                            <w:right w:val="none" w:sz="0" w:space="0" w:color="auto"/>
                          </w:divBdr>
                          <w:divsChild>
                            <w:div w:id="1933077273">
                              <w:marLeft w:val="0"/>
                              <w:marRight w:val="0"/>
                              <w:marTop w:val="0"/>
                              <w:marBottom w:val="0"/>
                              <w:divBdr>
                                <w:top w:val="none" w:sz="0" w:space="0" w:color="auto"/>
                                <w:left w:val="none" w:sz="0" w:space="0" w:color="auto"/>
                                <w:bottom w:val="none" w:sz="0" w:space="0" w:color="auto"/>
                                <w:right w:val="none" w:sz="0" w:space="0" w:color="auto"/>
                              </w:divBdr>
                              <w:divsChild>
                                <w:div w:id="348214905">
                                  <w:marLeft w:val="0"/>
                                  <w:marRight w:val="0"/>
                                  <w:marTop w:val="0"/>
                                  <w:marBottom w:val="0"/>
                                  <w:divBdr>
                                    <w:top w:val="none" w:sz="0" w:space="0" w:color="auto"/>
                                    <w:left w:val="none" w:sz="0" w:space="0" w:color="auto"/>
                                    <w:bottom w:val="none" w:sz="0" w:space="0" w:color="auto"/>
                                    <w:right w:val="none" w:sz="0" w:space="0" w:color="auto"/>
                                  </w:divBdr>
                                  <w:divsChild>
                                    <w:div w:id="625309368">
                                      <w:marLeft w:val="0"/>
                                      <w:marRight w:val="0"/>
                                      <w:marTop w:val="0"/>
                                      <w:marBottom w:val="0"/>
                                      <w:divBdr>
                                        <w:top w:val="none" w:sz="0" w:space="0" w:color="auto"/>
                                        <w:left w:val="none" w:sz="0" w:space="0" w:color="auto"/>
                                        <w:bottom w:val="none" w:sz="0" w:space="0" w:color="auto"/>
                                        <w:right w:val="none" w:sz="0" w:space="0" w:color="auto"/>
                                      </w:divBdr>
                                      <w:divsChild>
                                        <w:div w:id="261690487">
                                          <w:marLeft w:val="0"/>
                                          <w:marRight w:val="0"/>
                                          <w:marTop w:val="0"/>
                                          <w:marBottom w:val="0"/>
                                          <w:divBdr>
                                            <w:top w:val="none" w:sz="0" w:space="0" w:color="auto"/>
                                            <w:left w:val="none" w:sz="0" w:space="0" w:color="auto"/>
                                            <w:bottom w:val="none" w:sz="0" w:space="0" w:color="auto"/>
                                            <w:right w:val="none" w:sz="0" w:space="0" w:color="auto"/>
                                          </w:divBdr>
                                          <w:divsChild>
                                            <w:div w:id="1027562119">
                                              <w:marLeft w:val="0"/>
                                              <w:marRight w:val="0"/>
                                              <w:marTop w:val="0"/>
                                              <w:marBottom w:val="0"/>
                                              <w:divBdr>
                                                <w:top w:val="none" w:sz="0" w:space="0" w:color="auto"/>
                                                <w:left w:val="none" w:sz="0" w:space="0" w:color="auto"/>
                                                <w:bottom w:val="none" w:sz="0" w:space="0" w:color="auto"/>
                                                <w:right w:val="none" w:sz="0" w:space="0" w:color="auto"/>
                                              </w:divBdr>
                                              <w:divsChild>
                                                <w:div w:id="620844709">
                                                  <w:marLeft w:val="0"/>
                                                  <w:marRight w:val="0"/>
                                                  <w:marTop w:val="0"/>
                                                  <w:marBottom w:val="0"/>
                                                  <w:divBdr>
                                                    <w:top w:val="none" w:sz="0" w:space="0" w:color="auto"/>
                                                    <w:left w:val="none" w:sz="0" w:space="0" w:color="auto"/>
                                                    <w:bottom w:val="none" w:sz="0" w:space="0" w:color="auto"/>
                                                    <w:right w:val="none" w:sz="0" w:space="0" w:color="auto"/>
                                                  </w:divBdr>
                                                  <w:divsChild>
                                                    <w:div w:id="772701244">
                                                      <w:marLeft w:val="0"/>
                                                      <w:marRight w:val="0"/>
                                                      <w:marTop w:val="0"/>
                                                      <w:marBottom w:val="0"/>
                                                      <w:divBdr>
                                                        <w:top w:val="none" w:sz="0" w:space="0" w:color="auto"/>
                                                        <w:left w:val="none" w:sz="0" w:space="0" w:color="auto"/>
                                                        <w:bottom w:val="none" w:sz="0" w:space="0" w:color="auto"/>
                                                        <w:right w:val="none" w:sz="0" w:space="0" w:color="auto"/>
                                                      </w:divBdr>
                                                    </w:div>
                                                  </w:divsChild>
                                                </w:div>
                                                <w:div w:id="2077164417">
                                                  <w:marLeft w:val="0"/>
                                                  <w:marRight w:val="0"/>
                                                  <w:marTop w:val="0"/>
                                                  <w:marBottom w:val="0"/>
                                                  <w:divBdr>
                                                    <w:top w:val="none" w:sz="0" w:space="0" w:color="auto"/>
                                                    <w:left w:val="none" w:sz="0" w:space="0" w:color="auto"/>
                                                    <w:bottom w:val="none" w:sz="0" w:space="0" w:color="auto"/>
                                                    <w:right w:val="none" w:sz="0" w:space="0" w:color="auto"/>
                                                  </w:divBdr>
                                                  <w:divsChild>
                                                    <w:div w:id="1411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5216</Characters>
  <Application>Microsoft Office Word</Application>
  <DocSecurity>0</DocSecurity>
  <Lines>43</Lines>
  <Paragraphs>12</Paragraphs>
  <ScaleCrop>false</ScaleCrop>
  <Company>Moreton Bay Regional Council</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2017-07-12T00:11:00Z</dcterms:created>
  <dcterms:modified xsi:type="dcterms:W3CDTF">2017-07-12T00:14:00Z</dcterms:modified>
</cp:coreProperties>
</file>