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E12CC5" w:rsidRPr="00E12CC5" w:rsidTr="00E12CC5">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E12CC5" w:rsidRPr="00E12CC5" w:rsidRDefault="00E12CC5" w:rsidP="00E12CC5">
            <w:pPr>
              <w:spacing w:before="100" w:beforeAutospacing="1" w:after="100" w:afterAutospacing="1" w:line="240" w:lineRule="auto"/>
              <w:jc w:val="center"/>
              <w:rPr>
                <w:rFonts w:ascii="Arial" w:eastAsia="Times New Roman" w:hAnsi="Arial" w:cs="Arial"/>
                <w:sz w:val="20"/>
                <w:szCs w:val="20"/>
                <w:lang w:eastAsia="en-AU"/>
              </w:rPr>
            </w:pPr>
            <w:r w:rsidRPr="00E12CC5">
              <w:rPr>
                <w:rFonts w:ascii="Arial" w:eastAsia="Times New Roman" w:hAnsi="Arial" w:cs="Arial"/>
                <w:b/>
                <w:bCs/>
                <w:sz w:val="20"/>
                <w:szCs w:val="20"/>
                <w:lang w:eastAsia="en-AU"/>
              </w:rPr>
              <w:t>Table 8.2.2.1 Requirements for accepted development - Flood hazard overlay</w:t>
            </w:r>
          </w:p>
        </w:tc>
      </w:tr>
    </w:tbl>
    <w:p w:rsidR="00E12CC5" w:rsidRDefault="00E12CC5"/>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980"/>
        <w:gridCol w:w="9316"/>
        <w:gridCol w:w="2103"/>
        <w:gridCol w:w="2983"/>
      </w:tblGrid>
      <w:tr w:rsidR="00E12CC5" w:rsidRPr="00E12CC5" w:rsidTr="00753355">
        <w:trPr>
          <w:tblCellSpacing w:w="15" w:type="dxa"/>
        </w:trPr>
        <w:tc>
          <w:tcPr>
            <w:tcW w:w="334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Requirements for accepted development</w:t>
            </w:r>
          </w:p>
        </w:tc>
        <w:tc>
          <w:tcPr>
            <w:tcW w:w="678" w:type="pct"/>
            <w:tcBorders>
              <w:top w:val="outset" w:sz="6" w:space="0" w:color="auto"/>
              <w:left w:val="outset" w:sz="6" w:space="0" w:color="auto"/>
              <w:bottom w:val="outset" w:sz="6" w:space="0" w:color="auto"/>
              <w:right w:val="outset" w:sz="6" w:space="0" w:color="auto"/>
            </w:tcBorders>
            <w:shd w:val="clear" w:color="auto" w:fill="CCCCCC"/>
          </w:tcPr>
          <w:p w:rsidR="00E12CC5" w:rsidRPr="002A4FFF" w:rsidRDefault="00E12CC5" w:rsidP="00E12CC5">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4FFF">
              <w:rPr>
                <w:rFonts w:ascii="Arial" w:eastAsia="Times New Roman" w:hAnsi="Arial" w:cs="Arial"/>
                <w:b/>
                <w:bCs/>
                <w:sz w:val="20"/>
                <w:szCs w:val="20"/>
                <w:lang w:eastAsia="en-AU"/>
              </w:rPr>
              <w:t xml:space="preserve"> Compliance</w:t>
            </w:r>
          </w:p>
          <w:p w:rsidR="00E12CC5"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sidRPr="002A4FFF">
              <w:rPr>
                <w:rFonts w:eastAsia="Times New Roman" w:cs="Arial"/>
                <w:b/>
                <w:bCs/>
                <w:sz w:val="20"/>
                <w:szCs w:val="20"/>
                <w:lang w:eastAsia="en-AU"/>
              </w:rPr>
              <w:t>Yes</w:t>
            </w:r>
          </w:p>
          <w:p w:rsidR="00E12CC5" w:rsidRPr="00282FCF"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Pr>
                <w:rFonts w:eastAsia="Times New Roman" w:cs="Arial"/>
                <w:b/>
                <w:bCs/>
                <w:sz w:val="20"/>
                <w:szCs w:val="20"/>
                <w:lang w:eastAsia="en-AU"/>
              </w:rPr>
              <w:t>No</w:t>
            </w:r>
          </w:p>
        </w:tc>
        <w:tc>
          <w:tcPr>
            <w:tcW w:w="942" w:type="pct"/>
            <w:tcBorders>
              <w:top w:val="outset" w:sz="6" w:space="0" w:color="auto"/>
              <w:left w:val="outset" w:sz="6" w:space="0" w:color="auto"/>
              <w:bottom w:val="outset" w:sz="6" w:space="0" w:color="auto"/>
              <w:right w:val="outset" w:sz="6" w:space="0" w:color="auto"/>
            </w:tcBorders>
            <w:shd w:val="clear" w:color="auto" w:fill="CCCCCC"/>
          </w:tcPr>
          <w:p w:rsidR="00E12CC5" w:rsidRPr="00282FCF" w:rsidRDefault="00E12CC5" w:rsidP="00E12CC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753355" w:rsidRPr="00E12CC5"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A – If for accepted development subject to requirements for material change of use in an existing building</w:t>
            </w:r>
          </w:p>
        </w:tc>
      </w:tr>
      <w:tr w:rsidR="00E12CC5" w:rsidRPr="00E12CC5" w:rsidTr="00753355">
        <w:trPr>
          <w:trHeight w:val="1710"/>
          <w:tblCellSpacing w:w="15" w:type="dxa"/>
        </w:trPr>
        <w:tc>
          <w:tcPr>
            <w:tcW w:w="30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RAD1</w:t>
            </w:r>
          </w:p>
        </w:tc>
        <w:tc>
          <w:tcPr>
            <w:tcW w:w="302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new building materials utilised as a consequence of the change of use for habitable and non-habitable rooms below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have a high water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196"/>
            </w:tblGrid>
            <w:tr w:rsidR="00E12CC5" w:rsidRPr="00E12CC5" w:rsidTr="00E12CC5">
              <w:trPr>
                <w:tblCellSpacing w:w="15" w:type="dxa"/>
              </w:trPr>
              <w:tc>
                <w:tcPr>
                  <w:tcW w:w="0" w:type="auto"/>
                  <w:vAlign w:val="cente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7" w:history="1">
                    <w:r w:rsidR="00753355" w:rsidRPr="00755725">
                      <w:rPr>
                        <w:rStyle w:val="Hyperlink"/>
                        <w:rFonts w:ascii="Arial" w:eastAsia="Times New Roman" w:hAnsi="Arial" w:cs="Arial"/>
                        <w:sz w:val="20"/>
                        <w:szCs w:val="20"/>
                        <w:lang w:eastAsia="en-AU"/>
                      </w:rPr>
                      <w:t>http://www.hpw.qld.gov.au/SiteCollectionDocuments/WaterResilient ProductsAndBuildingTechniquesForRebuildingAfterAFlood.pdf</w:t>
                    </w:r>
                  </w:hyperlink>
                </w:p>
              </w:tc>
            </w:tr>
          </w:tbl>
          <w:p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753355" w:rsidRPr="00E12CC5"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B – If for accepted development subject to requirements other than a material change of use in an existing building</w:t>
            </w: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RAD2</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habitable floor level that is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RAD3</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finished floor level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rHeight w:val="1815"/>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RAD4</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building materials for non-habitable rooms below the flood planning level in </w:t>
            </w:r>
            <w:r w:rsidRPr="00E12CC5">
              <w:rPr>
                <w:rFonts w:ascii="Arial" w:eastAsia="Times New Roman" w:hAnsi="Arial" w:cs="Arial"/>
                <w:color w:val="0000FF"/>
                <w:sz w:val="20"/>
                <w:szCs w:val="20"/>
                <w:lang w:eastAsia="en-AU"/>
              </w:rPr>
              <w:t xml:space="preserve">Table 8.2.2.3 </w:t>
            </w:r>
            <w:r w:rsidRPr="00E12CC5">
              <w:rPr>
                <w:rFonts w:ascii="Arial" w:eastAsia="Times New Roman" w:hAnsi="Arial" w:cs="Arial"/>
                <w:sz w:val="20"/>
                <w:szCs w:val="20"/>
                <w:lang w:eastAsia="en-AU"/>
              </w:rPr>
              <w:t xml:space="preserve">have a high water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rsidTr="00E12CC5">
              <w:trPr>
                <w:tblCellSpacing w:w="15" w:type="dxa"/>
              </w:trPr>
              <w:tc>
                <w:tcPr>
                  <w:tcW w:w="0" w:type="auto"/>
                  <w:vAlign w:val="cente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8" w:tgtFrame="_blank" w:history="1">
                    <w:r w:rsidRPr="00E12CC5">
                      <w:rPr>
                        <w:rFonts w:ascii="Arial" w:eastAsia="Times New Roman" w:hAnsi="Arial" w:cs="Arial"/>
                        <w:color w:val="0000FF"/>
                        <w:sz w:val="20"/>
                        <w:szCs w:val="20"/>
                        <w:lang w:eastAsia="en-AU"/>
                      </w:rPr>
                      <w:t>http://www.hpw.qld.gov.au/SiteCollectionDocuments/WaterResilient ProductsAndBuildingTechniquesForRebuildingAfterAFlood.pdf</w:t>
                    </w:r>
                  </w:hyperlink>
                </w:p>
              </w:tc>
            </w:tr>
          </w:tbl>
          <w:p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rHeight w:val="1350"/>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RAD5</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on land below the level of the Defined Flood Event involving earthworks complies with the requirements of </w:t>
            </w:r>
            <w:hyperlink r:id="rId9" w:anchor="ID-571945-TABLE-8.2.2.4" w:history="1">
              <w:r w:rsidRPr="00E12CC5">
                <w:rPr>
                  <w:rFonts w:ascii="Arial" w:eastAsia="Times New Roman" w:hAnsi="Arial" w:cs="Arial"/>
                  <w:color w:val="0000FF"/>
                  <w:sz w:val="20"/>
                  <w:szCs w:val="20"/>
                  <w:lang w:eastAsia="en-AU"/>
                </w:rPr>
                <w:t>Table 8.2.2.4 ‘Fill Requirements’</w:t>
              </w:r>
            </w:hyperlink>
            <w:r w:rsidRPr="00E12CC5">
              <w:rPr>
                <w:rFonts w:ascii="Arial" w:eastAsia="Times New Roman" w:hAnsi="Arial" w:cs="Arial"/>
                <w:sz w:val="20"/>
                <w:szCs w:val="20"/>
                <w:lang w:eastAsia="en-AU"/>
              </w:rPr>
              <w:t xml:space="preserve"> and does not increase the potential for erosion, scour or flood damage either on the premises or on other premises, public land, watercourses, roads or infrastructure or elsewhere in the floodplain.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rsidTr="00E12CC5">
              <w:trPr>
                <w:tblCellSpacing w:w="15" w:type="dxa"/>
              </w:trPr>
              <w:tc>
                <w:tcPr>
                  <w:tcW w:w="0" w:type="auto"/>
                  <w:vAlign w:val="cente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Prior to development occurring, an investigation into the potential impacts of earthworks should be undertaken by a suitably qualified person so that a prospective developer can satisfy themselves the development meets this RAD.  Guidance on the matters to be addressed is provided in Planning scheme policy - Flood hazard, Coastal hazard and Overland flow. </w:t>
                  </w:r>
                </w:p>
              </w:tc>
            </w:tr>
          </w:tbl>
          <w:p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lastRenderedPageBreak/>
              <w:t>RAD6</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3549EA">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that involves a hazardous chemical ensures the hazardous chemical is located and stored at or above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RAD7</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 Park ensures works are provided in accordance with the requirements set out in Appendix B of the Planning scheme policy - Integrated design.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RAD8</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an Advertising device is located, designed and constructed to resist the hydrostatic and hydrodynamic forces as a result of inundation by the Defined Flood Event.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bl>
    <w:p w:rsidR="003549EA" w:rsidRPr="003549EA" w:rsidRDefault="003549EA" w:rsidP="003549EA">
      <w:pPr>
        <w:rPr>
          <w:rFonts w:ascii="Arial" w:hAnsi="Arial" w:cs="Arial"/>
          <w:sz w:val="20"/>
          <w:szCs w:val="20"/>
        </w:rPr>
      </w:pPr>
    </w:p>
    <w:p w:rsidR="001060F5" w:rsidRDefault="001060F5">
      <w:pPr>
        <w:rPr>
          <w:rFonts w:ascii="Arial" w:hAnsi="Arial" w:cs="Arial"/>
          <w:sz w:val="20"/>
          <w:szCs w:val="20"/>
        </w:rPr>
      </w:pPr>
      <w:r>
        <w:rPr>
          <w:rFonts w:ascii="Arial" w:hAnsi="Arial" w:cs="Arial"/>
          <w:sz w:val="20"/>
          <w:szCs w:val="20"/>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5"/>
        <w:gridCol w:w="6166"/>
        <w:gridCol w:w="3575"/>
        <w:gridCol w:w="5552"/>
        <w:gridCol w:w="45"/>
      </w:tblGrid>
      <w:tr w:rsidR="001060F5" w:rsidRPr="007955D5" w:rsidTr="001060F5">
        <w:trPr>
          <w:gridBefore w:val="1"/>
          <w:gridAfter w:val="1"/>
          <w:tblCellSpacing w:w="15" w:type="dxa"/>
        </w:trPr>
        <w:tc>
          <w:tcPr>
            <w:tcW w:w="0" w:type="auto"/>
            <w:gridSpan w:val="3"/>
            <w:tcBorders>
              <w:top w:val="nil"/>
              <w:left w:val="nil"/>
              <w:bottom w:val="nil"/>
              <w:right w:val="nil"/>
            </w:tcBorders>
            <w:shd w:val="clear" w:color="auto" w:fill="CCCCCC"/>
            <w:vAlign w:val="center"/>
            <w:hideMark/>
          </w:tcPr>
          <w:p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Table 8.2.2.3 Flood planning level for a habitable floor (residential development) and a non-habitable floor (non-residential development) and levels for hazardous chemicals</w:t>
            </w:r>
          </w:p>
        </w:tc>
      </w:tr>
      <w:tr w:rsidR="001060F5" w:rsidRPr="007955D5"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1157"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Defined freeboard</w:t>
            </w:r>
          </w:p>
        </w:tc>
        <w:tc>
          <w:tcPr>
            <w:tcW w:w="1801"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level</w:t>
            </w:r>
          </w:p>
        </w:tc>
      </w:tr>
      <w:tr w:rsidR="001060F5" w:rsidRPr="007955D5"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inside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500mm</w:t>
            </w:r>
          </w:p>
        </w:tc>
        <w:tc>
          <w:tcPr>
            <w:tcW w:w="1801"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+ 500mm</w:t>
            </w:r>
          </w:p>
        </w:tc>
      </w:tr>
      <w:tr w:rsidR="001060F5" w:rsidRPr="007955D5"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outside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300mm</w:t>
            </w:r>
          </w:p>
        </w:tc>
        <w:tc>
          <w:tcPr>
            <w:tcW w:w="1801"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+ 300mm</w:t>
            </w:r>
          </w:p>
        </w:tc>
      </w:tr>
      <w:tr w:rsidR="001060F5" w:rsidRPr="007955D5"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(west of the Bruce Highway)</w:t>
            </w:r>
          </w:p>
        </w:tc>
        <w:tc>
          <w:tcPr>
            <w:tcW w:w="1157"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750mm</w:t>
            </w:r>
          </w:p>
        </w:tc>
        <w:tc>
          <w:tcPr>
            <w:tcW w:w="1801"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+ 750mm</w:t>
            </w:r>
          </w:p>
        </w:tc>
      </w:tr>
      <w:tr w:rsidR="001060F5" w:rsidRPr="007955D5" w:rsidTr="001060F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5"/>
            <w:vAlign w:val="center"/>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rsidR="001060F5" w:rsidRDefault="001060F5" w:rsidP="001060F5"/>
    <w:p w:rsidR="001060F5" w:rsidRDefault="001060F5" w:rsidP="001060F5"/>
    <w:p w:rsidR="001060F5" w:rsidRDefault="001060F5" w:rsidP="001060F5"/>
    <w:tbl>
      <w:tblPr>
        <w:tblW w:w="4966" w:type="pct"/>
        <w:tblCellSpacing w:w="15" w:type="dxa"/>
        <w:tblInd w:w="5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14"/>
        <w:gridCol w:w="7563"/>
      </w:tblGrid>
      <w:tr w:rsidR="001060F5" w:rsidRPr="007955D5" w:rsidTr="00DB2DDD">
        <w:trPr>
          <w:tblCellSpacing w:w="15" w:type="dxa"/>
        </w:trPr>
        <w:tc>
          <w:tcPr>
            <w:tcW w:w="0" w:type="auto"/>
            <w:gridSpan w:val="2"/>
            <w:tcBorders>
              <w:top w:val="nil"/>
              <w:left w:val="nil"/>
              <w:bottom w:val="nil"/>
              <w:right w:val="nil"/>
            </w:tcBorders>
            <w:shd w:val="clear" w:color="auto" w:fill="CCCCCC"/>
            <w:vAlign w:val="center"/>
            <w:hideMark/>
          </w:tcPr>
          <w:p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t>Table 8.2.2.4 Fill Requirements</w:t>
            </w:r>
          </w:p>
        </w:tc>
      </w:tr>
      <w:tr w:rsidR="001060F5" w:rsidRPr="007955D5" w:rsidTr="00DB2DDD">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Fill level</w:t>
            </w:r>
          </w:p>
        </w:tc>
      </w:tr>
      <w:tr w:rsidR="001060F5" w:rsidRPr="007955D5"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High risk area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High risk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rsidTr="00DB2DDD">
        <w:trPr>
          <w:trHeight w:val="42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in accordance with the relevant adopted Drainage master plan.</w:t>
            </w:r>
          </w:p>
        </w:tc>
      </w:tr>
      <w:tr w:rsidR="001060F5" w:rsidRPr="007955D5"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permitted - Development Footprint as a minimum to the Defined Flood Event.</w:t>
            </w:r>
          </w:p>
        </w:tc>
      </w:tr>
    </w:tbl>
    <w:p w:rsidR="001060F5" w:rsidRPr="007955D5" w:rsidRDefault="001060F5" w:rsidP="001060F5">
      <w:pPr>
        <w:shd w:val="clear" w:color="auto" w:fill="FFFFFF"/>
        <w:spacing w:before="100" w:beforeAutospacing="1" w:after="100" w:afterAutospacing="1" w:line="240" w:lineRule="auto"/>
        <w:rPr>
          <w:rFonts w:ascii="Arial" w:eastAsia="Times New Roman" w:hAnsi="Arial" w:cs="Arial"/>
          <w:b/>
          <w:bCs/>
          <w:sz w:val="20"/>
          <w:szCs w:val="20"/>
          <w:lang w:eastAsia="en-AU"/>
        </w:rPr>
        <w:sectPr w:rsidR="001060F5" w:rsidRPr="007955D5" w:rsidSect="008B094C">
          <w:headerReference w:type="even" r:id="rId10"/>
          <w:headerReference w:type="default" r:id="rId11"/>
          <w:footerReference w:type="even" r:id="rId12"/>
          <w:footerReference w:type="default" r:id="rId13"/>
          <w:headerReference w:type="first" r:id="rId14"/>
          <w:footerReference w:type="first" r:id="rId15"/>
          <w:pgSz w:w="16838" w:h="11906" w:orient="landscape"/>
          <w:pgMar w:top="720" w:right="720" w:bottom="720" w:left="720" w:header="708" w:footer="708" w:gutter="0"/>
          <w:cols w:space="708"/>
          <w:docGrid w:linePitch="360"/>
        </w:sectPr>
      </w:pP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7955D5">
        <w:rPr>
          <w:rFonts w:ascii="Arial" w:eastAsia="Times New Roman" w:hAnsi="Arial" w:cs="Arial"/>
          <w:b/>
          <w:bCs/>
          <w:sz w:val="20"/>
          <w:szCs w:val="20"/>
          <w:lang w:eastAsia="en-AU"/>
        </w:rPr>
        <w:lastRenderedPageBreak/>
        <w:t>Figure 8.2.2.1 - Albany Creek</w:t>
      </w:r>
      <w:r w:rsidRPr="007955D5">
        <w:rPr>
          <w:rFonts w:ascii="Arial" w:eastAsia="Times New Roman" w:hAnsi="Arial" w:cs="Arial"/>
          <w:sz w:val="20"/>
          <w:szCs w:val="20"/>
          <w:lang w:eastAsia="en-AU"/>
        </w:rPr>
        <w:t xml:space="preserve"> </w:t>
      </w:r>
      <w:hyperlink r:id="rId16" w:tgtFrame="_blank" w:tooltip="Link to larger image (popup)" w:history="1"/>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0AC3052F" wp14:editId="76AA820F">
            <wp:extent cx="5762625" cy="8123555"/>
            <wp:effectExtent l="0" t="0" r="952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8.2.2.2 - Clontarf</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064C7D2D" wp14:editId="3F6AE769">
            <wp:extent cx="5762625" cy="8123555"/>
            <wp:effectExtent l="0" t="0" r="9525" b="0"/>
            <wp:docPr id="9" name="Picture 9" descr="Clont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ntar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8.2.2.3 - Woody Point</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033C8C9A" wp14:editId="44EAA12C">
            <wp:extent cx="5762625" cy="8123555"/>
            <wp:effectExtent l="0" t="0" r="9525" b="0"/>
            <wp:docPr id="8" name="Picture 8" descr="Wood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y Po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8.2.2.4 - Margate</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7835FBC9" wp14:editId="4A0946F4">
            <wp:extent cx="5762625" cy="8123555"/>
            <wp:effectExtent l="0" t="0" r="9525" b="0"/>
            <wp:docPr id="7" name="Picture 7" descr="Mar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g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8.2.2.5 - Redcliffe - Scarborough</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60F3DF12" wp14:editId="06C1ACFB">
            <wp:extent cx="5762625" cy="8123555"/>
            <wp:effectExtent l="0" t="0" r="9525" b="0"/>
            <wp:docPr id="6" name="Picture 6" descr="Redcliffe Scar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cliffe Scarboroug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8.2.2.6 - Scarborough</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4F15BAD3" wp14:editId="0FAD1FD9">
            <wp:extent cx="5762625" cy="8123555"/>
            <wp:effectExtent l="0" t="0" r="9525" b="0"/>
            <wp:docPr id="5" name="Picture 5" descr="Scar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rboroug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8.2.2.7 - Rothwell</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7FAB9095" wp14:editId="73D6B2A4">
            <wp:extent cx="5762625" cy="8123555"/>
            <wp:effectExtent l="0" t="0" r="9525" b="0"/>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br/>
      </w:r>
      <w:r w:rsidRPr="007955D5">
        <w:rPr>
          <w:rFonts w:ascii="Arial" w:eastAsia="Times New Roman" w:hAnsi="Arial" w:cs="Arial"/>
          <w:sz w:val="20"/>
          <w:szCs w:val="20"/>
          <w:lang w:eastAsia="en-AU"/>
        </w:rPr>
        <w:br/>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8.2.2.8 - Deception Bay</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0E902A01" wp14:editId="4BA8158B">
            <wp:extent cx="5762625" cy="8123555"/>
            <wp:effectExtent l="0" t="0" r="9525" b="0"/>
            <wp:docPr id="3" name="Picture 3" descr="Deceptio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eption B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8.2.2.9 - Burpengary</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0A4F63A5" wp14:editId="22AE64DE">
            <wp:extent cx="5762625" cy="8123555"/>
            <wp:effectExtent l="0" t="0" r="9525"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8.2.2.10 - Caboolture</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17606DC5" wp14:editId="695FDF3A">
            <wp:extent cx="5762625" cy="8123555"/>
            <wp:effectExtent l="0" t="0" r="9525" b="0"/>
            <wp:docPr id="1" name="Picture 1" descr="Caboo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bool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pacing w:before="100" w:beforeAutospacing="1" w:after="100" w:afterAutospacing="1" w:line="240" w:lineRule="auto"/>
        <w:jc w:val="center"/>
        <w:rPr>
          <w:rFonts w:ascii="Arial" w:hAnsi="Arial" w:cs="Arial"/>
          <w:sz w:val="20"/>
          <w:szCs w:val="20"/>
        </w:rPr>
      </w:pPr>
    </w:p>
    <w:p w:rsidR="00641E2E" w:rsidRPr="003549EA" w:rsidRDefault="00641E2E" w:rsidP="003549EA">
      <w:pPr>
        <w:tabs>
          <w:tab w:val="left" w:pos="3567"/>
        </w:tabs>
        <w:rPr>
          <w:rFonts w:ascii="Arial" w:hAnsi="Arial" w:cs="Arial"/>
          <w:sz w:val="20"/>
          <w:szCs w:val="20"/>
        </w:rPr>
      </w:pPr>
    </w:p>
    <w:sectPr w:rsidR="00641E2E" w:rsidRPr="003549EA" w:rsidSect="001060F5">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692" w:rsidRDefault="001F7692" w:rsidP="00E12CC5">
      <w:pPr>
        <w:spacing w:after="0" w:line="240" w:lineRule="auto"/>
      </w:pPr>
      <w:r>
        <w:separator/>
      </w:r>
    </w:p>
  </w:endnote>
  <w:endnote w:type="continuationSeparator" w:id="0">
    <w:p w:rsidR="001F7692" w:rsidRDefault="001F7692" w:rsidP="00E1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0F5" w:rsidRDefault="001060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0F5" w:rsidRPr="008B094C" w:rsidRDefault="001060F5" w:rsidP="008B094C">
    <w:pPr>
      <w:pStyle w:val="Footer"/>
      <w:jc w:val="center"/>
      <w:rPr>
        <w:rFonts w:ascii="Arial" w:hAnsi="Arial" w:cs="Arial"/>
        <w:i/>
        <w:sz w:val="20"/>
        <w:szCs w:val="20"/>
      </w:rPr>
    </w:pPr>
    <w:r w:rsidRPr="005A0BA0">
      <w:rPr>
        <w:rFonts w:ascii="Arial" w:hAnsi="Arial" w:cs="Arial"/>
        <w:i/>
        <w:sz w:val="20"/>
        <w:szCs w:val="20"/>
      </w:rPr>
      <w:t xml:space="preserve">MBRC Planning Scheme - </w:t>
    </w:r>
    <w:r>
      <w:rPr>
        <w:rFonts w:ascii="Arial" w:hAnsi="Arial" w:cs="Arial"/>
        <w:i/>
        <w:sz w:val="20"/>
        <w:szCs w:val="20"/>
      </w:rPr>
      <w:t xml:space="preserve">Overlay code - Flood hazard - </w:t>
    </w:r>
    <w:r w:rsidRPr="005A0BA0">
      <w:rPr>
        <w:rFonts w:ascii="Arial" w:hAnsi="Arial" w:cs="Arial"/>
        <w:i/>
        <w:sz w:val="20"/>
        <w:szCs w:val="20"/>
      </w:rPr>
      <w:t xml:space="preserve">Assessable - </w:t>
    </w:r>
    <w:r>
      <w:rPr>
        <w:rFonts w:ascii="Arial" w:hAnsi="Arial" w:cs="Arial"/>
        <w:i/>
        <w:sz w:val="20"/>
        <w:szCs w:val="20"/>
      </w:rPr>
      <w:t>3 July 2017</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264930271"/>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3</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0F5" w:rsidRDefault="001060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C5" w:rsidRPr="003549EA" w:rsidRDefault="00E12CC5" w:rsidP="003549EA">
    <w:pPr>
      <w:pStyle w:val="Footer"/>
      <w:jc w:val="center"/>
      <w:rPr>
        <w:rFonts w:ascii="Arial" w:hAnsi="Arial" w:cs="Arial"/>
        <w:i/>
        <w:sz w:val="20"/>
        <w:szCs w:val="20"/>
      </w:rPr>
    </w:pPr>
    <w:r w:rsidRPr="005A0BA0">
      <w:rPr>
        <w:rFonts w:ascii="Arial" w:hAnsi="Arial" w:cs="Arial"/>
        <w:i/>
        <w:sz w:val="20"/>
        <w:szCs w:val="20"/>
      </w:rPr>
      <w:t xml:space="preserve">MBRC Planning Scheme - </w:t>
    </w:r>
    <w:r>
      <w:rPr>
        <w:rFonts w:ascii="Arial" w:hAnsi="Arial" w:cs="Arial"/>
        <w:i/>
        <w:sz w:val="20"/>
        <w:szCs w:val="20"/>
      </w:rPr>
      <w:t>Overlay code - Flood hazard - Requirements for accepted development</w:t>
    </w:r>
    <w:r w:rsidRPr="005A0BA0">
      <w:rPr>
        <w:rFonts w:ascii="Arial" w:hAnsi="Arial" w:cs="Arial"/>
        <w:i/>
        <w:sz w:val="20"/>
        <w:szCs w:val="20"/>
      </w:rPr>
      <w:t xml:space="preserve"> - </w:t>
    </w:r>
    <w:r>
      <w:rPr>
        <w:rFonts w:ascii="Arial" w:hAnsi="Arial" w:cs="Arial"/>
        <w:i/>
        <w:sz w:val="20"/>
        <w:szCs w:val="20"/>
      </w:rPr>
      <w:t>3 July 2017</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1060F5">
          <w:rPr>
            <w:rFonts w:ascii="Arial" w:hAnsi="Arial" w:cs="Arial"/>
            <w:noProof/>
            <w:sz w:val="20"/>
            <w:szCs w:val="20"/>
          </w:rPr>
          <w:t>7</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692" w:rsidRDefault="001F7692" w:rsidP="00E12CC5">
      <w:pPr>
        <w:spacing w:after="0" w:line="240" w:lineRule="auto"/>
      </w:pPr>
      <w:r>
        <w:separator/>
      </w:r>
    </w:p>
  </w:footnote>
  <w:footnote w:type="continuationSeparator" w:id="0">
    <w:p w:rsidR="001F7692" w:rsidRDefault="001F7692" w:rsidP="00E12C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0F5" w:rsidRDefault="001060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0F5" w:rsidRDefault="001060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0F5" w:rsidRDefault="001060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CC5"/>
    <w:rsid w:val="001060F5"/>
    <w:rsid w:val="001F7692"/>
    <w:rsid w:val="003549EA"/>
    <w:rsid w:val="003B5C12"/>
    <w:rsid w:val="004E0E41"/>
    <w:rsid w:val="00641E2E"/>
    <w:rsid w:val="00753355"/>
    <w:rsid w:val="00E12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640D25-8E82-433D-B345-425CCA93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CC5"/>
  </w:style>
  <w:style w:type="paragraph" w:styleId="Footer">
    <w:name w:val="footer"/>
    <w:basedOn w:val="Normal"/>
    <w:link w:val="FooterChar"/>
    <w:uiPriority w:val="99"/>
    <w:unhideWhenUsed/>
    <w:rsid w:val="00E12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CC5"/>
  </w:style>
  <w:style w:type="character" w:styleId="Strong">
    <w:name w:val="Strong"/>
    <w:basedOn w:val="DefaultParagraphFont"/>
    <w:uiPriority w:val="22"/>
    <w:qFormat/>
    <w:rsid w:val="00E12CC5"/>
    <w:rPr>
      <w:b/>
      <w:bCs/>
    </w:rPr>
  </w:style>
  <w:style w:type="paragraph" w:styleId="ListParagraph">
    <w:name w:val="List Paragraph"/>
    <w:basedOn w:val="Normal"/>
    <w:uiPriority w:val="34"/>
    <w:qFormat/>
    <w:rsid w:val="00E12CC5"/>
    <w:pPr>
      <w:spacing w:after="200" w:line="276" w:lineRule="auto"/>
      <w:ind w:left="720"/>
      <w:contextualSpacing/>
    </w:pPr>
    <w:rPr>
      <w:rFonts w:ascii="Arial" w:hAnsi="Arial"/>
    </w:rPr>
  </w:style>
  <w:style w:type="character" w:styleId="Hyperlink">
    <w:name w:val="Hyperlink"/>
    <w:basedOn w:val="DefaultParagraphFont"/>
    <w:uiPriority w:val="99"/>
    <w:unhideWhenUsed/>
    <w:rsid w:val="007533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531159">
      <w:bodyDiv w:val="1"/>
      <w:marLeft w:val="0"/>
      <w:marRight w:val="0"/>
      <w:marTop w:val="0"/>
      <w:marBottom w:val="0"/>
      <w:divBdr>
        <w:top w:val="none" w:sz="0" w:space="0" w:color="auto"/>
        <w:left w:val="none" w:sz="0" w:space="0" w:color="auto"/>
        <w:bottom w:val="none" w:sz="0" w:space="0" w:color="auto"/>
        <w:right w:val="none" w:sz="0" w:space="0" w:color="auto"/>
      </w:divBdr>
      <w:divsChild>
        <w:div w:id="1135222060">
          <w:marLeft w:val="0"/>
          <w:marRight w:val="0"/>
          <w:marTop w:val="0"/>
          <w:marBottom w:val="0"/>
          <w:divBdr>
            <w:top w:val="none" w:sz="0" w:space="0" w:color="auto"/>
            <w:left w:val="none" w:sz="0" w:space="0" w:color="auto"/>
            <w:bottom w:val="none" w:sz="0" w:space="0" w:color="auto"/>
            <w:right w:val="none" w:sz="0" w:space="0" w:color="auto"/>
          </w:divBdr>
          <w:divsChild>
            <w:div w:id="1534271599">
              <w:marLeft w:val="0"/>
              <w:marRight w:val="0"/>
              <w:marTop w:val="150"/>
              <w:marBottom w:val="0"/>
              <w:divBdr>
                <w:top w:val="none" w:sz="0" w:space="0" w:color="auto"/>
                <w:left w:val="none" w:sz="0" w:space="0" w:color="auto"/>
                <w:bottom w:val="none" w:sz="0" w:space="0" w:color="auto"/>
                <w:right w:val="none" w:sz="0" w:space="0" w:color="auto"/>
              </w:divBdr>
              <w:divsChild>
                <w:div w:id="2016302382">
                  <w:marLeft w:val="3300"/>
                  <w:marRight w:val="0"/>
                  <w:marTop w:val="0"/>
                  <w:marBottom w:val="0"/>
                  <w:divBdr>
                    <w:top w:val="none" w:sz="0" w:space="0" w:color="auto"/>
                    <w:left w:val="none" w:sz="0" w:space="0" w:color="auto"/>
                    <w:bottom w:val="none" w:sz="0" w:space="0" w:color="auto"/>
                    <w:right w:val="none" w:sz="0" w:space="0" w:color="auto"/>
                  </w:divBdr>
                  <w:divsChild>
                    <w:div w:id="1224830423">
                      <w:marLeft w:val="0"/>
                      <w:marRight w:val="0"/>
                      <w:marTop w:val="0"/>
                      <w:marBottom w:val="0"/>
                      <w:divBdr>
                        <w:top w:val="single" w:sz="6" w:space="7" w:color="A8A8A8"/>
                        <w:left w:val="single" w:sz="2" w:space="14" w:color="A8A8A8"/>
                        <w:bottom w:val="single" w:sz="6" w:space="7" w:color="A8A8A8"/>
                        <w:right w:val="single" w:sz="2" w:space="14" w:color="A8A8A8"/>
                      </w:divBdr>
                      <w:divsChild>
                        <w:div w:id="1081219729">
                          <w:marLeft w:val="0"/>
                          <w:marRight w:val="0"/>
                          <w:marTop w:val="0"/>
                          <w:marBottom w:val="0"/>
                          <w:divBdr>
                            <w:top w:val="none" w:sz="0" w:space="0" w:color="auto"/>
                            <w:left w:val="none" w:sz="0" w:space="0" w:color="auto"/>
                            <w:bottom w:val="none" w:sz="0" w:space="0" w:color="auto"/>
                            <w:right w:val="none" w:sz="0" w:space="0" w:color="auto"/>
                          </w:divBdr>
                          <w:divsChild>
                            <w:div w:id="567501055">
                              <w:marLeft w:val="0"/>
                              <w:marRight w:val="0"/>
                              <w:marTop w:val="0"/>
                              <w:marBottom w:val="0"/>
                              <w:divBdr>
                                <w:top w:val="none" w:sz="0" w:space="0" w:color="auto"/>
                                <w:left w:val="none" w:sz="0" w:space="0" w:color="auto"/>
                                <w:bottom w:val="none" w:sz="0" w:space="0" w:color="auto"/>
                                <w:right w:val="none" w:sz="0" w:space="0" w:color="auto"/>
                              </w:divBdr>
                              <w:divsChild>
                                <w:div w:id="1188325965">
                                  <w:marLeft w:val="0"/>
                                  <w:marRight w:val="0"/>
                                  <w:marTop w:val="0"/>
                                  <w:marBottom w:val="0"/>
                                  <w:divBdr>
                                    <w:top w:val="none" w:sz="0" w:space="0" w:color="auto"/>
                                    <w:left w:val="none" w:sz="0" w:space="0" w:color="auto"/>
                                    <w:bottom w:val="none" w:sz="0" w:space="0" w:color="auto"/>
                                    <w:right w:val="none" w:sz="0" w:space="0" w:color="auto"/>
                                  </w:divBdr>
                                  <w:divsChild>
                                    <w:div w:id="1140613609">
                                      <w:marLeft w:val="0"/>
                                      <w:marRight w:val="0"/>
                                      <w:marTop w:val="0"/>
                                      <w:marBottom w:val="0"/>
                                      <w:divBdr>
                                        <w:top w:val="none" w:sz="0" w:space="0" w:color="auto"/>
                                        <w:left w:val="none" w:sz="0" w:space="0" w:color="auto"/>
                                        <w:bottom w:val="none" w:sz="0" w:space="0" w:color="auto"/>
                                        <w:right w:val="none" w:sz="0" w:space="0" w:color="auto"/>
                                      </w:divBdr>
                                      <w:divsChild>
                                        <w:div w:id="573245572">
                                          <w:marLeft w:val="0"/>
                                          <w:marRight w:val="0"/>
                                          <w:marTop w:val="0"/>
                                          <w:marBottom w:val="0"/>
                                          <w:divBdr>
                                            <w:top w:val="none" w:sz="0" w:space="0" w:color="auto"/>
                                            <w:left w:val="none" w:sz="0" w:space="0" w:color="auto"/>
                                            <w:bottom w:val="none" w:sz="0" w:space="0" w:color="auto"/>
                                            <w:right w:val="none" w:sz="0" w:space="0" w:color="auto"/>
                                          </w:divBdr>
                                          <w:divsChild>
                                            <w:div w:id="1503738465">
                                              <w:marLeft w:val="0"/>
                                              <w:marRight w:val="0"/>
                                              <w:marTop w:val="0"/>
                                              <w:marBottom w:val="0"/>
                                              <w:divBdr>
                                                <w:top w:val="none" w:sz="0" w:space="0" w:color="auto"/>
                                                <w:left w:val="none" w:sz="0" w:space="0" w:color="auto"/>
                                                <w:bottom w:val="none" w:sz="0" w:space="0" w:color="auto"/>
                                                <w:right w:val="none" w:sz="0" w:space="0" w:color="auto"/>
                                              </w:divBdr>
                                              <w:divsChild>
                                                <w:div w:id="1750299897">
                                                  <w:marLeft w:val="0"/>
                                                  <w:marRight w:val="0"/>
                                                  <w:marTop w:val="0"/>
                                                  <w:marBottom w:val="0"/>
                                                  <w:divBdr>
                                                    <w:top w:val="none" w:sz="0" w:space="0" w:color="auto"/>
                                                    <w:left w:val="none" w:sz="0" w:space="0" w:color="auto"/>
                                                    <w:bottom w:val="none" w:sz="0" w:space="0" w:color="auto"/>
                                                    <w:right w:val="none" w:sz="0" w:space="0" w:color="auto"/>
                                                  </w:divBdr>
                                                  <w:divsChild>
                                                    <w:div w:id="1662465157">
                                                      <w:marLeft w:val="0"/>
                                                      <w:marRight w:val="0"/>
                                                      <w:marTop w:val="0"/>
                                                      <w:marBottom w:val="0"/>
                                                      <w:divBdr>
                                                        <w:top w:val="none" w:sz="0" w:space="0" w:color="auto"/>
                                                        <w:left w:val="none" w:sz="0" w:space="0" w:color="auto"/>
                                                        <w:bottom w:val="none" w:sz="0" w:space="0" w:color="auto"/>
                                                        <w:right w:val="none" w:sz="0" w:space="0" w:color="auto"/>
                                                      </w:divBdr>
                                                    </w:div>
                                                  </w:divsChild>
                                                </w:div>
                                                <w:div w:id="1945795874">
                                                  <w:marLeft w:val="0"/>
                                                  <w:marRight w:val="0"/>
                                                  <w:marTop w:val="0"/>
                                                  <w:marBottom w:val="0"/>
                                                  <w:divBdr>
                                                    <w:top w:val="none" w:sz="0" w:space="0" w:color="auto"/>
                                                    <w:left w:val="none" w:sz="0" w:space="0" w:color="auto"/>
                                                    <w:bottom w:val="none" w:sz="0" w:space="0" w:color="auto"/>
                                                    <w:right w:val="none" w:sz="0" w:space="0" w:color="auto"/>
                                                  </w:divBdr>
                                                  <w:divsChild>
                                                    <w:div w:id="510029851">
                                                      <w:marLeft w:val="0"/>
                                                      <w:marRight w:val="0"/>
                                                      <w:marTop w:val="0"/>
                                                      <w:marBottom w:val="0"/>
                                                      <w:divBdr>
                                                        <w:top w:val="none" w:sz="0" w:space="0" w:color="auto"/>
                                                        <w:left w:val="none" w:sz="0" w:space="0" w:color="auto"/>
                                                        <w:bottom w:val="none" w:sz="0" w:space="0" w:color="auto"/>
                                                        <w:right w:val="none" w:sz="0" w:space="0" w:color="auto"/>
                                                      </w:divBdr>
                                                    </w:div>
                                                  </w:divsChild>
                                                </w:div>
                                                <w:div w:id="915242908">
                                                  <w:marLeft w:val="0"/>
                                                  <w:marRight w:val="0"/>
                                                  <w:marTop w:val="0"/>
                                                  <w:marBottom w:val="0"/>
                                                  <w:divBdr>
                                                    <w:top w:val="none" w:sz="0" w:space="0" w:color="auto"/>
                                                    <w:left w:val="none" w:sz="0" w:space="0" w:color="auto"/>
                                                    <w:bottom w:val="none" w:sz="0" w:space="0" w:color="auto"/>
                                                    <w:right w:val="none" w:sz="0" w:space="0" w:color="auto"/>
                                                  </w:divBdr>
                                                  <w:divsChild>
                                                    <w:div w:id="12895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pw.qld.gov.au/SiteCollectionDocuments/WaterResilientProductsAndBuildingTechniquesForRebuildingAfterAFlood.pdf" TargetMode="Externa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hpw.qld.gov.au/SiteCollectionDocuments/WaterResilient%20ProductsAndBuildingTechniquesForRebuildingAfterAFlood.pdf" TargetMode="Externa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consult.moretonbay.qld.gov.au/events/3497/popimage_d60297e395007.html"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consult.moretonbay.qld.gov.au/portal/mbrcpsv3?pointId=s1414726382511"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13</Pages>
  <Words>786</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McEwan</dc:creator>
  <cp:keywords/>
  <dc:description/>
  <cp:lastModifiedBy>Diane Williams</cp:lastModifiedBy>
  <cp:revision>2</cp:revision>
  <dcterms:created xsi:type="dcterms:W3CDTF">2017-07-05T23:18:00Z</dcterms:created>
  <dcterms:modified xsi:type="dcterms:W3CDTF">2017-07-13T06:29:00Z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A15543178</vt:lpwstr>
  </property>
  <property fmtid="{D5CDD505-2E9C-101B-9397-08002B2CF9AE}" pid="4" name="Objective-Title">
    <vt:lpwstr>Overlay code - Flood hazard - Requirements for accepted development</vt:lpwstr>
  </property>
  <property fmtid="{D5CDD505-2E9C-101B-9397-08002B2CF9AE}" pid="5" name="Objective-Comment">
    <vt:lpwstr/>
  </property>
  <property fmtid="{D5CDD505-2E9C-101B-9397-08002B2CF9AE}" pid="6" name="Objective-CreationStamp">
    <vt:filetime>2017-07-05T23:40:18Z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2017-07-13T06:27:50Z</vt:filetime>
  </property>
  <property fmtid="{D5CDD505-2E9C-101B-9397-08002B2CF9AE}" pid="11" name="Objective-Owner">
    <vt:lpwstr>Cassie McEwan</vt:lpwstr>
  </property>
  <property fmtid="{D5CDD505-2E9C-101B-9397-08002B2CF9AE}" pid="12" name="Objective-Path">
    <vt:lpwstr>Objective Global Folder:MBRC File Plan:STRATEGIC PLANNING - PLANNING SCHEME &amp; POLICIES:MBRC PLANNING SCHEME:AMENDMENT - ALIGNMENT - No.1:08 Amended Code Templates:</vt:lpwstr>
  </property>
  <property fmtid="{D5CDD505-2E9C-101B-9397-08002B2CF9AE}" pid="13" name="Objective-Parent">
    <vt:lpwstr>08 Amended Code Templates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