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367"/>
      </w:tblGrid>
      <w:tr w:rsidR="00A87D91" w:rsidRPr="00A87D91" w:rsidTr="00A87D91">
        <w:trPr>
          <w:tblCellSpacing w:w="15" w:type="dxa"/>
        </w:trPr>
        <w:tc>
          <w:tcPr>
            <w:tcW w:w="0" w:type="auto"/>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bookmarkStart w:id="0" w:name="_GoBack"/>
            <w:bookmarkEnd w:id="0"/>
            <w:r w:rsidRPr="00A87D91">
              <w:rPr>
                <w:rFonts w:ascii="Arial" w:eastAsia="Times New Roman" w:hAnsi="Arial" w:cs="Arial"/>
                <w:b/>
                <w:bCs/>
                <w:sz w:val="20"/>
                <w:szCs w:val="20"/>
                <w:lang w:eastAsia="en-AU"/>
              </w:rPr>
              <w:t>Table 8.2.2.2 Assessable development - Flood hazard overlay</w:t>
            </w:r>
          </w:p>
        </w:tc>
      </w:tr>
    </w:tbl>
    <w:p w:rsidR="00A87D91" w:rsidRDefault="00A87D91"/>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55"/>
        <w:gridCol w:w="194"/>
        <w:gridCol w:w="106"/>
        <w:gridCol w:w="4709"/>
        <w:gridCol w:w="181"/>
        <w:gridCol w:w="382"/>
        <w:gridCol w:w="876"/>
        <w:gridCol w:w="162"/>
        <w:gridCol w:w="722"/>
        <w:gridCol w:w="2995"/>
      </w:tblGrid>
      <w:tr w:rsidR="00CF6DD4" w:rsidRPr="00A87D91" w:rsidTr="00FA3B2F">
        <w:trPr>
          <w:tblCellSpacing w:w="15" w:type="dxa"/>
        </w:trPr>
        <w:tc>
          <w:tcPr>
            <w:tcW w:w="173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603636">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Performance outcomes</w:t>
            </w:r>
          </w:p>
        </w:tc>
        <w:tc>
          <w:tcPr>
            <w:tcW w:w="1705"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603636">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Acceptable outcomes</w:t>
            </w:r>
          </w:p>
        </w:tc>
        <w:tc>
          <w:tcPr>
            <w:tcW w:w="553"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603636" w:rsidP="00603636">
            <w:pPr>
              <w:spacing w:after="0" w:line="240" w:lineRule="auto"/>
              <w:rPr>
                <w:rFonts w:ascii="Arial" w:eastAsia="Times New Roman" w:hAnsi="Arial" w:cs="Arial"/>
                <w:b/>
                <w:bCs/>
                <w:sz w:val="20"/>
                <w:szCs w:val="20"/>
                <w:lang w:eastAsia="en-AU"/>
              </w:rPr>
            </w:pPr>
            <w:r w:rsidRPr="00074EF6">
              <w:rPr>
                <w:rFonts w:ascii="Arial" w:eastAsia="Times New Roman" w:hAnsi="Arial" w:cs="Arial"/>
                <w:b/>
                <w:bCs/>
                <w:sz w:val="20"/>
                <w:szCs w:val="20"/>
                <w:lang w:eastAsia="en-AU"/>
              </w:rPr>
              <w:t>AO Compliance</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Yes</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No See PO or</w:t>
            </w:r>
          </w:p>
          <w:p w:rsidR="00603636" w:rsidRPr="00C11478" w:rsidRDefault="00603636" w:rsidP="00603636">
            <w:pPr>
              <w:pStyle w:val="ListParagraph"/>
              <w:numPr>
                <w:ilvl w:val="0"/>
                <w:numId w:val="27"/>
              </w:numPr>
              <w:spacing w:after="0" w:line="240" w:lineRule="auto"/>
              <w:ind w:left="373" w:hanging="284"/>
              <w:rPr>
                <w:rFonts w:eastAsia="Times New Roman" w:cs="Arial"/>
                <w:b/>
                <w:bCs/>
                <w:sz w:val="20"/>
                <w:szCs w:val="20"/>
                <w:lang w:eastAsia="en-AU"/>
              </w:rPr>
            </w:pPr>
            <w:r w:rsidRPr="00603636">
              <w:rPr>
                <w:rFonts w:eastAsia="Times New Roman" w:cs="Arial"/>
                <w:b/>
                <w:bCs/>
                <w:sz w:val="18"/>
                <w:szCs w:val="18"/>
                <w:lang w:eastAsia="en-AU"/>
              </w:rPr>
              <w:t>NA</w:t>
            </w:r>
          </w:p>
        </w:tc>
        <w:tc>
          <w:tcPr>
            <w:tcW w:w="957" w:type="pct"/>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603636" w:rsidP="00603636">
            <w:pPr>
              <w:spacing w:after="0" w:line="240" w:lineRule="auto"/>
              <w:jc w:val="center"/>
              <w:rPr>
                <w:rFonts w:ascii="Arial" w:eastAsia="Times New Roman" w:hAnsi="Arial" w:cs="Arial"/>
                <w:b/>
                <w:bCs/>
                <w:sz w:val="20"/>
                <w:szCs w:val="20"/>
                <w:lang w:eastAsia="en-AU"/>
              </w:rPr>
            </w:pPr>
            <w:r w:rsidRPr="00074EF6">
              <w:rPr>
                <w:rFonts w:ascii="Arial" w:eastAsia="Times New Roman" w:hAnsi="Arial" w:cs="Arial"/>
                <w:b/>
                <w:bCs/>
                <w:sz w:val="20"/>
                <w:szCs w:val="20"/>
                <w:lang w:eastAsia="en-AU"/>
              </w:rPr>
              <w:t>Justification for compliance</w:t>
            </w:r>
          </w:p>
        </w:tc>
      </w:tr>
      <w:tr w:rsidR="00BB3E2F" w:rsidRPr="00A87D91" w:rsidTr="00FA3B2F">
        <w:trPr>
          <w:tblCellSpacing w:w="15" w:type="dxa"/>
        </w:trPr>
        <w:tc>
          <w:tcPr>
            <w:tcW w:w="345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Material change of use or building work for a dwelling house</w:t>
            </w:r>
            <w:r w:rsidRPr="00A87D91">
              <w:rPr>
                <w:rFonts w:ascii="Arial" w:eastAsia="Times New Roman" w:hAnsi="Arial" w:cs="Arial"/>
                <w:sz w:val="20"/>
                <w:szCs w:val="20"/>
                <w:lang w:eastAsia="en-AU"/>
              </w:rPr>
              <w:t xml:space="preserve"> </w:t>
            </w:r>
            <w:r w:rsidRPr="00A87D91">
              <w:rPr>
                <w:rFonts w:ascii="Arial" w:eastAsia="Times New Roman" w:hAnsi="Arial" w:cs="Arial"/>
                <w:sz w:val="20"/>
                <w:szCs w:val="20"/>
                <w:vertAlign w:val="superscript"/>
                <w:lang w:eastAsia="en-AU"/>
              </w:rPr>
              <w:t>(</w:t>
            </w:r>
            <w:hyperlink r:id="rId7"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p>
        </w:tc>
        <w:tc>
          <w:tcPr>
            <w:tcW w:w="553"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2280"/>
          <w:tblCellSpacing w:w="15" w:type="dxa"/>
        </w:trPr>
        <w:tc>
          <w:tcPr>
            <w:tcW w:w="173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in the High risk flood hazard area included in the Limited development zone for:</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material change of use and associated building work for a Dwelling house</w:t>
            </w:r>
            <w:r w:rsidRPr="00A87D91">
              <w:rPr>
                <w:rFonts w:ascii="Arial" w:eastAsia="Times New Roman" w:hAnsi="Arial" w:cs="Arial"/>
                <w:sz w:val="20"/>
                <w:szCs w:val="20"/>
                <w:vertAlign w:val="superscript"/>
                <w:lang w:eastAsia="en-AU"/>
              </w:rPr>
              <w:t>(</w:t>
            </w:r>
            <w:hyperlink r:id="rId8"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does not occur; </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building work not associated with a material change of use for a Dwelling house</w:t>
            </w:r>
            <w:r w:rsidRPr="00A87D91">
              <w:rPr>
                <w:rFonts w:ascii="Arial" w:eastAsia="Times New Roman" w:hAnsi="Arial" w:cs="Arial"/>
                <w:sz w:val="20"/>
                <w:szCs w:val="20"/>
                <w:vertAlign w:val="superscript"/>
                <w:lang w:eastAsia="en-AU"/>
              </w:rPr>
              <w:t>(</w:t>
            </w:r>
            <w:hyperlink r:id="rId9"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only occurs for an existing lawful use. </w:t>
            </w: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FA3B2F">
        <w:trPr>
          <w:trHeight w:val="5370"/>
          <w:tblCellSpacing w:w="15" w:type="dxa"/>
        </w:trPr>
        <w:tc>
          <w:tcPr>
            <w:tcW w:w="173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flood events by ensuring design and built form account for the potential risks of flooding.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New buildings within the High risk area or Medium risk area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w:t>
                  </w:r>
                  <w:proofErr w:type="spellStart"/>
                  <w:r w:rsidRPr="00A87D91">
                    <w:rPr>
                      <w:rFonts w:ascii="Arial" w:eastAsia="Times New Roman" w:hAnsi="Arial" w:cs="Arial"/>
                      <w:sz w:val="20"/>
                      <w:szCs w:val="20"/>
                      <w:lang w:eastAsia="en-AU"/>
                    </w:rPr>
                    <w:t>Floodcheck</w:t>
                  </w:r>
                  <w:proofErr w:type="spellEnd"/>
                  <w:r w:rsidRPr="00A87D91">
                    <w:rPr>
                      <w:rFonts w:ascii="Arial" w:eastAsia="Times New Roman" w:hAnsi="Arial" w:cs="Arial"/>
                      <w:sz w:val="20"/>
                      <w:szCs w:val="20"/>
                      <w:lang w:eastAsia="en-AU"/>
                    </w:rPr>
                    <w:t xml:space="preserve"> website via </w:t>
                  </w:r>
                  <w:hyperlink r:id="rId10" w:tgtFrame="_blank" w:tooltip="https://www.moretonbay.qld.gov.au/floodcheck/" w:history="1">
                    <w:r w:rsidRPr="00A87D91">
                      <w:rPr>
                        <w:rFonts w:ascii="Arial" w:eastAsia="Times New Roman" w:hAnsi="Arial" w:cs="Arial"/>
                        <w:color w:val="0000FF"/>
                        <w:sz w:val="20"/>
                        <w:szCs w:val="20"/>
                        <w:u w:val="single"/>
                        <w:lang w:eastAsia="en-AU"/>
                      </w:rPr>
                      <w:t>https://www.moretonbay.qld.gov.au/floodcheck/</w:t>
                    </w:r>
                  </w:hyperlink>
                  <w:r w:rsidRPr="00A87D91">
                    <w:rPr>
                      <w:rFonts w:ascii="Arial" w:eastAsia="Times New Roman" w:hAnsi="Arial" w:cs="Arial"/>
                      <w:sz w:val="20"/>
                      <w:szCs w:val="20"/>
                      <w:lang w:eastAsia="en-AU"/>
                    </w:rPr>
                    <w:t xml:space="preserve">. </w:t>
                  </w:r>
                </w:p>
              </w:tc>
            </w:tr>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1"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highset 'Queenslander' style house is a resilient low-density housing solution.  Higher density residential development should also ensure only non-habitable rooms (e.g. garages) are located on the ground floor. </w:t>
                  </w:r>
                </w:p>
              </w:tc>
            </w:tr>
            <w:tr w:rsidR="00603636" w:rsidRPr="00A87D91" w:rsidTr="00357954">
              <w:trPr>
                <w:tblCellSpacing w:w="15" w:type="dxa"/>
              </w:trPr>
              <w:tc>
                <w:tcPr>
                  <w:tcW w:w="6042"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New buildings within the High risk area or Medium risk area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w:t>
                  </w:r>
                  <w:proofErr w:type="spellStart"/>
                  <w:r w:rsidRPr="00A87D91">
                    <w:rPr>
                      <w:rFonts w:ascii="Arial" w:eastAsia="Times New Roman" w:hAnsi="Arial" w:cs="Arial"/>
                      <w:sz w:val="20"/>
                      <w:szCs w:val="20"/>
                      <w:lang w:eastAsia="en-AU"/>
                    </w:rPr>
                    <w:t>Floodcheck</w:t>
                  </w:r>
                  <w:proofErr w:type="spellEnd"/>
                  <w:r w:rsidRPr="00A87D91">
                    <w:rPr>
                      <w:rFonts w:ascii="Arial" w:eastAsia="Times New Roman" w:hAnsi="Arial" w:cs="Arial"/>
                      <w:sz w:val="20"/>
                      <w:szCs w:val="20"/>
                      <w:lang w:eastAsia="en-AU"/>
                    </w:rPr>
                    <w:t xml:space="preserve"> website via https://www.moretonbay.qld.gov.au/floodcheck/. </w:t>
                  </w:r>
                </w:p>
              </w:tc>
            </w:tr>
          </w:tbl>
          <w:p w:rsidR="00603636" w:rsidRPr="00A87D91" w:rsidRDefault="00603636" w:rsidP="00A87D91">
            <w:pPr>
              <w:spacing w:after="0"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2"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has a high water resistance.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Queensland Government Fact Sheet ‘Rebuilding after a flood’ provides information about </w:t>
                  </w:r>
                  <w:r w:rsidRPr="00A87D91">
                    <w:rPr>
                      <w:rFonts w:ascii="Arial" w:eastAsia="Times New Roman" w:hAnsi="Arial" w:cs="Arial"/>
                      <w:sz w:val="20"/>
                      <w:szCs w:val="20"/>
                      <w:lang w:eastAsia="en-AU"/>
                    </w:rPr>
                    <w:lastRenderedPageBreak/>
                    <w:t xml:space="preserve">water resilient products and building techniques.  Available at </w:t>
                  </w:r>
                  <w:hyperlink r:id="rId13" w:tgtFrame="_blank" w:history="1">
                    <w:r w:rsidRPr="00A87D91">
                      <w:rPr>
                        <w:rFonts w:ascii="Arial" w:eastAsia="Times New Roman" w:hAnsi="Arial" w:cs="Arial"/>
                        <w:color w:val="0000FF"/>
                        <w:sz w:val="20"/>
                        <w:szCs w:val="20"/>
                        <w:u w:val="single"/>
                        <w:lang w:eastAsia="en-AU"/>
                      </w:rPr>
                      <w:t>http://www.hpw.qld.gov.au/SiteCollectionDocuments/WaterResilient ProductsAndBuildingTechniquesForRebuildingAfterAFlood.pdf</w:t>
                    </w:r>
                  </w:hyperlink>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35"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 the High risk area or Medium risk area</w:t>
            </w: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2550"/>
          <w:tblCellSpacing w:w="15" w:type="dxa"/>
        </w:trPr>
        <w:tc>
          <w:tcPr>
            <w:tcW w:w="173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a functional and attractive relationship with the adjacent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uses screening around the understorey of the dwelling to ensure the understorey is not visible from the street;</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450"/>
          <w:tblCellSpacing w:w="15" w:type="dxa"/>
        </w:trPr>
        <w:tc>
          <w:tcPr>
            <w:tcW w:w="173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PO4</w:t>
            </w:r>
          </w:p>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does not increase the potential for erosion, scour or flood damage either on the premises or on other premises, public land, watercourses, roads or 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0"/>
            </w:tblGrid>
            <w:tr w:rsidR="00DA5F08" w:rsidRPr="00A87D91" w:rsidTr="00357954">
              <w:trPr>
                <w:tblCellSpacing w:w="15" w:type="dxa"/>
              </w:trPr>
              <w:tc>
                <w:tcPr>
                  <w:tcW w:w="4530" w:type="dxa"/>
                  <w:vAlign w:val="center"/>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DA5F08" w:rsidRPr="00A87D91" w:rsidRDefault="00DA5F08" w:rsidP="00A87D91">
            <w:pPr>
              <w:spacing w:after="0" w:line="240" w:lineRule="auto"/>
              <w:rPr>
                <w:rFonts w:ascii="Arial" w:eastAsia="Times New Roman" w:hAnsi="Arial" w:cs="Arial"/>
                <w:sz w:val="20"/>
                <w:szCs w:val="20"/>
                <w:lang w:eastAsia="en-AU"/>
              </w:rPr>
            </w:pPr>
          </w:p>
        </w:tc>
        <w:tc>
          <w:tcPr>
            <w:tcW w:w="3235"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High risk area or Medium risk area of the Flood planning area</w:t>
            </w:r>
          </w:p>
        </w:tc>
      </w:tr>
      <w:tr w:rsidR="00CF6DD4" w:rsidRPr="00A87D91" w:rsidTr="00FA3B2F">
        <w:trPr>
          <w:trHeight w:val="1035"/>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AO4.1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Earthworks do not occur in the High risk area or Medium risk area of the Flood planning area.</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495"/>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35"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Balance flood planning area</w:t>
            </w:r>
          </w:p>
        </w:tc>
      </w:tr>
      <w:tr w:rsidR="00CF6DD4" w:rsidRPr="00A87D91" w:rsidTr="00FA3B2F">
        <w:trPr>
          <w:trHeight w:val="495"/>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DA5F08" w:rsidRPr="00A87D91" w:rsidTr="00DA5F08">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DA5F08" w:rsidRPr="00A87D91" w:rsidRDefault="00DA5F08"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For material change of use or building work (excluding material change of use or building work for a dwelling house) in the Balance flood planning area</w:t>
            </w:r>
          </w:p>
        </w:tc>
      </w:tr>
      <w:tr w:rsidR="00DA5F08" w:rsidRPr="00A87D91" w:rsidTr="00FA3B2F">
        <w:trPr>
          <w:tblCellSpacing w:w="15" w:type="dxa"/>
        </w:trPr>
        <w:tc>
          <w:tcPr>
            <w:tcW w:w="173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PO5</w:t>
            </w:r>
          </w:p>
          <w:p w:rsidR="00DA5F08" w:rsidRPr="00A87D91"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a flood hazard event by ensuring design and built form account for the potential risks of flooding.</w:t>
            </w:r>
          </w:p>
        </w:tc>
        <w:tc>
          <w:tcPr>
            <w:tcW w:w="3235"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residential use</w:t>
            </w: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AO5.1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4"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DA5F08"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35"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AO5.2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15"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1140"/>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AO5.3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non-habitable room below the flood planning level in </w:t>
            </w:r>
            <w:hyperlink r:id="rId16"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has a high water resistance.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17" w:tgtFrame="_blank" w:history="1">
                    <w:r w:rsidRPr="00A87D91">
                      <w:rPr>
                        <w:rFonts w:ascii="Arial" w:eastAsia="Times New Roman" w:hAnsi="Arial" w:cs="Arial"/>
                        <w:color w:val="0000FF"/>
                        <w:sz w:val="20"/>
                        <w:szCs w:val="20"/>
                        <w:u w:val="single"/>
                        <w:lang w:eastAsia="en-AU"/>
                      </w:rPr>
                      <w:t>http://www.hpw.qld.gov.au/SiteCollectionDocuments/WaterResilient ProductsAndBuildingTechniquesForRebuildingAfterAFlood.pdf</w:t>
                    </w:r>
                  </w:hyperlink>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4545"/>
          <w:tblCellSpacing w:w="15" w:type="dxa"/>
        </w:trPr>
        <w:tc>
          <w:tcPr>
            <w:tcW w:w="173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earthworks complies with the requirements of </w:t>
            </w:r>
            <w:hyperlink r:id="rId18" w:anchor="ID-571945-TABLE-8.2.2.4" w:history="1">
              <w:r w:rsidRPr="00A87D91">
                <w:rPr>
                  <w:rFonts w:ascii="Arial" w:eastAsia="Times New Roman" w:hAnsi="Arial" w:cs="Arial"/>
                  <w:color w:val="0000FF"/>
                  <w:sz w:val="20"/>
                  <w:szCs w:val="20"/>
                  <w:u w:val="single"/>
                  <w:lang w:eastAsia="en-AU"/>
                </w:rPr>
                <w:t>Table 8.2.2.4 ‘Fill Requirements’</w:t>
              </w:r>
            </w:hyperlink>
            <w:r w:rsidRPr="00A87D91">
              <w:rPr>
                <w:rFonts w:ascii="Arial" w:eastAsia="Times New Roman" w:hAnsi="Arial" w:cs="Arial"/>
                <w:sz w:val="20"/>
                <w:szCs w:val="20"/>
                <w:lang w:eastAsia="en-AU"/>
              </w:rPr>
              <w:t xml:space="preserve"> and does not: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specified.</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FA3B2F">
        <w:trPr>
          <w:tblCellSpacing w:w="15" w:type="dxa"/>
        </w:trPr>
        <w:tc>
          <w:tcPr>
            <w:tcW w:w="173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use where pier and pole construction is utilised:</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3135"/>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must not impede flood flow.  </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2550"/>
          <w:tblCellSpacing w:w="15" w:type="dxa"/>
        </w:trPr>
        <w:tc>
          <w:tcPr>
            <w:tcW w:w="173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public safety and risk to the environment are not adversely affected by a detrimental impact of floodwaters up to the Defined Flood Event on a hazardous chemical located or stored on the premises. </w:t>
            </w: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hyperlink r:id="rId19"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Refer to the </w:t>
                  </w:r>
                  <w:r w:rsidRPr="00A87D91">
                    <w:rPr>
                      <w:rFonts w:ascii="Arial" w:eastAsia="Times New Roman" w:hAnsi="Arial" w:cs="Arial"/>
                      <w:i/>
                      <w:iCs/>
                      <w:sz w:val="20"/>
                      <w:szCs w:val="20"/>
                      <w:lang w:eastAsia="en-AU"/>
                    </w:rPr>
                    <w:t xml:space="preserve">Work Health and Safety Act 2011 </w:t>
                  </w:r>
                  <w:r w:rsidRPr="00A87D91">
                    <w:rPr>
                      <w:rFonts w:ascii="Arial" w:eastAsia="Times New Roman" w:hAnsi="Arial" w:cs="Arial"/>
                      <w:sz w:val="20"/>
                      <w:szCs w:val="20"/>
                      <w:lang w:eastAsia="en-AU"/>
                    </w:rPr>
                    <w:t xml:space="preserve">and associated Regulation and Guidelines, the </w:t>
                  </w:r>
                  <w:r w:rsidRPr="00A87D91">
                    <w:rPr>
                      <w:rFonts w:ascii="Arial" w:eastAsia="Times New Roman" w:hAnsi="Arial" w:cs="Arial"/>
                      <w:i/>
                      <w:iCs/>
                      <w:sz w:val="20"/>
                      <w:szCs w:val="20"/>
                      <w:lang w:eastAsia="en-AU"/>
                    </w:rPr>
                    <w:t xml:space="preserve">Environmental Protection Act 1994 </w:t>
                  </w:r>
                  <w:r w:rsidRPr="00A87D91">
                    <w:rPr>
                      <w:rFonts w:ascii="Arial" w:eastAsia="Times New Roman" w:hAnsi="Arial" w:cs="Arial"/>
                      <w:sz w:val="20"/>
                      <w:szCs w:val="20"/>
                      <w:lang w:eastAsia="en-AU"/>
                    </w:rPr>
                    <w:t xml:space="preserve">and the relevant building assessment provisions under the </w:t>
                  </w:r>
                  <w:r w:rsidRPr="00A87D91">
                    <w:rPr>
                      <w:rFonts w:ascii="Arial" w:eastAsia="Times New Roman" w:hAnsi="Arial" w:cs="Arial"/>
                      <w:i/>
                      <w:iCs/>
                      <w:sz w:val="20"/>
                      <w:szCs w:val="20"/>
                      <w:lang w:eastAsia="en-AU"/>
                    </w:rPr>
                    <w:t xml:space="preserve">Building Act 1975 </w:t>
                  </w:r>
                  <w:r w:rsidRPr="00A87D91">
                    <w:rPr>
                      <w:rFonts w:ascii="Arial" w:eastAsia="Times New Roman" w:hAnsi="Arial" w:cs="Arial"/>
                      <w:sz w:val="20"/>
                      <w:szCs w:val="20"/>
                      <w:lang w:eastAsia="en-AU"/>
                    </w:rPr>
                    <w:t xml:space="preserve">for requirements related to the manufacture and storage of hazardous substances.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FA3B2F">
        <w:trPr>
          <w:tblCellSpacing w:w="15" w:type="dxa"/>
        </w:trPr>
        <w:tc>
          <w:tcPr>
            <w:tcW w:w="3451"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For all other material change of use or building work</w:t>
            </w:r>
          </w:p>
        </w:tc>
        <w:tc>
          <w:tcPr>
            <w:tcW w:w="553"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3855"/>
          <w:tblCellSpacing w:w="15" w:type="dxa"/>
        </w:trPr>
        <w:tc>
          <w:tcPr>
            <w:tcW w:w="173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limited in the High risk flood hazard area included in the Limited development zone to avoid the extremely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managed in the High risk flood hazard area not included in the Limited development zone to mitigate the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managed in the other sub-categories of the Flood planning area to mitigate the tolerable risk of the flood hazard.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overall outcomes of this code identify the development outcomes which are intended so as to avoid or mitigate the intolerable or tolerable risk of the flood hazard applicable to the premises in the relevant sub-categories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FA3B2F">
        <w:trPr>
          <w:trHeight w:val="5760"/>
          <w:tblCellSpacing w:w="15" w:type="dxa"/>
        </w:trPr>
        <w:tc>
          <w:tcPr>
            <w:tcW w:w="173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PO10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personal safety at all times, such that:</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vulnerable land use (flood and coastal) is not located in the High risk flood hazard area or Medium risk flood hazard area;</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new buildings are not located in the High risk flood hazard area included in the Limited development zone;</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residential accommodation building is located in the following:</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Balance flood planning area; or</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the Medium risk area where located in the Medium risk storm tide inundation area of the Coastal hazard overlay or Balance coastal planning area of the Coastal hazard overlay ; </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evacuation capability from the development or other premises is not hindered or made more complicated and there is no significant additional burden placed on emergency services personnel; </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isolation of persons in the Defined Flood Event is avoided.</w:t>
            </w: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FA3B2F">
        <w:trPr>
          <w:tblCellSpacing w:w="15" w:type="dxa"/>
        </w:trPr>
        <w:tc>
          <w:tcPr>
            <w:tcW w:w="173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resilient to a flood hazard event by ensuring design and built form account for the potential risks of the flood hazard event.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0"/>
            </w:tblGrid>
            <w:tr w:rsidR="00603636" w:rsidRPr="00A87D91" w:rsidTr="00357954">
              <w:trPr>
                <w:trHeight w:val="210"/>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New buildings within the High risk or Medium risk area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w:t>
                  </w:r>
                  <w:r w:rsidRPr="00A87D91">
                    <w:rPr>
                      <w:rFonts w:ascii="Arial" w:eastAsia="Times New Roman" w:hAnsi="Arial" w:cs="Arial"/>
                      <w:sz w:val="20"/>
                      <w:szCs w:val="20"/>
                      <w:lang w:eastAsia="en-AU"/>
                    </w:rPr>
                    <w:lastRenderedPageBreak/>
                    <w:t>sites is available on</w:t>
                  </w:r>
                  <w:r w:rsidR="0035377F">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Council’s </w:t>
                  </w:r>
                  <w:proofErr w:type="spellStart"/>
                  <w:r w:rsidRPr="00A87D91">
                    <w:rPr>
                      <w:rFonts w:ascii="Arial" w:eastAsia="Times New Roman" w:hAnsi="Arial" w:cs="Arial"/>
                      <w:sz w:val="20"/>
                      <w:szCs w:val="20"/>
                      <w:lang w:eastAsia="en-AU"/>
                    </w:rPr>
                    <w:t>Floodcheck</w:t>
                  </w:r>
                  <w:proofErr w:type="spellEnd"/>
                  <w:r w:rsidRPr="00A87D91">
                    <w:rPr>
                      <w:rFonts w:ascii="Arial" w:eastAsia="Times New Roman" w:hAnsi="Arial" w:cs="Arial"/>
                      <w:sz w:val="20"/>
                      <w:szCs w:val="20"/>
                      <w:lang w:eastAsia="en-AU"/>
                    </w:rPr>
                    <w:t xml:space="preserve"> website via </w:t>
                  </w:r>
                  <w:hyperlink r:id="rId20" w:tgtFrame="_blank" w:tooltip="https://www.moretonbay.qld.gov.au/floodcheck/" w:history="1">
                    <w:r w:rsidRPr="00A87D91">
                      <w:rPr>
                        <w:rFonts w:ascii="Arial" w:eastAsia="Times New Roman" w:hAnsi="Arial" w:cs="Arial"/>
                        <w:color w:val="0000FF"/>
                        <w:sz w:val="20"/>
                        <w:szCs w:val="20"/>
                        <w:u w:val="single"/>
                        <w:lang w:eastAsia="en-AU"/>
                      </w:rPr>
                      <w:t>https://www.moretonbay.qld.gov.au/floodcheck/</w:t>
                    </w:r>
                  </w:hyperlink>
                  <w:r w:rsidRPr="00A87D91">
                    <w:rPr>
                      <w:rFonts w:ascii="Arial" w:eastAsia="Times New Roman" w:hAnsi="Arial" w:cs="Arial"/>
                      <w:sz w:val="20"/>
                      <w:szCs w:val="20"/>
                      <w:lang w:eastAsia="en-AU"/>
                    </w:rPr>
                    <w:t xml:space="preserve">. </w:t>
                  </w:r>
                </w:p>
              </w:tc>
            </w:tr>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lastRenderedPageBreak/>
              <w:t>Development involving building work for a residential use</w:t>
            </w:r>
          </w:p>
        </w:tc>
        <w:tc>
          <w:tcPr>
            <w:tcW w:w="553"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21"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New buildings within the High risk area or Medium risk area will require a structural engineering design capable of withstanding the nature of the hazard(s) to which the building will be subject consistent with the requirements of the relevant building </w:t>
                  </w:r>
                  <w:r w:rsidRPr="00A87D91">
                    <w:rPr>
                      <w:rFonts w:ascii="Arial" w:eastAsia="Times New Roman" w:hAnsi="Arial" w:cs="Arial"/>
                      <w:sz w:val="20"/>
                      <w:szCs w:val="20"/>
                      <w:lang w:eastAsia="en-AU"/>
                    </w:rPr>
                    <w:lastRenderedPageBreak/>
                    <w:t xml:space="preserve">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w:t>
                  </w:r>
                  <w:proofErr w:type="spellStart"/>
                  <w:r w:rsidRPr="00A87D91">
                    <w:rPr>
                      <w:rFonts w:ascii="Arial" w:eastAsia="Times New Roman" w:hAnsi="Arial" w:cs="Arial"/>
                      <w:sz w:val="20"/>
                      <w:szCs w:val="20"/>
                      <w:lang w:eastAsia="en-AU"/>
                    </w:rPr>
                    <w:t>Floodcheck</w:t>
                  </w:r>
                  <w:proofErr w:type="spellEnd"/>
                  <w:r w:rsidRPr="00A87D91">
                    <w:rPr>
                      <w:rFonts w:ascii="Arial" w:eastAsia="Times New Roman" w:hAnsi="Arial" w:cs="Arial"/>
                      <w:sz w:val="20"/>
                      <w:szCs w:val="20"/>
                      <w:lang w:eastAsia="en-AU"/>
                    </w:rPr>
                    <w:t xml:space="preserve"> website via https://www.moretonbay.qld.gov.au/floodcheck/. </w:t>
                  </w:r>
                </w:p>
              </w:tc>
            </w:tr>
            <w:tr w:rsidR="00603636" w:rsidRPr="00A87D91" w:rsidTr="00357954">
              <w:trPr>
                <w:tblCellSpacing w:w="15" w:type="dxa"/>
              </w:trPr>
              <w:tc>
                <w:tcPr>
                  <w:tcW w:w="6042"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35"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AO11.2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22"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New buildings within the High risk area or Medium risk area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w:t>
                  </w:r>
                  <w:proofErr w:type="spellStart"/>
                  <w:r w:rsidRPr="00A87D91">
                    <w:rPr>
                      <w:rFonts w:ascii="Arial" w:eastAsia="Times New Roman" w:hAnsi="Arial" w:cs="Arial"/>
                      <w:sz w:val="20"/>
                      <w:szCs w:val="20"/>
                      <w:lang w:eastAsia="en-AU"/>
                    </w:rPr>
                    <w:t>Floodcheck</w:t>
                  </w:r>
                  <w:proofErr w:type="spellEnd"/>
                  <w:r w:rsidRPr="00A87D91">
                    <w:rPr>
                      <w:rFonts w:ascii="Arial" w:eastAsia="Times New Roman" w:hAnsi="Arial" w:cs="Arial"/>
                      <w:sz w:val="20"/>
                      <w:szCs w:val="20"/>
                      <w:lang w:eastAsia="en-AU"/>
                    </w:rPr>
                    <w:t xml:space="preserve"> website via https://www.moretonbay.qld.gov.au/floodcheck/. </w:t>
                  </w:r>
                </w:p>
              </w:tc>
            </w:tr>
            <w:tr w:rsidR="00603636" w:rsidRPr="00A87D91" w:rsidTr="00357954">
              <w:trPr>
                <w:tblCellSpacing w:w="15" w:type="dxa"/>
              </w:trPr>
              <w:tc>
                <w:tcPr>
                  <w:tcW w:w="6042"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35"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all uses</w:t>
            </w:r>
          </w:p>
        </w:tc>
      </w:tr>
      <w:tr w:rsidR="00CF6DD4" w:rsidRPr="00A87D91" w:rsidTr="00FA3B2F">
        <w:trPr>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Development ensures that a fence is at least 50% permeable.</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rHeight w:val="1605"/>
          <w:tblCellSpacing w:w="15" w:type="dxa"/>
        </w:trPr>
        <w:tc>
          <w:tcPr>
            <w:tcW w:w="173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23"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has a high water resistance.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2"/>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Queensland Government Fact Sheet ‘Rebuilding after a flood’ provides information about water resilient products and building techniques. Available at </w:t>
                  </w:r>
                  <w:hyperlink r:id="rId24" w:tgtFrame="_blank" w:history="1">
                    <w:r w:rsidRPr="00A87D91">
                      <w:rPr>
                        <w:rFonts w:ascii="Arial" w:eastAsia="Times New Roman" w:hAnsi="Arial" w:cs="Arial"/>
                        <w:color w:val="0000FF"/>
                        <w:sz w:val="20"/>
                        <w:szCs w:val="20"/>
                        <w:u w:val="single"/>
                        <w:lang w:eastAsia="en-AU"/>
                      </w:rPr>
                      <w:t>http://www.hpw.qld.gov.au/SiteCollectionDocuments/WaterResilient ProductsAndBuildingTechniquesForRebuildingAfterAFlood.pdf</w:t>
                    </w:r>
                  </w:hyperlink>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FA3B2F">
        <w:trPr>
          <w:tblCellSpacing w:w="15" w:type="dxa"/>
        </w:trPr>
        <w:tc>
          <w:tcPr>
            <w:tcW w:w="173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where earthworks alone cannot ensure the development achieves the flood planning level in </w:t>
            </w:r>
            <w:hyperlink r:id="rId25"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a building is designed and constructed using pier and pole construction to achieve the required flood immunity in the Defined Flood Event. </w:t>
            </w:r>
          </w:p>
        </w:tc>
        <w:tc>
          <w:tcPr>
            <w:tcW w:w="170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specified. </w:t>
            </w:r>
          </w:p>
        </w:tc>
        <w:tc>
          <w:tcPr>
            <w:tcW w:w="553"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5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rHeight w:val="3660"/>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earthworks complies with the requirements of </w:t>
            </w:r>
            <w:hyperlink r:id="rId26" w:anchor="ID-571945-TABLE-8.2.2.4" w:history="1">
              <w:r w:rsidRPr="00A87D91">
                <w:rPr>
                  <w:rFonts w:ascii="Arial" w:eastAsia="Times New Roman" w:hAnsi="Arial" w:cs="Arial"/>
                  <w:color w:val="0000FF"/>
                  <w:sz w:val="20"/>
                  <w:szCs w:val="20"/>
                  <w:u w:val="single"/>
                  <w:lang w:eastAsia="en-AU"/>
                </w:rPr>
                <w:t>Table 8.2.2.4 ‘Fill Requirements’</w:t>
              </w:r>
            </w:hyperlink>
            <w:r w:rsidRPr="00A87D91">
              <w:rPr>
                <w:rFonts w:ascii="Arial" w:eastAsia="Times New Roman" w:hAnsi="Arial" w:cs="Arial"/>
                <w:sz w:val="20"/>
                <w:szCs w:val="20"/>
                <w:lang w:eastAsia="en-AU"/>
              </w:rPr>
              <w:t xml:space="preserve"> and does not: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on other premises, public land, watercourses, roads or infrastructure or elsewhere in the floodplain;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supports and does not unduly burden, disaster management responses and recovery capacity and capabilities for a flood hazard event up to and including the Defined Flood Event.</w:t>
            </w: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has access which, having regard to the hydraulic hazard, provides for safe vehicular and pedestrian movement and emergency services access. </w:t>
            </w: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rHeight w:val="2235"/>
          <w:tblCellSpacing w:w="15" w:type="dxa"/>
        </w:trPr>
        <w:tc>
          <w:tcPr>
            <w:tcW w:w="1657" w:type="pct"/>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PO16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AO16.1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3000"/>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AO16.2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but do not impede flood flow.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FA3B2F">
        <w:trPr>
          <w:tblCellSpacing w:w="15" w:type="dxa"/>
        </w:trPr>
        <w:tc>
          <w:tcPr>
            <w:tcW w:w="328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(boundary realignment)</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375"/>
          <w:tblCellSpacing w:w="15" w:type="dxa"/>
        </w:trPr>
        <w:tc>
          <w:tcPr>
            <w:tcW w:w="1657" w:type="pct"/>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 personal safety at all times;</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not increase the risk to people, property and infrastructure located on the premises and other premises and where applicable the risk for future occupants is mitigated. </w:t>
            </w: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AO17.1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development footprint is located in an area other than a High risk area.</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645"/>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entry points into the development are located to provide a safe and clear evacuation route path.</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15"/>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Drainage investigation area</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FA3B2F">
        <w:trPr>
          <w:trHeight w:val="900"/>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AO17.3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occurs in accordance with a drainage master plan for the Drainage investigation area.</w:t>
            </w:r>
          </w:p>
        </w:tc>
        <w:tc>
          <w:tcPr>
            <w:tcW w:w="447" w:type="pct"/>
            <w:gridSpan w:val="3"/>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FA3B2F">
        <w:trPr>
          <w:trHeight w:val="300"/>
          <w:tblCellSpacing w:w="15" w:type="dxa"/>
        </w:trPr>
        <w:tc>
          <w:tcPr>
            <w:tcW w:w="328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(other than boundary realignment)</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1365"/>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compatible with the intolerable or tolerable level of risk of the flood hazard applicable to the premises such that reconfiguring a lot for creating lots by subdividing another lot: </w:t>
            </w:r>
          </w:p>
          <w:p w:rsidR="00603636" w:rsidRPr="00A87D91" w:rsidRDefault="00603636" w:rsidP="00A87D91">
            <w:pPr>
              <w:numPr>
                <w:ilvl w:val="0"/>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High risk area, is only for the purposes of Park or Permanent plantation unless:</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Rural residential zone where; the minimum lot size for each rural residential lot is provided outside the High risk area; or </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Rural zone; or</w:t>
            </w:r>
          </w:p>
          <w:p w:rsidR="00603636" w:rsidRPr="00A87D91" w:rsidRDefault="00603636" w:rsidP="00A87D91">
            <w:pPr>
              <w:numPr>
                <w:ilvl w:val="0"/>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Medium risk area, is only for the purposes of Park or Permanent plantation unless:</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Centre zone, Industry zone, Recreation and open space zone, or Township zone, where not for a residential purpose or vulnerable use (flood and coastal); or </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Rural zone; or</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Rural residential zone, where the minimum lot size for each rural residential lot is provided outside the Medium risk area; or </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any other zone, where all resultant lots are located outside the High risk or Medium risk area other than those for the purposes of Park or Permanent plantation; or </w:t>
            </w:r>
          </w:p>
          <w:p w:rsidR="00603636" w:rsidRPr="00A87D91" w:rsidRDefault="00603636" w:rsidP="00A87D91">
            <w:pPr>
              <w:numPr>
                <w:ilvl w:val="0"/>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In the Balance flood planning area, is consistent with the overall outcomes of the applicable zone and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overall outcomes of this code identify the development outcomes which are intended so as to avoid or mitigate the intolerable or tolerable level of risk applicable to premises in the High risk area, Medium risk area and Low risk area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No acceptable outcome provided.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35246F" w:rsidRPr="00A87D91" w:rsidTr="00FA3B2F">
        <w:trPr>
          <w:tblCellSpacing w:w="15" w:type="dxa"/>
        </w:trPr>
        <w:tc>
          <w:tcPr>
            <w:tcW w:w="1657" w:type="pct"/>
            <w:vMerge w:val="restart"/>
            <w:tcBorders>
              <w:top w:val="outset" w:sz="6" w:space="0" w:color="auto"/>
              <w:left w:val="outset" w:sz="6" w:space="0" w:color="auto"/>
              <w:bottom w:val="outset" w:sz="6" w:space="0" w:color="auto"/>
              <w:right w:val="outset" w:sz="6" w:space="0" w:color="auto"/>
            </w:tcBorders>
            <w:hideMark/>
          </w:tcPr>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PO19</w:t>
            </w:r>
          </w:p>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 ensure personal safety at all times such that:</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immunity up to the Flood planning level is achieved;</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road layout avoids isolation in a flood hazard event and does not impede evacuation;</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utilised to ensure that community members have a clear understanding of the nature of the flood risk in the area.</w:t>
            </w:r>
          </w:p>
        </w:tc>
        <w:tc>
          <w:tcPr>
            <w:tcW w:w="3313" w:type="pct"/>
            <w:gridSpan w:val="9"/>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 xml:space="preserve">If the ground level is to be filled to the Flood planning level as permitted by </w:t>
            </w:r>
            <w:hyperlink r:id="rId27" w:anchor="ID-571945-TABLE-8.2.2.4" w:history="1">
              <w:r w:rsidRPr="00A87D91">
                <w:rPr>
                  <w:rFonts w:ascii="Arial" w:eastAsia="Times New Roman" w:hAnsi="Arial" w:cs="Arial"/>
                  <w:i/>
                  <w:iCs/>
                  <w:color w:val="0000FF"/>
                  <w:sz w:val="20"/>
                  <w:szCs w:val="20"/>
                  <w:u w:val="single"/>
                  <w:lang w:eastAsia="en-AU"/>
                </w:rPr>
                <w:t>Table 8.2.2.4 ‘Fill Requirements’</w:t>
              </w:r>
            </w:hyperlink>
          </w:p>
        </w:tc>
      </w:tr>
      <w:tr w:rsidR="00FA3B2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AO19.1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finished ground level for all additional lots (excluding a Park</w:t>
            </w:r>
            <w:r w:rsidRPr="00A87D91">
              <w:rPr>
                <w:rFonts w:ascii="Arial" w:eastAsia="Times New Roman" w:hAnsi="Arial" w:cs="Arial"/>
                <w:sz w:val="20"/>
                <w:szCs w:val="20"/>
                <w:vertAlign w:val="superscript"/>
                <w:lang w:eastAsia="en-AU"/>
              </w:rPr>
              <w:t>(</w:t>
            </w:r>
            <w:hyperlink r:id="rId28"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complies with the requirements of </w:t>
            </w:r>
            <w:hyperlink r:id="rId29" w:anchor="ID-571945-TABLE-8.2.2.4" w:history="1">
              <w:r w:rsidRPr="00A87D91">
                <w:rPr>
                  <w:rFonts w:ascii="Arial" w:eastAsia="Times New Roman" w:hAnsi="Arial" w:cs="Arial"/>
                  <w:color w:val="0000FF"/>
                  <w:sz w:val="20"/>
                  <w:szCs w:val="20"/>
                  <w:u w:val="single"/>
                  <w:lang w:eastAsia="en-AU"/>
                </w:rPr>
                <w:t>Table 8.2.2.4 ‘Fill Requirements’</w:t>
              </w:r>
            </w:hyperlink>
            <w:r w:rsidRPr="00A87D91">
              <w:rPr>
                <w:rFonts w:ascii="Arial" w:eastAsia="Times New Roman" w:hAnsi="Arial" w:cs="Arial"/>
                <w:sz w:val="20"/>
                <w:szCs w:val="20"/>
                <w:lang w:eastAsia="en-AU"/>
              </w:rPr>
              <w:t xml:space="preserve">.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5265"/>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AO19.2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road and pathway layout:</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ensures residents are not physically isolated from an adjacent flood-free urban area;</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provides a safe and clear evacuation route path by:</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locating entry points into the development above the requirements set out in Appendix C of the Planning scheme policy - Integrated design and avoiding cul-de-sac or other non-permeable layouts; </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 and simple routes to a main carriageway.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9"/>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Note - 'Pathway’ in this instance relates to pedestrian and non-pedestrian routes internal to a development site that are not specifically roads – for example, pedestrian pathways within a hotel</w:t>
                  </w:r>
                  <w:r w:rsidRPr="00A87D91">
                    <w:rPr>
                      <w:rFonts w:ascii="Arial" w:eastAsia="Times New Roman" w:hAnsi="Arial" w:cs="Arial"/>
                      <w:sz w:val="20"/>
                      <w:szCs w:val="20"/>
                      <w:vertAlign w:val="superscript"/>
                      <w:lang w:eastAsia="en-AU"/>
                    </w:rPr>
                    <w:t>(</w:t>
                  </w:r>
                  <w:hyperlink r:id="rId30" w:anchor="target-d60515e491917" w:tooltip="Hotel - Premises used primarily to sell liquor for consumption.  The use may include short-term accommodation, dining and entertainment activities and facilities." w:history="1">
                    <w:r w:rsidRPr="00A87D91">
                      <w:rPr>
                        <w:rFonts w:ascii="Arial" w:eastAsia="Times New Roman" w:hAnsi="Arial" w:cs="Arial"/>
                        <w:color w:val="0000FF"/>
                        <w:sz w:val="20"/>
                        <w:szCs w:val="20"/>
                        <w:u w:val="single"/>
                        <w:vertAlign w:val="superscript"/>
                        <w:lang w:eastAsia="en-AU"/>
                      </w:rPr>
                      <w:t>37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development or internal roads in a large townhouse development.  </w:t>
                  </w:r>
                </w:p>
              </w:tc>
            </w:tr>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Note - It is important to ensure that new reconfigurations are not isolated from other urban areas in the event of a flood.</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AO19.3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in a greenfield area protects a flood conveyance area by providing an easement or reserve over the area of the premises up to the Defined Flood Event.</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AO19.4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new road and development access are provided in accordance with the requirements set out in Appendix C of the Planning scheme policy - Integrated design.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rHeight w:val="3270"/>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AO19.5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provided on a road or pathway indicating the position and path of all safe evacuation routes off the premises;</w:t>
            </w:r>
          </w:p>
          <w:p w:rsidR="00603636" w:rsidRPr="00A87D91" w:rsidRDefault="00603636" w:rsidP="00A87D91">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if the premises </w:t>
            </w:r>
            <w:proofErr w:type="gramStart"/>
            <w:r w:rsidRPr="00A87D91">
              <w:rPr>
                <w:rFonts w:ascii="Arial" w:eastAsia="Times New Roman" w:hAnsi="Arial" w:cs="Arial"/>
                <w:sz w:val="20"/>
                <w:szCs w:val="20"/>
                <w:lang w:eastAsia="en-AU"/>
              </w:rPr>
              <w:t>contains</w:t>
            </w:r>
            <w:proofErr w:type="gramEnd"/>
            <w:r w:rsidRPr="00A87D91">
              <w:rPr>
                <w:rFonts w:ascii="Arial" w:eastAsia="Times New Roman" w:hAnsi="Arial" w:cs="Arial"/>
                <w:sz w:val="20"/>
                <w:szCs w:val="20"/>
                <w:lang w:eastAsia="en-AU"/>
              </w:rPr>
              <w:t xml:space="preserve"> or is within 100m of a waterway, hazard warning signage and depth indicators are provided at each key hazard point, such as at a waterway crossing or an entrance to a low-lying 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9"/>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Note - 'Pathway’ in this instance relates to pedestrian and non-pedestrian routes internal to a development site that are not specifically roads – for example, pedestrian pathways within a hotel</w:t>
                  </w:r>
                  <w:r w:rsidRPr="00A87D91">
                    <w:rPr>
                      <w:rFonts w:ascii="Arial" w:eastAsia="Times New Roman" w:hAnsi="Arial" w:cs="Arial"/>
                      <w:sz w:val="20"/>
                      <w:szCs w:val="20"/>
                      <w:vertAlign w:val="superscript"/>
                      <w:lang w:eastAsia="en-AU"/>
                    </w:rPr>
                    <w:t>(</w:t>
                  </w:r>
                  <w:hyperlink r:id="rId31" w:anchor="target-d60515e491917" w:tooltip="Hotel - Premises used primarily to sell liquor for consumption.  The use may include short-term accommodation, dining and entertainment activities and facilities." w:history="1">
                    <w:r w:rsidRPr="00A87D91">
                      <w:rPr>
                        <w:rFonts w:ascii="Arial" w:eastAsia="Times New Roman" w:hAnsi="Arial" w:cs="Arial"/>
                        <w:color w:val="0000FF"/>
                        <w:sz w:val="20"/>
                        <w:szCs w:val="20"/>
                        <w:u w:val="single"/>
                        <w:vertAlign w:val="superscript"/>
                        <w:lang w:eastAsia="en-AU"/>
                      </w:rPr>
                      <w:t>37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development or internal roads in a large townhouse development.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13" w:type="pct"/>
            <w:gridSpan w:val="9"/>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 xml:space="preserve">If the ground level is to be filled other than as permitted by </w:t>
            </w:r>
            <w:hyperlink r:id="rId32" w:anchor="ID-571945-TABLE-8.2.2.4" w:history="1">
              <w:r w:rsidRPr="00A87D91">
                <w:rPr>
                  <w:rFonts w:ascii="Arial" w:eastAsia="Times New Roman" w:hAnsi="Arial" w:cs="Arial"/>
                  <w:i/>
                  <w:iCs/>
                  <w:color w:val="0000FF"/>
                  <w:sz w:val="20"/>
                  <w:szCs w:val="20"/>
                  <w:u w:val="single"/>
                  <w:lang w:eastAsia="en-AU"/>
                </w:rPr>
                <w:t>Table 8.2.2.4 ‘Fill Requirements’</w:t>
              </w:r>
            </w:hyperlink>
          </w:p>
        </w:tc>
      </w:tr>
      <w:tr w:rsidR="00FA3B2F" w:rsidRPr="00A87D91" w:rsidTr="00FA3B2F">
        <w:trPr>
          <w:trHeight w:val="345"/>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specified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blCellSpacing w:w="15" w:type="dxa"/>
        </w:trPr>
        <w:tc>
          <w:tcPr>
            <w:tcW w:w="1657" w:type="pct"/>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infrastructure (excluding a road):</w:t>
            </w:r>
          </w:p>
          <w:p w:rsidR="00603636" w:rsidRPr="00A87D91"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is located outside of the High risk flood hazard area and Medium risk flood hazard area; or</w:t>
            </w:r>
          </w:p>
          <w:p w:rsidR="00603636" w:rsidRPr="00A87D91"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otherwise located 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flood hazard area or Medium risk flood hazard area to function during and after all flood hazard events up to and including the Defined Flood Event. </w:t>
            </w:r>
          </w:p>
        </w:tc>
        <w:tc>
          <w:tcPr>
            <w:tcW w:w="161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Balance flood planning area</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any component of infrastructure which is likely to fail to function or may result in contamination when inundated by flood is located above the Flood planning level; or </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infrastructure is designed, located and constructed to resist the hydrostatic and hydrodynamic forces as a result of inundation by the Defined Flood Event.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FA3B2F">
        <w:trPr>
          <w:trHeight w:val="285"/>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blCellSpacing w:w="15" w:type="dxa"/>
        </w:trPr>
        <w:tc>
          <w:tcPr>
            <w:tcW w:w="1657" w:type="pct"/>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Reconfiguring a lot does not result in:</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Balance flood planning area</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All earthworks are undertaken outside of the Defined Flood Event, or where required to regularise allotment shape, earthworks are undertaken in accordance with Planning scheme policy – Flood hazard, Coastal hazard and Overland flow.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FA3B2F">
        <w:trPr>
          <w:trHeight w:val="3480"/>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works whether or not associated with a material change of use, building work or reconfiguring a lot</w:t>
            </w:r>
          </w:p>
        </w:tc>
      </w:tr>
      <w:tr w:rsidR="00FA3B2F" w:rsidRPr="00A87D91" w:rsidTr="00FA3B2F">
        <w:trPr>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works complies with the requirements of </w:t>
            </w:r>
            <w:hyperlink r:id="rId33" w:anchor="ID-571945-TABLE-8.2.2.4" w:history="1">
              <w:r w:rsidRPr="00A87D91">
                <w:rPr>
                  <w:rFonts w:ascii="Arial" w:eastAsia="Times New Roman" w:hAnsi="Arial" w:cs="Arial"/>
                  <w:color w:val="0000FF"/>
                  <w:sz w:val="20"/>
                  <w:szCs w:val="20"/>
                  <w:u w:val="single"/>
                  <w:lang w:eastAsia="en-AU"/>
                </w:rPr>
                <w:t>Table 8.2.2.4 ‘Fill Requirements’</w:t>
              </w:r>
            </w:hyperlink>
            <w:r w:rsidRPr="00A87D91">
              <w:rPr>
                <w:rFonts w:ascii="Arial" w:eastAsia="Times New Roman" w:hAnsi="Arial" w:cs="Arial"/>
                <w:sz w:val="20"/>
                <w:szCs w:val="20"/>
                <w:lang w:eastAsia="en-AU"/>
              </w:rPr>
              <w:t xml:space="preserve"> and does not: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adverse impacts on the local drainage and the flood conveyance of a waterway;</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0"/>
            </w:tblGrid>
            <w:tr w:rsidR="00603636" w:rsidRPr="00A87D91" w:rsidTr="00357954">
              <w:trPr>
                <w:tblCellSpacing w:w="15" w:type="dxa"/>
              </w:trPr>
              <w:tc>
                <w:tcPr>
                  <w:tcW w:w="4530"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To demonstrate achievement of the performance outcome, an engineering report is to be prepared by a suitably qualified person. Guidance on the matters to be addressed in the report is provided in the Planning scheme policy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No acceptable outcome provided.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FA3B2F">
        <w:trPr>
          <w:tblCellSpacing w:w="15" w:type="dxa"/>
        </w:trPr>
        <w:tc>
          <w:tcPr>
            <w:tcW w:w="328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involving hazardous chemicals</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hazardous chemicals are not located or stored in the High risk flood hazard area.</w:t>
            </w: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rHeight w:val="1649"/>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not in the High risk area ensures that public safety and risk to the environment are not adversely affected by a detrimental impact of floodwaters up to the Defined Flood Event on a hazardous chemical located or stored on the premises. </w:t>
            </w: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hyperlink r:id="rId34" w:anchor="ID-571945-TABLE-8.2.2.3" w:history="1">
              <w:r w:rsidRPr="00A87D91">
                <w:rPr>
                  <w:rFonts w:ascii="Arial" w:eastAsia="Times New Roman" w:hAnsi="Arial" w:cs="Arial"/>
                  <w:color w:val="0000FF"/>
                  <w:sz w:val="20"/>
                  <w:szCs w:val="20"/>
                  <w:u w:val="single"/>
                  <w:lang w:eastAsia="en-AU"/>
                </w:rPr>
                <w:t>Table 8.2.2.3 ‘Flood planning level for a habitable floor (residential development) and a non-habitable floor (non-residential development) and levels for hazardous chemicals’</w:t>
              </w:r>
            </w:hyperlink>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9"/>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Refer to the </w:t>
                  </w:r>
                  <w:r w:rsidRPr="00A87D91">
                    <w:rPr>
                      <w:rFonts w:ascii="Arial" w:eastAsia="Times New Roman" w:hAnsi="Arial" w:cs="Arial"/>
                      <w:i/>
                      <w:iCs/>
                      <w:sz w:val="20"/>
                      <w:szCs w:val="20"/>
                      <w:lang w:eastAsia="en-AU"/>
                    </w:rPr>
                    <w:t xml:space="preserve">Work Health and Safety Act 2011 </w:t>
                  </w:r>
                  <w:r w:rsidRPr="00A87D91">
                    <w:rPr>
                      <w:rFonts w:ascii="Arial" w:eastAsia="Times New Roman" w:hAnsi="Arial" w:cs="Arial"/>
                      <w:sz w:val="20"/>
                      <w:szCs w:val="20"/>
                      <w:lang w:eastAsia="en-AU"/>
                    </w:rPr>
                    <w:t xml:space="preserve">and associated Regulation and Guidelines, the </w:t>
                  </w:r>
                  <w:r w:rsidRPr="00A87D91">
                    <w:rPr>
                      <w:rFonts w:ascii="Arial" w:eastAsia="Times New Roman" w:hAnsi="Arial" w:cs="Arial"/>
                      <w:i/>
                      <w:iCs/>
                      <w:sz w:val="20"/>
                      <w:szCs w:val="20"/>
                      <w:lang w:eastAsia="en-AU"/>
                    </w:rPr>
                    <w:t xml:space="preserve">Environmental Protection Act 1994 </w:t>
                  </w:r>
                  <w:r w:rsidRPr="00A87D91">
                    <w:rPr>
                      <w:rFonts w:ascii="Arial" w:eastAsia="Times New Roman" w:hAnsi="Arial" w:cs="Arial"/>
                      <w:sz w:val="20"/>
                      <w:szCs w:val="20"/>
                      <w:lang w:eastAsia="en-AU"/>
                    </w:rPr>
                    <w:t xml:space="preserve">and the relevant building assessment provisions under the </w:t>
                  </w:r>
                  <w:r w:rsidRPr="00A87D91">
                    <w:rPr>
                      <w:rFonts w:ascii="Arial" w:eastAsia="Times New Roman" w:hAnsi="Arial" w:cs="Arial"/>
                      <w:i/>
                      <w:iCs/>
                      <w:sz w:val="20"/>
                      <w:szCs w:val="20"/>
                      <w:lang w:eastAsia="en-AU"/>
                    </w:rPr>
                    <w:t xml:space="preserve">Building Act 1975 </w:t>
                  </w:r>
                  <w:r w:rsidRPr="00A87D91">
                    <w:rPr>
                      <w:rFonts w:ascii="Arial" w:eastAsia="Times New Roman" w:hAnsi="Arial" w:cs="Arial"/>
                      <w:sz w:val="20"/>
                      <w:szCs w:val="20"/>
                      <w:lang w:eastAsia="en-AU"/>
                    </w:rPr>
                    <w:t>for requirements related to the manufacture and storage of hazardous substances.</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FA3B2F">
        <w:trPr>
          <w:tblCellSpacing w:w="15" w:type="dxa"/>
        </w:trPr>
        <w:tc>
          <w:tcPr>
            <w:tcW w:w="328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community infrastructure</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FA3B2F">
        <w:trPr>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Development for community infrastructure is not located in the High risk flood hazard area or Medium risk flood hazard area.</w:t>
            </w: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No acceptable outcome specified.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FA3B2F">
        <w:trPr>
          <w:trHeight w:val="3165"/>
          <w:tblCellSpacing w:w="15" w:type="dxa"/>
        </w:trPr>
        <w:tc>
          <w:tcPr>
            <w:tcW w:w="1657"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not located in the High risk area or Medium risk area:</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remains functional to serve community needs during and immediately after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sited and operated to avoid adverse impacts on the community or the environment due to the impacts of flood inundation on infrastructure, facilities or access and egress routes; </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retains essential site access during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proofErr w:type="gramStart"/>
            <w:r w:rsidRPr="00A87D91">
              <w:rPr>
                <w:rFonts w:ascii="Arial" w:eastAsia="Times New Roman" w:hAnsi="Arial" w:cs="Arial"/>
                <w:sz w:val="20"/>
                <w:szCs w:val="20"/>
                <w:lang w:eastAsia="en-AU"/>
              </w:rPr>
              <w:t>is able to</w:t>
            </w:r>
            <w:proofErr w:type="gramEnd"/>
            <w:r w:rsidRPr="00A87D91">
              <w:rPr>
                <w:rFonts w:ascii="Arial" w:eastAsia="Times New Roman" w:hAnsi="Arial" w:cs="Arial"/>
                <w:sz w:val="20"/>
                <w:szCs w:val="20"/>
                <w:lang w:eastAsia="en-AU"/>
              </w:rPr>
              <w:t xml:space="preserve"> remain functional even when other infrastructure or services may be compromised in the Defined Flood Event.</w:t>
            </w: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FA3B2F">
        <w:trPr>
          <w:tblCellSpacing w:w="15" w:type="dxa"/>
        </w:trPr>
        <w:tc>
          <w:tcPr>
            <w:tcW w:w="328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of premises subject to a drainage master plan</w:t>
            </w:r>
          </w:p>
        </w:tc>
        <w:tc>
          <w:tcPr>
            <w:tcW w:w="44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FA3B2F">
        <w:trPr>
          <w:tblCellSpacing w:w="15" w:type="dxa"/>
        </w:trPr>
        <w:tc>
          <w:tcPr>
            <w:tcW w:w="1657" w:type="pct"/>
            <w:vMerge w:val="restart"/>
            <w:tcBorders>
              <w:top w:val="outset" w:sz="6" w:space="0" w:color="auto"/>
              <w:left w:val="outset" w:sz="6" w:space="0" w:color="auto"/>
              <w:bottom w:val="outset" w:sz="6" w:space="0" w:color="auto"/>
              <w:right w:val="outset" w:sz="6" w:space="0" w:color="auto"/>
            </w:tcBorders>
            <w:hideMark/>
          </w:tcPr>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PO27</w:t>
            </w:r>
          </w:p>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the General residential zone – Next generation neighbourhood precinct or General residential zone – Urban neighbourhood precinct located in a Drainage investigation area identified on Figures 8.2.2.1 to 8.2.2.10 is supported by drainage works and specific building design responses to mitigate the risk posed by the flood hazard.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20"/>
            </w:tblGrid>
            <w:tr w:rsidR="0035377F" w:rsidRPr="00A87D91" w:rsidTr="00357954">
              <w:trPr>
                <w:tblCellSpacing w:w="15" w:type="dxa"/>
              </w:trPr>
              <w:tc>
                <w:tcPr>
                  <w:tcW w:w="4530" w:type="dxa"/>
                  <w:vAlign w:val="center"/>
                  <w:hideMark/>
                </w:tcPr>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Planning scheme policy - Flood hazard, Coastal hazard and Overland flow provides direction on the preparation of a drainage master plan, or similar, for the Drainage Investigation Area. </w:t>
                  </w:r>
                </w:p>
              </w:tc>
            </w:tr>
          </w:tbl>
          <w:p w:rsidR="0035377F" w:rsidRPr="00A87D91" w:rsidRDefault="0035377F" w:rsidP="00A87D91">
            <w:pPr>
              <w:spacing w:after="0" w:line="240" w:lineRule="auto"/>
              <w:rPr>
                <w:rFonts w:ascii="Arial" w:eastAsia="Times New Roman" w:hAnsi="Arial" w:cs="Arial"/>
                <w:sz w:val="20"/>
                <w:szCs w:val="20"/>
                <w:lang w:eastAsia="en-AU"/>
              </w:rPr>
            </w:pPr>
          </w:p>
        </w:tc>
        <w:tc>
          <w:tcPr>
            <w:tcW w:w="3313" w:type="pct"/>
            <w:gridSpan w:val="9"/>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the Council has an adopted drainage master plan for the Drainage master plan area</w:t>
            </w:r>
          </w:p>
        </w:tc>
      </w:tr>
      <w:tr w:rsidR="00FA3B2F" w:rsidRPr="00A87D91" w:rsidTr="00FA3B2F">
        <w:trPr>
          <w:trHeight w:val="2610"/>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drainage master plan in the Planning scheme policy - Flood hazard, Coastal hazard and Overland flow. </w:t>
            </w: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FA3B2F">
        <w:trPr>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13" w:type="pct"/>
            <w:gridSpan w:val="9"/>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the Council does not have an adopted drainage master plan for the Drainage investigation area</w:t>
            </w:r>
          </w:p>
        </w:tc>
      </w:tr>
      <w:tr w:rsidR="00FA3B2F" w:rsidRPr="00A87D91" w:rsidTr="00FA3B2F">
        <w:trPr>
          <w:trHeight w:val="4335"/>
          <w:tblCellSpacing w:w="15" w:type="dxa"/>
        </w:trPr>
        <w:tc>
          <w:tcPr>
            <w:tcW w:w="1657" w:type="pct"/>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617"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occurs in accordance with a drainage master plan prepared by an applicant and approved by the Council;</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approved drainage master plan.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889"/>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Planning scheme policy - Flood hazard, Coastal hazard and Overland flow provides direction on the preparation of a drainage master plan.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44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30"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FA3B2F">
        <w:trPr>
          <w:trHeight w:val="6240"/>
          <w:tblCellSpacing w:w="15" w:type="dxa"/>
        </w:trPr>
        <w:tc>
          <w:tcPr>
            <w:tcW w:w="1711"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General residential zone – Next generation neighbourhood precinct or General residential zone – Urban neighbourhood precinct located in a Drainage investigation area identified on Figures 8.2.2.1 to 8.2.2.10 must ensure that the land is filled: </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where there is an adopted drainage master plan, in accordance with the levels in the drainage master plan;</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where there is no adopted drainage master plan, in accordance with the fill requirements in </w:t>
            </w:r>
            <w:hyperlink r:id="rId35" w:anchor="ID-571945-TABLE-8.2.2.4" w:history="1">
              <w:r w:rsidRPr="00A87D91">
                <w:rPr>
                  <w:rFonts w:ascii="Arial" w:eastAsia="Times New Roman" w:hAnsi="Arial" w:cs="Arial"/>
                  <w:color w:val="0000FF"/>
                  <w:sz w:val="20"/>
                  <w:szCs w:val="20"/>
                  <w:u w:val="single"/>
                  <w:lang w:eastAsia="en-AU"/>
                </w:rPr>
                <w:t>Table 8.2.2.4 ‘Fill Requirements’</w:t>
              </w:r>
            </w:hyperlink>
            <w:r w:rsidRPr="00A87D91">
              <w:rPr>
                <w:rFonts w:ascii="Arial" w:eastAsia="Times New Roman" w:hAnsi="Arial" w:cs="Arial"/>
                <w:sz w:val="20"/>
                <w:szCs w:val="20"/>
                <w:lang w:eastAsia="en-AU"/>
              </w:rPr>
              <w:t xml:space="preserve"> or such that the filling of the land does not: </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14"/>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AO28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1"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185"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FA3B2F">
        <w:trPr>
          <w:tblCellSpacing w:w="15" w:type="dxa"/>
        </w:trPr>
        <w:tc>
          <w:tcPr>
            <w:tcW w:w="3334"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a Park</w:t>
            </w:r>
            <w:r w:rsidRPr="00A87D91">
              <w:rPr>
                <w:rFonts w:ascii="Arial" w:eastAsia="Times New Roman" w:hAnsi="Arial" w:cs="Arial"/>
                <w:b/>
                <w:bCs/>
                <w:sz w:val="20"/>
                <w:szCs w:val="20"/>
                <w:vertAlign w:val="superscript"/>
                <w:lang w:eastAsia="en-AU"/>
              </w:rPr>
              <w:t>(</w:t>
            </w:r>
            <w:hyperlink r:id="rId36"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b/>
                  <w:bCs/>
                  <w:color w:val="0000FF"/>
                  <w:sz w:val="20"/>
                  <w:szCs w:val="20"/>
                  <w:u w:val="single"/>
                  <w:vertAlign w:val="superscript"/>
                  <w:lang w:eastAsia="en-AU"/>
                </w:rPr>
                <w:t>57</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w:t>
            </w:r>
          </w:p>
        </w:tc>
        <w:tc>
          <w:tcPr>
            <w:tcW w:w="441"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185"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FA3B2F">
        <w:trPr>
          <w:trHeight w:val="373"/>
          <w:tblCellSpacing w:w="15" w:type="dxa"/>
        </w:trPr>
        <w:tc>
          <w:tcPr>
            <w:tcW w:w="1711"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7"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that the design and layout responds to the nature of the flood hazard affecting the premises in order to: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maximise public benefit and enjoyment;</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impacts on the asset life and integrity of park</w:t>
            </w:r>
            <w:r w:rsidRPr="00A87D91">
              <w:rPr>
                <w:rFonts w:ascii="Arial" w:eastAsia="Times New Roman" w:hAnsi="Arial" w:cs="Arial"/>
                <w:sz w:val="20"/>
                <w:szCs w:val="20"/>
                <w:vertAlign w:val="superscript"/>
                <w:lang w:eastAsia="en-AU"/>
              </w:rPr>
              <w:t>(</w:t>
            </w:r>
            <w:hyperlink r:id="rId38"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structures;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minimise maintenance and replacement costs.</w:t>
            </w:r>
          </w:p>
        </w:tc>
        <w:tc>
          <w:tcPr>
            <w:tcW w:w="16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AO29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9"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works are provided in accordance with the requirements set out in Appendix B of Planning scheme policy - Integrated design. </w:t>
            </w:r>
          </w:p>
        </w:tc>
        <w:tc>
          <w:tcPr>
            <w:tcW w:w="441"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185"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material change of use for Permanent plantation</w:t>
            </w:r>
            <w:r w:rsidRPr="00A87D91">
              <w:rPr>
                <w:rFonts w:ascii="Arial" w:eastAsia="Times New Roman" w:hAnsi="Arial" w:cs="Arial"/>
                <w:b/>
                <w:bCs/>
                <w:sz w:val="20"/>
                <w:szCs w:val="20"/>
                <w:vertAlign w:val="superscript"/>
                <w:lang w:eastAsia="en-AU"/>
              </w:rPr>
              <w:t>(</w:t>
            </w:r>
            <w:hyperlink r:id="rId40" w:anchor="target-d60515e492485" w:tooltip="Permanent plantation - Premises used for growing plants not intended to be harvested." w:history="1">
              <w:r w:rsidRPr="00A87D91">
                <w:rPr>
                  <w:rFonts w:ascii="Arial" w:eastAsia="Times New Roman" w:hAnsi="Arial" w:cs="Arial"/>
                  <w:b/>
                  <w:bCs/>
                  <w:color w:val="0000FF"/>
                  <w:sz w:val="20"/>
                  <w:szCs w:val="20"/>
                  <w:u w:val="single"/>
                  <w:vertAlign w:val="superscript"/>
                  <w:lang w:eastAsia="en-AU"/>
                </w:rPr>
                <w:t>59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or Cropping</w:t>
            </w:r>
            <w:r w:rsidRPr="00A87D91">
              <w:rPr>
                <w:rFonts w:ascii="Arial" w:eastAsia="Times New Roman" w:hAnsi="Arial" w:cs="Arial"/>
                <w:b/>
                <w:bCs/>
                <w:sz w:val="20"/>
                <w:szCs w:val="20"/>
                <w:vertAlign w:val="superscript"/>
                <w:lang w:eastAsia="en-AU"/>
              </w:rPr>
              <w:t>(</w:t>
            </w:r>
            <w:hyperlink r:id="rId41" w:anchor="target-d60515e491505"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A87D91">
                <w:rPr>
                  <w:rFonts w:ascii="Arial" w:eastAsia="Times New Roman" w:hAnsi="Arial" w:cs="Arial"/>
                  <w:b/>
                  <w:bCs/>
                  <w:color w:val="0000FF"/>
                  <w:sz w:val="20"/>
                  <w:szCs w:val="20"/>
                  <w:u w:val="single"/>
                  <w:vertAlign w:val="superscript"/>
                  <w:lang w:eastAsia="en-AU"/>
                </w:rPr>
                <w:t>19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(where involving forestry for wood production)</w:t>
            </w:r>
          </w:p>
        </w:tc>
      </w:tr>
      <w:tr w:rsidR="00BB3E2F" w:rsidRPr="00A87D91" w:rsidTr="00FA3B2F">
        <w:trPr>
          <w:trHeight w:val="1425"/>
          <w:tblCellSpacing w:w="15" w:type="dxa"/>
        </w:trPr>
        <w:tc>
          <w:tcPr>
            <w:tcW w:w="1711"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adopts management practices to minimise release of woody debris load into floodwaters during flood events up to the Defined Flood Event; </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complies with other relevant environmental setbacks and requirements.</w:t>
            </w:r>
          </w:p>
        </w:tc>
        <w:tc>
          <w:tcPr>
            <w:tcW w:w="16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acceptable outcome provided.</w:t>
            </w:r>
          </w:p>
        </w:tc>
        <w:tc>
          <w:tcPr>
            <w:tcW w:w="441"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185"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bl>
    <w:p w:rsidR="00BB3E2F" w:rsidRDefault="00BB3E2F"/>
    <w:p w:rsidR="00BB3E2F" w:rsidRDefault="00BB3E2F">
      <w:r>
        <w:br w:type="page"/>
      </w:r>
    </w:p>
    <w:p w:rsidR="00357954" w:rsidRDefault="00357954"/>
    <w:tbl>
      <w:tblPr>
        <w:tblW w:w="4955" w:type="pct"/>
        <w:tblCellSpacing w:w="15" w:type="dxa"/>
        <w:tblInd w:w="8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7827"/>
        <w:gridCol w:w="2219"/>
        <w:gridCol w:w="5213"/>
      </w:tblGrid>
      <w:tr w:rsidR="00357954" w:rsidRPr="00A87D91" w:rsidTr="00357954">
        <w:trPr>
          <w:tblCellSpacing w:w="15" w:type="dxa"/>
        </w:trPr>
        <w:tc>
          <w:tcPr>
            <w:tcW w:w="4980" w:type="pct"/>
            <w:gridSpan w:val="3"/>
            <w:tcBorders>
              <w:top w:val="nil"/>
              <w:left w:val="nil"/>
              <w:bottom w:val="nil"/>
              <w:right w:val="nil"/>
            </w:tcBorders>
            <w:shd w:val="clear" w:color="auto" w:fill="CCCCCC"/>
            <w:vAlign w:val="center"/>
            <w:hideMark/>
          </w:tcPr>
          <w:p w:rsidR="00357954" w:rsidRPr="00A87D91" w:rsidRDefault="00357954" w:rsidP="00A87D91">
            <w:pPr>
              <w:spacing w:after="0"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Table 8.2.2.3 Flood planning level for a habitable floor (residential development) and a non-habitable floor (non-residential development) and levels for hazardous chemicals</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72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Defined freeboard</w:t>
            </w:r>
          </w:p>
        </w:tc>
        <w:tc>
          <w:tcPr>
            <w:tcW w:w="168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level</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inside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500mm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+ 500mm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outside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300mm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+ 300mm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(west of the Bruce Highway)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750mm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+ 750mm</w:t>
            </w:r>
          </w:p>
        </w:tc>
      </w:tr>
    </w:tbl>
    <w:p w:rsidR="00A87D91" w:rsidRPr="00A87D91" w:rsidRDefault="00A87D91" w:rsidP="00A87D91">
      <w:pPr>
        <w:spacing w:after="0" w:line="240" w:lineRule="auto"/>
        <w:rPr>
          <w:rFonts w:ascii="Arial" w:eastAsia="Times New Roman" w:hAnsi="Arial" w:cs="Arial"/>
          <w:vanish/>
          <w:sz w:val="20"/>
          <w:szCs w:val="20"/>
          <w:lang w:eastAsia="en-AU"/>
        </w:rPr>
      </w:pP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5383"/>
      </w:tblGrid>
      <w:tr w:rsidR="00A87D91" w:rsidRPr="00A87D91" w:rsidTr="00357954">
        <w:trPr>
          <w:tblCellSpacing w:w="15" w:type="dxa"/>
        </w:trPr>
        <w:tc>
          <w:tcPr>
            <w:tcW w:w="0" w:type="auto"/>
            <w:vAlign w:val="center"/>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rsidR="00357954" w:rsidRDefault="00357954"/>
    <w:tbl>
      <w:tblPr>
        <w:tblW w:w="4956" w:type="pct"/>
        <w:tblCellSpacing w:w="15" w:type="dxa"/>
        <w:tblInd w:w="6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07"/>
        <w:gridCol w:w="7555"/>
      </w:tblGrid>
      <w:tr w:rsidR="00A87D91" w:rsidRPr="00A87D91" w:rsidTr="00CF0EC7">
        <w:trPr>
          <w:tblCellSpacing w:w="15" w:type="dxa"/>
        </w:trPr>
        <w:tc>
          <w:tcPr>
            <w:tcW w:w="0" w:type="auto"/>
            <w:gridSpan w:val="2"/>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8.2.2.4 Fill Requirements</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Fill level</w:t>
            </w:r>
          </w:p>
        </w:tc>
      </w:tr>
      <w:tr w:rsidR="00A87D91" w:rsidRPr="00A87D91" w:rsidTr="00CF0EC7">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High risk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p>
        </w:tc>
      </w:tr>
      <w:tr w:rsidR="00A87D91" w:rsidRPr="00A87D91" w:rsidTr="00CF0EC7">
        <w:trPr>
          <w:trHeight w:val="30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High risk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p>
        </w:tc>
      </w:tr>
      <w:tr w:rsidR="00A87D91" w:rsidRPr="00A87D91" w:rsidTr="00CF0EC7">
        <w:trPr>
          <w:trHeight w:val="42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Filling in accordance with the relevant adopted Drainage master plan.</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Filling permitted - Development Footprint as a minimum to the Defined Flood Event.</w:t>
            </w:r>
          </w:p>
        </w:tc>
      </w:tr>
    </w:tbl>
    <w:p w:rsidR="00CF0EC7" w:rsidRDefault="00CF0EC7" w:rsidP="00A87D91">
      <w:pPr>
        <w:spacing w:after="0" w:line="240" w:lineRule="auto"/>
        <w:rPr>
          <w:rFonts w:ascii="Arial" w:eastAsia="Times New Roman" w:hAnsi="Arial" w:cs="Arial"/>
          <w:b/>
          <w:bCs/>
          <w:sz w:val="20"/>
          <w:szCs w:val="20"/>
          <w:lang w:eastAsia="en-AU"/>
        </w:rPr>
      </w:pPr>
    </w:p>
    <w:p w:rsidR="00CF0EC7" w:rsidRDefault="00CF0EC7" w:rsidP="00A87D91">
      <w:pPr>
        <w:spacing w:after="0" w:line="240" w:lineRule="auto"/>
        <w:rPr>
          <w:rFonts w:ascii="Arial" w:eastAsia="Times New Roman" w:hAnsi="Arial" w:cs="Arial"/>
          <w:b/>
          <w:bCs/>
          <w:sz w:val="20"/>
          <w:szCs w:val="20"/>
          <w:lang w:eastAsia="en-AU"/>
        </w:rPr>
      </w:pP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8.2.2.1 - Albany Creek</w:t>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97691" cy="6200382"/>
            <wp:effectExtent l="0" t="0" r="317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5767" cy="6211768"/>
                    </a:xfrm>
                    <a:prstGeom prst="rect">
                      <a:avLst/>
                    </a:prstGeom>
                    <a:noFill/>
                    <a:ln>
                      <a:noFill/>
                    </a:ln>
                  </pic:spPr>
                </pic:pic>
              </a:graphicData>
            </a:graphic>
          </wp:inline>
        </w:drawing>
      </w: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8.2.2.2 - Clontarf</w:t>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438505" cy="6257925"/>
            <wp:effectExtent l="0" t="0" r="635" b="0"/>
            <wp:docPr id="9" name="Picture 9" descr="Clont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ntar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3447" cy="6264892"/>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8.2.2.3 - Woody Point</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208726" cy="5933955"/>
            <wp:effectExtent l="0" t="0" r="1905" b="0"/>
            <wp:docPr id="8" name="Picture 8" descr="Woody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y Poi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3788" cy="5941092"/>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8.2.2.4 - Margate</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02941" cy="6066790"/>
            <wp:effectExtent l="0" t="0" r="2540" b="0"/>
            <wp:docPr id="7" name="Picture 7" descr="Mar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g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6476" cy="6071774"/>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8.2.2.5 - Redcliffe - Scarborough</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465371" cy="6295805"/>
            <wp:effectExtent l="0" t="0" r="0" b="0"/>
            <wp:docPr id="6" name="Picture 6" descr="Redcliffe Scar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cliffe Scarboroug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9909" cy="6302203"/>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8.2.2.6 - Scarborough</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113282" cy="5799388"/>
            <wp:effectExtent l="0" t="0" r="1905" b="0"/>
            <wp:docPr id="5" name="Picture 5" descr="Scar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rboroug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21672" cy="5811217"/>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443E2" w:rsidRDefault="00A443E2">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8.2.2.7 - Rothwell</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288666" cy="6046663"/>
            <wp:effectExtent l="0" t="0" r="0" b="0"/>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7778" cy="6059510"/>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br/>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8.2.2.8 - Deception Bay</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221871" cy="5952490"/>
            <wp:effectExtent l="0" t="0" r="7620" b="0"/>
            <wp:docPr id="3" name="Picture 3" descr="Deceptio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ception Ba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0334" cy="5964422"/>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p>
    <w:p w:rsidR="00B04D4F" w:rsidRDefault="00B04D4F">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B04D4F">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8.2.2.9 - Burpengary</w:t>
      </w:r>
    </w:p>
    <w:p w:rsidR="00A87D91" w:rsidRPr="00A87D91" w:rsidRDefault="00A87D91" w:rsidP="00B04D4F">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16902" cy="60864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9679" cy="6090390"/>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B04D4F">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A87D91">
        <w:rPr>
          <w:rFonts w:ascii="Arial" w:eastAsia="Times New Roman" w:hAnsi="Arial" w:cs="Arial"/>
          <w:b/>
          <w:bCs/>
          <w:sz w:val="20"/>
          <w:szCs w:val="20"/>
          <w:lang w:eastAsia="en-AU"/>
        </w:rPr>
        <w:lastRenderedPageBreak/>
        <w:t>Figure 8.2.2.10 - Caboolture</w:t>
      </w:r>
    </w:p>
    <w:p w:rsidR="00A87D91" w:rsidRPr="00A87D91" w:rsidRDefault="00A87D91" w:rsidP="00B04D4F">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42130" cy="6122047"/>
            <wp:effectExtent l="0" t="0" r="1270" b="0"/>
            <wp:docPr id="1" name="Picture 1" descr="Caboo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ooltu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53260" cy="6137739"/>
                    </a:xfrm>
                    <a:prstGeom prst="rect">
                      <a:avLst/>
                    </a:prstGeom>
                    <a:noFill/>
                    <a:ln>
                      <a:noFill/>
                    </a:ln>
                  </pic:spPr>
                </pic:pic>
              </a:graphicData>
            </a:graphic>
          </wp:inline>
        </w:drawing>
      </w:r>
    </w:p>
    <w:sectPr w:rsidR="00A87D91" w:rsidRPr="00A87D91" w:rsidSect="00A42E0F">
      <w:footerReference w:type="default" r:id="rId5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869" w:rsidRDefault="005B1869" w:rsidP="007E07F0">
      <w:pPr>
        <w:spacing w:after="0" w:line="240" w:lineRule="auto"/>
      </w:pPr>
      <w:r>
        <w:separator/>
      </w:r>
    </w:p>
  </w:endnote>
  <w:endnote w:type="continuationSeparator" w:id="0">
    <w:p w:rsidR="005B1869" w:rsidRDefault="005B1869" w:rsidP="007E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954" w:rsidRPr="007E07F0" w:rsidRDefault="00357954" w:rsidP="007E07F0">
    <w:pPr>
      <w:pStyle w:val="Footer"/>
      <w:jc w:val="center"/>
      <w:rPr>
        <w:rFonts w:ascii="Arial" w:hAnsi="Arial" w:cs="Arial"/>
        <w:i/>
        <w:sz w:val="20"/>
        <w:szCs w:val="20"/>
      </w:rPr>
    </w:pPr>
    <w:r w:rsidRPr="00C20E8A">
      <w:rPr>
        <w:rFonts w:ascii="Arial" w:hAnsi="Arial" w:cs="Arial"/>
        <w:i/>
        <w:sz w:val="20"/>
        <w:szCs w:val="20"/>
      </w:rPr>
      <w:t xml:space="preserve">MBRC Planning Scheme - </w:t>
    </w:r>
    <w:r>
      <w:rPr>
        <w:rFonts w:ascii="Arial" w:hAnsi="Arial" w:cs="Arial"/>
        <w:i/>
        <w:sz w:val="20"/>
        <w:szCs w:val="20"/>
      </w:rPr>
      <w:t>Overlay Code - Flood hazard</w:t>
    </w:r>
    <w:r w:rsidRPr="00C20E8A">
      <w:rPr>
        <w:rFonts w:ascii="Arial" w:hAnsi="Arial" w:cs="Arial"/>
        <w:i/>
        <w:sz w:val="20"/>
        <w:szCs w:val="20"/>
      </w:rPr>
      <w:t xml:space="preserve"> </w:t>
    </w:r>
    <w:r>
      <w:rPr>
        <w:rFonts w:ascii="Arial" w:hAnsi="Arial" w:cs="Arial"/>
        <w:i/>
        <w:sz w:val="20"/>
        <w:szCs w:val="20"/>
      </w:rPr>
      <w:t>-</w:t>
    </w:r>
    <w:r w:rsidRPr="00C20E8A">
      <w:rPr>
        <w:rFonts w:ascii="Arial" w:hAnsi="Arial" w:cs="Arial"/>
        <w:i/>
        <w:sz w:val="20"/>
        <w:szCs w:val="20"/>
      </w:rPr>
      <w:t xml:space="preserve"> </w:t>
    </w:r>
    <w:r>
      <w:rPr>
        <w:rFonts w:ascii="Arial" w:hAnsi="Arial" w:cs="Arial"/>
        <w:i/>
        <w:sz w:val="20"/>
        <w:szCs w:val="20"/>
      </w:rPr>
      <w:t>Assessable - 20 June</w:t>
    </w:r>
    <w:r w:rsidRPr="00C20E8A">
      <w:rPr>
        <w:rFonts w:ascii="Arial" w:hAnsi="Arial" w:cs="Arial"/>
        <w:i/>
        <w:sz w:val="20"/>
        <w:szCs w:val="20"/>
      </w:rPr>
      <w:t xml:space="preserve"> 2016</w:t>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C20E8A">
          <w:rPr>
            <w:rFonts w:ascii="Arial" w:hAnsi="Arial" w:cs="Arial"/>
            <w:sz w:val="20"/>
            <w:szCs w:val="20"/>
          </w:rPr>
          <w:fldChar w:fldCharType="begin"/>
        </w:r>
        <w:r w:rsidRPr="00C20E8A">
          <w:rPr>
            <w:rFonts w:ascii="Arial" w:hAnsi="Arial" w:cs="Arial"/>
            <w:sz w:val="20"/>
            <w:szCs w:val="20"/>
          </w:rPr>
          <w:instrText xml:space="preserve"> PAGE   \* MERGEFORMAT </w:instrText>
        </w:r>
        <w:r w:rsidRPr="00C20E8A">
          <w:rPr>
            <w:rFonts w:ascii="Arial" w:hAnsi="Arial" w:cs="Arial"/>
            <w:sz w:val="20"/>
            <w:szCs w:val="20"/>
          </w:rPr>
          <w:fldChar w:fldCharType="separate"/>
        </w:r>
        <w:r w:rsidR="00FA3B2F">
          <w:rPr>
            <w:rFonts w:ascii="Arial" w:hAnsi="Arial" w:cs="Arial"/>
            <w:noProof/>
            <w:sz w:val="20"/>
            <w:szCs w:val="20"/>
          </w:rPr>
          <w:t>14</w:t>
        </w:r>
        <w:r w:rsidRPr="00C20E8A">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869" w:rsidRDefault="005B1869" w:rsidP="007E07F0">
      <w:pPr>
        <w:spacing w:after="0" w:line="240" w:lineRule="auto"/>
      </w:pPr>
      <w:r>
        <w:separator/>
      </w:r>
    </w:p>
  </w:footnote>
  <w:footnote w:type="continuationSeparator" w:id="0">
    <w:p w:rsidR="005B1869" w:rsidRDefault="005B1869" w:rsidP="007E0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F7E"/>
    <w:multiLevelType w:val="multilevel"/>
    <w:tmpl w:val="EF762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345A04"/>
    <w:multiLevelType w:val="multilevel"/>
    <w:tmpl w:val="4E2E9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E97A33"/>
    <w:multiLevelType w:val="multilevel"/>
    <w:tmpl w:val="9C3AFA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63319B"/>
    <w:multiLevelType w:val="multilevel"/>
    <w:tmpl w:val="AA109B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5743B58"/>
    <w:multiLevelType w:val="multilevel"/>
    <w:tmpl w:val="E014D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 w15:restartNumberingAfterBreak="0">
    <w:nsid w:val="194E7827"/>
    <w:multiLevelType w:val="multilevel"/>
    <w:tmpl w:val="650E4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597CE3"/>
    <w:multiLevelType w:val="multilevel"/>
    <w:tmpl w:val="A690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CFC6F3C"/>
    <w:multiLevelType w:val="multilevel"/>
    <w:tmpl w:val="347019E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DB9441D"/>
    <w:multiLevelType w:val="multilevel"/>
    <w:tmpl w:val="AB8ED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F4C2B84"/>
    <w:multiLevelType w:val="multilevel"/>
    <w:tmpl w:val="248669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8072BEF"/>
    <w:multiLevelType w:val="multilevel"/>
    <w:tmpl w:val="69043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AF452E6"/>
    <w:multiLevelType w:val="multilevel"/>
    <w:tmpl w:val="089A50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DEF36C9"/>
    <w:multiLevelType w:val="multilevel"/>
    <w:tmpl w:val="15F4B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32A6CF1"/>
    <w:multiLevelType w:val="multilevel"/>
    <w:tmpl w:val="509CF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7AB2EC3"/>
    <w:multiLevelType w:val="multilevel"/>
    <w:tmpl w:val="69426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8220158"/>
    <w:multiLevelType w:val="multilevel"/>
    <w:tmpl w:val="95D0F1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8801CC8"/>
    <w:multiLevelType w:val="multilevel"/>
    <w:tmpl w:val="AFE8C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B8D1668"/>
    <w:multiLevelType w:val="multilevel"/>
    <w:tmpl w:val="97FE6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D9D3794"/>
    <w:multiLevelType w:val="multilevel"/>
    <w:tmpl w:val="CC28A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4D1167B"/>
    <w:multiLevelType w:val="multilevel"/>
    <w:tmpl w:val="37C4D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DC50E4"/>
    <w:multiLevelType w:val="multilevel"/>
    <w:tmpl w:val="EBE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1E7486"/>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CEB7F2A"/>
    <w:multiLevelType w:val="multilevel"/>
    <w:tmpl w:val="9CD88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4E03097"/>
    <w:multiLevelType w:val="multilevel"/>
    <w:tmpl w:val="AE126D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9BD3AAE"/>
    <w:multiLevelType w:val="multilevel"/>
    <w:tmpl w:val="C9AE8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77F376CA"/>
    <w:multiLevelType w:val="multilevel"/>
    <w:tmpl w:val="F97CA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8"/>
  </w:num>
  <w:num w:numId="2">
    <w:abstractNumId w:val="17"/>
  </w:num>
  <w:num w:numId="3">
    <w:abstractNumId w:val="23"/>
  </w:num>
  <w:num w:numId="4">
    <w:abstractNumId w:val="3"/>
  </w:num>
  <w:num w:numId="5">
    <w:abstractNumId w:val="20"/>
  </w:num>
  <w:num w:numId="6">
    <w:abstractNumId w:val="4"/>
  </w:num>
  <w:num w:numId="7">
    <w:abstractNumId w:val="8"/>
  </w:num>
  <w:num w:numId="8">
    <w:abstractNumId w:val="12"/>
  </w:num>
  <w:num w:numId="9">
    <w:abstractNumId w:val="10"/>
  </w:num>
  <w:num w:numId="10">
    <w:abstractNumId w:val="13"/>
  </w:num>
  <w:num w:numId="11">
    <w:abstractNumId w:val="2"/>
  </w:num>
  <w:num w:numId="12">
    <w:abstractNumId w:val="22"/>
  </w:num>
  <w:num w:numId="13">
    <w:abstractNumId w:val="14"/>
  </w:num>
  <w:num w:numId="14">
    <w:abstractNumId w:val="16"/>
  </w:num>
  <w:num w:numId="15">
    <w:abstractNumId w:val="11"/>
  </w:num>
  <w:num w:numId="16">
    <w:abstractNumId w:val="1"/>
  </w:num>
  <w:num w:numId="17">
    <w:abstractNumId w:val="9"/>
  </w:num>
  <w:num w:numId="18">
    <w:abstractNumId w:val="19"/>
  </w:num>
  <w:num w:numId="19">
    <w:abstractNumId w:val="7"/>
  </w:num>
  <w:num w:numId="20">
    <w:abstractNumId w:val="25"/>
  </w:num>
  <w:num w:numId="21">
    <w:abstractNumId w:val="24"/>
  </w:num>
  <w:num w:numId="22">
    <w:abstractNumId w:val="26"/>
  </w:num>
  <w:num w:numId="23">
    <w:abstractNumId w:val="15"/>
  </w:num>
  <w:num w:numId="24">
    <w:abstractNumId w:val="0"/>
  </w:num>
  <w:num w:numId="25">
    <w:abstractNumId w:val="6"/>
  </w:num>
  <w:num w:numId="26">
    <w:abstractNumId w:val="21"/>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0F"/>
    <w:rsid w:val="0035246F"/>
    <w:rsid w:val="0035377F"/>
    <w:rsid w:val="00357954"/>
    <w:rsid w:val="00397287"/>
    <w:rsid w:val="005407E3"/>
    <w:rsid w:val="005B1869"/>
    <w:rsid w:val="00603636"/>
    <w:rsid w:val="007E07F0"/>
    <w:rsid w:val="00A42E0F"/>
    <w:rsid w:val="00A443E2"/>
    <w:rsid w:val="00A87D91"/>
    <w:rsid w:val="00B04D4F"/>
    <w:rsid w:val="00B773EE"/>
    <w:rsid w:val="00BB3E2F"/>
    <w:rsid w:val="00CF0EC7"/>
    <w:rsid w:val="00CF6DD4"/>
    <w:rsid w:val="00DA5F08"/>
    <w:rsid w:val="00FA3B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42E25D-518D-46BB-8660-C5B50B7C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D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87D91"/>
    <w:rPr>
      <w:i/>
      <w:iCs/>
    </w:rPr>
  </w:style>
  <w:style w:type="character" w:styleId="Strong">
    <w:name w:val="Strong"/>
    <w:basedOn w:val="DefaultParagraphFont"/>
    <w:uiPriority w:val="22"/>
    <w:qFormat/>
    <w:rsid w:val="00A87D91"/>
    <w:rPr>
      <w:b/>
      <w:bCs/>
    </w:rPr>
  </w:style>
  <w:style w:type="character" w:styleId="Hyperlink">
    <w:name w:val="Hyperlink"/>
    <w:basedOn w:val="DefaultParagraphFont"/>
    <w:uiPriority w:val="99"/>
    <w:semiHidden/>
    <w:unhideWhenUsed/>
    <w:rsid w:val="00A87D91"/>
    <w:rPr>
      <w:color w:val="0000FF"/>
      <w:u w:val="single"/>
    </w:rPr>
  </w:style>
  <w:style w:type="character" w:customStyle="1" w:styleId="newwindow">
    <w:name w:val="newwindow"/>
    <w:basedOn w:val="DefaultParagraphFont"/>
    <w:rsid w:val="00A87D91"/>
  </w:style>
  <w:style w:type="paragraph" w:styleId="ListParagraph">
    <w:name w:val="List Paragraph"/>
    <w:basedOn w:val="Normal"/>
    <w:uiPriority w:val="34"/>
    <w:qFormat/>
    <w:rsid w:val="00603636"/>
    <w:pPr>
      <w:spacing w:after="200" w:line="276" w:lineRule="auto"/>
      <w:ind w:left="720"/>
      <w:contextualSpacing/>
    </w:pPr>
    <w:rPr>
      <w:rFonts w:ascii="Arial" w:hAnsi="Arial"/>
    </w:rPr>
  </w:style>
  <w:style w:type="paragraph" w:styleId="Header">
    <w:name w:val="header"/>
    <w:basedOn w:val="Normal"/>
    <w:link w:val="HeaderChar"/>
    <w:uiPriority w:val="99"/>
    <w:unhideWhenUsed/>
    <w:rsid w:val="007E0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7F0"/>
  </w:style>
  <w:style w:type="paragraph" w:styleId="Footer">
    <w:name w:val="footer"/>
    <w:basedOn w:val="Normal"/>
    <w:link w:val="FooterChar"/>
    <w:uiPriority w:val="99"/>
    <w:unhideWhenUsed/>
    <w:rsid w:val="007E0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7F0"/>
  </w:style>
  <w:style w:type="paragraph" w:styleId="BalloonText">
    <w:name w:val="Balloon Text"/>
    <w:basedOn w:val="Normal"/>
    <w:link w:val="BalloonTextChar"/>
    <w:uiPriority w:val="99"/>
    <w:semiHidden/>
    <w:unhideWhenUsed/>
    <w:rsid w:val="00540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7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287748">
      <w:bodyDiv w:val="1"/>
      <w:marLeft w:val="0"/>
      <w:marRight w:val="0"/>
      <w:marTop w:val="0"/>
      <w:marBottom w:val="0"/>
      <w:divBdr>
        <w:top w:val="none" w:sz="0" w:space="0" w:color="auto"/>
        <w:left w:val="none" w:sz="0" w:space="0" w:color="auto"/>
        <w:bottom w:val="none" w:sz="0" w:space="0" w:color="auto"/>
        <w:right w:val="none" w:sz="0" w:space="0" w:color="auto"/>
      </w:divBdr>
      <w:divsChild>
        <w:div w:id="389352774">
          <w:marLeft w:val="0"/>
          <w:marRight w:val="0"/>
          <w:marTop w:val="0"/>
          <w:marBottom w:val="0"/>
          <w:divBdr>
            <w:top w:val="none" w:sz="0" w:space="0" w:color="auto"/>
            <w:left w:val="none" w:sz="0" w:space="0" w:color="auto"/>
            <w:bottom w:val="none" w:sz="0" w:space="0" w:color="auto"/>
            <w:right w:val="none" w:sz="0" w:space="0" w:color="auto"/>
          </w:divBdr>
          <w:divsChild>
            <w:div w:id="1144850563">
              <w:marLeft w:val="0"/>
              <w:marRight w:val="0"/>
              <w:marTop w:val="0"/>
              <w:marBottom w:val="0"/>
              <w:divBdr>
                <w:top w:val="none" w:sz="0" w:space="0" w:color="auto"/>
                <w:left w:val="none" w:sz="0" w:space="0" w:color="auto"/>
                <w:bottom w:val="none" w:sz="0" w:space="0" w:color="auto"/>
                <w:right w:val="none" w:sz="0" w:space="0" w:color="auto"/>
              </w:divBdr>
              <w:divsChild>
                <w:div w:id="715928218">
                  <w:marLeft w:val="0"/>
                  <w:marRight w:val="0"/>
                  <w:marTop w:val="0"/>
                  <w:marBottom w:val="0"/>
                  <w:divBdr>
                    <w:top w:val="none" w:sz="0" w:space="0" w:color="auto"/>
                    <w:left w:val="none" w:sz="0" w:space="0" w:color="auto"/>
                    <w:bottom w:val="none" w:sz="0" w:space="0" w:color="auto"/>
                    <w:right w:val="none" w:sz="0" w:space="0" w:color="auto"/>
                  </w:divBdr>
                  <w:divsChild>
                    <w:div w:id="709958942">
                      <w:marLeft w:val="0"/>
                      <w:marRight w:val="0"/>
                      <w:marTop w:val="0"/>
                      <w:marBottom w:val="0"/>
                      <w:divBdr>
                        <w:top w:val="none" w:sz="0" w:space="0" w:color="auto"/>
                        <w:left w:val="none" w:sz="0" w:space="0" w:color="auto"/>
                        <w:bottom w:val="none" w:sz="0" w:space="0" w:color="auto"/>
                        <w:right w:val="none" w:sz="0" w:space="0" w:color="auto"/>
                      </w:divBdr>
                      <w:divsChild>
                        <w:div w:id="2039233304">
                          <w:marLeft w:val="0"/>
                          <w:marRight w:val="0"/>
                          <w:marTop w:val="0"/>
                          <w:marBottom w:val="0"/>
                          <w:divBdr>
                            <w:top w:val="none" w:sz="0" w:space="0" w:color="auto"/>
                            <w:left w:val="none" w:sz="0" w:space="0" w:color="auto"/>
                            <w:bottom w:val="none" w:sz="0" w:space="0" w:color="auto"/>
                            <w:right w:val="none" w:sz="0" w:space="0" w:color="auto"/>
                          </w:divBdr>
                          <w:divsChild>
                            <w:div w:id="2046756587">
                              <w:marLeft w:val="0"/>
                              <w:marRight w:val="0"/>
                              <w:marTop w:val="0"/>
                              <w:marBottom w:val="0"/>
                              <w:divBdr>
                                <w:top w:val="none" w:sz="0" w:space="0" w:color="auto"/>
                                <w:left w:val="none" w:sz="0" w:space="0" w:color="auto"/>
                                <w:bottom w:val="none" w:sz="0" w:space="0" w:color="auto"/>
                                <w:right w:val="none" w:sz="0" w:space="0" w:color="auto"/>
                              </w:divBdr>
                              <w:divsChild>
                                <w:div w:id="1808736962">
                                  <w:marLeft w:val="0"/>
                                  <w:marRight w:val="0"/>
                                  <w:marTop w:val="0"/>
                                  <w:marBottom w:val="0"/>
                                  <w:divBdr>
                                    <w:top w:val="none" w:sz="0" w:space="0" w:color="auto"/>
                                    <w:left w:val="none" w:sz="0" w:space="0" w:color="auto"/>
                                    <w:bottom w:val="none" w:sz="0" w:space="0" w:color="auto"/>
                                    <w:right w:val="none" w:sz="0" w:space="0" w:color="auto"/>
                                  </w:divBdr>
                                  <w:divsChild>
                                    <w:div w:id="110781203">
                                      <w:marLeft w:val="0"/>
                                      <w:marRight w:val="0"/>
                                      <w:marTop w:val="0"/>
                                      <w:marBottom w:val="0"/>
                                      <w:divBdr>
                                        <w:top w:val="none" w:sz="0" w:space="0" w:color="auto"/>
                                        <w:left w:val="none" w:sz="0" w:space="0" w:color="auto"/>
                                        <w:bottom w:val="none" w:sz="0" w:space="0" w:color="auto"/>
                                        <w:right w:val="none" w:sz="0" w:space="0" w:color="auto"/>
                                      </w:divBdr>
                                      <w:divsChild>
                                        <w:div w:id="1560555967">
                                          <w:marLeft w:val="0"/>
                                          <w:marRight w:val="0"/>
                                          <w:marTop w:val="0"/>
                                          <w:marBottom w:val="0"/>
                                          <w:divBdr>
                                            <w:top w:val="none" w:sz="0" w:space="0" w:color="auto"/>
                                            <w:left w:val="none" w:sz="0" w:space="0" w:color="auto"/>
                                            <w:bottom w:val="none" w:sz="0" w:space="0" w:color="auto"/>
                                            <w:right w:val="none" w:sz="0" w:space="0" w:color="auto"/>
                                          </w:divBdr>
                                          <w:divsChild>
                                            <w:div w:id="1402753305">
                                              <w:marLeft w:val="0"/>
                                              <w:marRight w:val="0"/>
                                              <w:marTop w:val="0"/>
                                              <w:marBottom w:val="0"/>
                                              <w:divBdr>
                                                <w:top w:val="none" w:sz="0" w:space="0" w:color="auto"/>
                                                <w:left w:val="none" w:sz="0" w:space="0" w:color="auto"/>
                                                <w:bottom w:val="none" w:sz="0" w:space="0" w:color="auto"/>
                                                <w:right w:val="none" w:sz="0" w:space="0" w:color="auto"/>
                                              </w:divBdr>
                                              <w:divsChild>
                                                <w:div w:id="136411315">
                                                  <w:marLeft w:val="0"/>
                                                  <w:marRight w:val="0"/>
                                                  <w:marTop w:val="0"/>
                                                  <w:marBottom w:val="0"/>
                                                  <w:divBdr>
                                                    <w:top w:val="none" w:sz="0" w:space="0" w:color="auto"/>
                                                    <w:left w:val="none" w:sz="0" w:space="0" w:color="auto"/>
                                                    <w:bottom w:val="none" w:sz="0" w:space="0" w:color="auto"/>
                                                    <w:right w:val="none" w:sz="0" w:space="0" w:color="auto"/>
                                                  </w:divBdr>
                                                  <w:divsChild>
                                                    <w:div w:id="1551959764">
                                                      <w:marLeft w:val="0"/>
                                                      <w:marRight w:val="0"/>
                                                      <w:marTop w:val="0"/>
                                                      <w:marBottom w:val="0"/>
                                                      <w:divBdr>
                                                        <w:top w:val="none" w:sz="0" w:space="0" w:color="auto"/>
                                                        <w:left w:val="none" w:sz="0" w:space="0" w:color="auto"/>
                                                        <w:bottom w:val="none" w:sz="0" w:space="0" w:color="auto"/>
                                                        <w:right w:val="none" w:sz="0" w:space="0" w:color="auto"/>
                                                      </w:divBdr>
                                                    </w:div>
                                                  </w:divsChild>
                                                </w:div>
                                                <w:div w:id="836189170">
                                                  <w:marLeft w:val="0"/>
                                                  <w:marRight w:val="0"/>
                                                  <w:marTop w:val="0"/>
                                                  <w:marBottom w:val="0"/>
                                                  <w:divBdr>
                                                    <w:top w:val="none" w:sz="0" w:space="0" w:color="auto"/>
                                                    <w:left w:val="none" w:sz="0" w:space="0" w:color="auto"/>
                                                    <w:bottom w:val="none" w:sz="0" w:space="0" w:color="auto"/>
                                                    <w:right w:val="none" w:sz="0" w:space="0" w:color="auto"/>
                                                  </w:divBdr>
                                                  <w:divsChild>
                                                    <w:div w:id="955912341">
                                                      <w:marLeft w:val="0"/>
                                                      <w:marRight w:val="0"/>
                                                      <w:marTop w:val="0"/>
                                                      <w:marBottom w:val="0"/>
                                                      <w:divBdr>
                                                        <w:top w:val="none" w:sz="0" w:space="0" w:color="auto"/>
                                                        <w:left w:val="none" w:sz="0" w:space="0" w:color="auto"/>
                                                        <w:bottom w:val="none" w:sz="0" w:space="0" w:color="auto"/>
                                                        <w:right w:val="none" w:sz="0" w:space="0" w:color="auto"/>
                                                      </w:divBdr>
                                                    </w:div>
                                                  </w:divsChild>
                                                </w:div>
                                                <w:div w:id="1924996626">
                                                  <w:marLeft w:val="0"/>
                                                  <w:marRight w:val="0"/>
                                                  <w:marTop w:val="0"/>
                                                  <w:marBottom w:val="0"/>
                                                  <w:divBdr>
                                                    <w:top w:val="none" w:sz="0" w:space="0" w:color="auto"/>
                                                    <w:left w:val="none" w:sz="0" w:space="0" w:color="auto"/>
                                                    <w:bottom w:val="none" w:sz="0" w:space="0" w:color="auto"/>
                                                    <w:right w:val="none" w:sz="0" w:space="0" w:color="auto"/>
                                                  </w:divBdr>
                                                  <w:divsChild>
                                                    <w:div w:id="623314290">
                                                      <w:marLeft w:val="0"/>
                                                      <w:marRight w:val="0"/>
                                                      <w:marTop w:val="0"/>
                                                      <w:marBottom w:val="0"/>
                                                      <w:divBdr>
                                                        <w:top w:val="none" w:sz="0" w:space="0" w:color="auto"/>
                                                        <w:left w:val="none" w:sz="0" w:space="0" w:color="auto"/>
                                                        <w:bottom w:val="none" w:sz="0" w:space="0" w:color="auto"/>
                                                        <w:right w:val="none" w:sz="0" w:space="0" w:color="auto"/>
                                                      </w:divBdr>
                                                    </w:div>
                                                  </w:divsChild>
                                                </w:div>
                                                <w:div w:id="389236366">
                                                  <w:marLeft w:val="0"/>
                                                  <w:marRight w:val="0"/>
                                                  <w:marTop w:val="0"/>
                                                  <w:marBottom w:val="0"/>
                                                  <w:divBdr>
                                                    <w:top w:val="none" w:sz="0" w:space="0" w:color="auto"/>
                                                    <w:left w:val="none" w:sz="0" w:space="0" w:color="auto"/>
                                                    <w:bottom w:val="none" w:sz="0" w:space="0" w:color="auto"/>
                                                    <w:right w:val="none" w:sz="0" w:space="0" w:color="auto"/>
                                                  </w:divBdr>
                                                  <w:divsChild>
                                                    <w:div w:id="87849503">
                                                      <w:marLeft w:val="0"/>
                                                      <w:marRight w:val="0"/>
                                                      <w:marTop w:val="0"/>
                                                      <w:marBottom w:val="0"/>
                                                      <w:divBdr>
                                                        <w:top w:val="none" w:sz="0" w:space="0" w:color="auto"/>
                                                        <w:left w:val="none" w:sz="0" w:space="0" w:color="auto"/>
                                                        <w:bottom w:val="none" w:sz="0" w:space="0" w:color="auto"/>
                                                        <w:right w:val="none" w:sz="0" w:space="0" w:color="auto"/>
                                                      </w:divBdr>
                                                    </w:div>
                                                  </w:divsChild>
                                                </w:div>
                                                <w:div w:id="609897579">
                                                  <w:marLeft w:val="0"/>
                                                  <w:marRight w:val="0"/>
                                                  <w:marTop w:val="0"/>
                                                  <w:marBottom w:val="0"/>
                                                  <w:divBdr>
                                                    <w:top w:val="none" w:sz="0" w:space="0" w:color="auto"/>
                                                    <w:left w:val="none" w:sz="0" w:space="0" w:color="auto"/>
                                                    <w:bottom w:val="none" w:sz="0" w:space="0" w:color="auto"/>
                                                    <w:right w:val="none" w:sz="0" w:space="0" w:color="auto"/>
                                                  </w:divBdr>
                                                  <w:divsChild>
                                                    <w:div w:id="713964999">
                                                      <w:marLeft w:val="0"/>
                                                      <w:marRight w:val="0"/>
                                                      <w:marTop w:val="0"/>
                                                      <w:marBottom w:val="0"/>
                                                      <w:divBdr>
                                                        <w:top w:val="none" w:sz="0" w:space="0" w:color="auto"/>
                                                        <w:left w:val="none" w:sz="0" w:space="0" w:color="auto"/>
                                                        <w:bottom w:val="none" w:sz="0" w:space="0" w:color="auto"/>
                                                        <w:right w:val="none" w:sz="0" w:space="0" w:color="auto"/>
                                                      </w:divBdr>
                                                    </w:div>
                                                  </w:divsChild>
                                                </w:div>
                                                <w:div w:id="2035694216">
                                                  <w:marLeft w:val="0"/>
                                                  <w:marRight w:val="0"/>
                                                  <w:marTop w:val="0"/>
                                                  <w:marBottom w:val="0"/>
                                                  <w:divBdr>
                                                    <w:top w:val="none" w:sz="0" w:space="0" w:color="auto"/>
                                                    <w:left w:val="none" w:sz="0" w:space="0" w:color="auto"/>
                                                    <w:bottom w:val="none" w:sz="0" w:space="0" w:color="auto"/>
                                                    <w:right w:val="none" w:sz="0" w:space="0" w:color="auto"/>
                                                  </w:divBdr>
                                                  <w:divsChild>
                                                    <w:div w:id="2039891489">
                                                      <w:marLeft w:val="0"/>
                                                      <w:marRight w:val="0"/>
                                                      <w:marTop w:val="0"/>
                                                      <w:marBottom w:val="0"/>
                                                      <w:divBdr>
                                                        <w:top w:val="none" w:sz="0" w:space="0" w:color="auto"/>
                                                        <w:left w:val="none" w:sz="0" w:space="0" w:color="auto"/>
                                                        <w:bottom w:val="none" w:sz="0" w:space="0" w:color="auto"/>
                                                        <w:right w:val="none" w:sz="0" w:space="0" w:color="auto"/>
                                                      </w:divBdr>
                                                    </w:div>
                                                  </w:divsChild>
                                                </w:div>
                                                <w:div w:id="2023973030">
                                                  <w:marLeft w:val="0"/>
                                                  <w:marRight w:val="0"/>
                                                  <w:marTop w:val="0"/>
                                                  <w:marBottom w:val="0"/>
                                                  <w:divBdr>
                                                    <w:top w:val="none" w:sz="0" w:space="0" w:color="auto"/>
                                                    <w:left w:val="none" w:sz="0" w:space="0" w:color="auto"/>
                                                    <w:bottom w:val="none" w:sz="0" w:space="0" w:color="auto"/>
                                                    <w:right w:val="none" w:sz="0" w:space="0" w:color="auto"/>
                                                  </w:divBdr>
                                                  <w:divsChild>
                                                    <w:div w:id="262690845">
                                                      <w:marLeft w:val="0"/>
                                                      <w:marRight w:val="0"/>
                                                      <w:marTop w:val="0"/>
                                                      <w:marBottom w:val="0"/>
                                                      <w:divBdr>
                                                        <w:top w:val="none" w:sz="0" w:space="0" w:color="auto"/>
                                                        <w:left w:val="none" w:sz="0" w:space="0" w:color="auto"/>
                                                        <w:bottom w:val="none" w:sz="0" w:space="0" w:color="auto"/>
                                                        <w:right w:val="none" w:sz="0" w:space="0" w:color="auto"/>
                                                      </w:divBdr>
                                                    </w:div>
                                                  </w:divsChild>
                                                </w:div>
                                                <w:div w:id="563877084">
                                                  <w:marLeft w:val="0"/>
                                                  <w:marRight w:val="0"/>
                                                  <w:marTop w:val="0"/>
                                                  <w:marBottom w:val="0"/>
                                                  <w:divBdr>
                                                    <w:top w:val="none" w:sz="0" w:space="0" w:color="auto"/>
                                                    <w:left w:val="none" w:sz="0" w:space="0" w:color="auto"/>
                                                    <w:bottom w:val="none" w:sz="0" w:space="0" w:color="auto"/>
                                                    <w:right w:val="none" w:sz="0" w:space="0" w:color="auto"/>
                                                  </w:divBdr>
                                                  <w:divsChild>
                                                    <w:div w:id="615603507">
                                                      <w:marLeft w:val="0"/>
                                                      <w:marRight w:val="0"/>
                                                      <w:marTop w:val="0"/>
                                                      <w:marBottom w:val="0"/>
                                                      <w:divBdr>
                                                        <w:top w:val="none" w:sz="0" w:space="0" w:color="auto"/>
                                                        <w:left w:val="none" w:sz="0" w:space="0" w:color="auto"/>
                                                        <w:bottom w:val="none" w:sz="0" w:space="0" w:color="auto"/>
                                                        <w:right w:val="none" w:sz="0" w:space="0" w:color="auto"/>
                                                      </w:divBdr>
                                                    </w:div>
                                                  </w:divsChild>
                                                </w:div>
                                                <w:div w:id="308704978">
                                                  <w:marLeft w:val="0"/>
                                                  <w:marRight w:val="0"/>
                                                  <w:marTop w:val="0"/>
                                                  <w:marBottom w:val="0"/>
                                                  <w:divBdr>
                                                    <w:top w:val="none" w:sz="0" w:space="0" w:color="auto"/>
                                                    <w:left w:val="none" w:sz="0" w:space="0" w:color="auto"/>
                                                    <w:bottom w:val="none" w:sz="0" w:space="0" w:color="auto"/>
                                                    <w:right w:val="none" w:sz="0" w:space="0" w:color="auto"/>
                                                  </w:divBdr>
                                                  <w:divsChild>
                                                    <w:div w:id="1083723498">
                                                      <w:marLeft w:val="0"/>
                                                      <w:marRight w:val="0"/>
                                                      <w:marTop w:val="0"/>
                                                      <w:marBottom w:val="0"/>
                                                      <w:divBdr>
                                                        <w:top w:val="none" w:sz="0" w:space="0" w:color="auto"/>
                                                        <w:left w:val="none" w:sz="0" w:space="0" w:color="auto"/>
                                                        <w:bottom w:val="none" w:sz="0" w:space="0" w:color="auto"/>
                                                        <w:right w:val="none" w:sz="0" w:space="0" w:color="auto"/>
                                                      </w:divBdr>
                                                    </w:div>
                                                  </w:divsChild>
                                                </w:div>
                                                <w:div w:id="1963926387">
                                                  <w:marLeft w:val="0"/>
                                                  <w:marRight w:val="0"/>
                                                  <w:marTop w:val="0"/>
                                                  <w:marBottom w:val="0"/>
                                                  <w:divBdr>
                                                    <w:top w:val="none" w:sz="0" w:space="0" w:color="auto"/>
                                                    <w:left w:val="none" w:sz="0" w:space="0" w:color="auto"/>
                                                    <w:bottom w:val="none" w:sz="0" w:space="0" w:color="auto"/>
                                                    <w:right w:val="none" w:sz="0" w:space="0" w:color="auto"/>
                                                  </w:divBdr>
                                                  <w:divsChild>
                                                    <w:div w:id="20054659">
                                                      <w:marLeft w:val="0"/>
                                                      <w:marRight w:val="0"/>
                                                      <w:marTop w:val="0"/>
                                                      <w:marBottom w:val="0"/>
                                                      <w:divBdr>
                                                        <w:top w:val="none" w:sz="0" w:space="0" w:color="auto"/>
                                                        <w:left w:val="none" w:sz="0" w:space="0" w:color="auto"/>
                                                        <w:bottom w:val="none" w:sz="0" w:space="0" w:color="auto"/>
                                                        <w:right w:val="none" w:sz="0" w:space="0" w:color="auto"/>
                                                      </w:divBdr>
                                                    </w:div>
                                                  </w:divsChild>
                                                </w:div>
                                                <w:div w:id="1864126167">
                                                  <w:marLeft w:val="0"/>
                                                  <w:marRight w:val="0"/>
                                                  <w:marTop w:val="0"/>
                                                  <w:marBottom w:val="0"/>
                                                  <w:divBdr>
                                                    <w:top w:val="none" w:sz="0" w:space="0" w:color="auto"/>
                                                    <w:left w:val="none" w:sz="0" w:space="0" w:color="auto"/>
                                                    <w:bottom w:val="none" w:sz="0" w:space="0" w:color="auto"/>
                                                    <w:right w:val="none" w:sz="0" w:space="0" w:color="auto"/>
                                                  </w:divBdr>
                                                  <w:divsChild>
                                                    <w:div w:id="1945574271">
                                                      <w:marLeft w:val="0"/>
                                                      <w:marRight w:val="0"/>
                                                      <w:marTop w:val="0"/>
                                                      <w:marBottom w:val="0"/>
                                                      <w:divBdr>
                                                        <w:top w:val="none" w:sz="0" w:space="0" w:color="auto"/>
                                                        <w:left w:val="none" w:sz="0" w:space="0" w:color="auto"/>
                                                        <w:bottom w:val="none" w:sz="0" w:space="0" w:color="auto"/>
                                                        <w:right w:val="none" w:sz="0" w:space="0" w:color="auto"/>
                                                      </w:divBdr>
                                                    </w:div>
                                                  </w:divsChild>
                                                </w:div>
                                                <w:div w:id="497303910">
                                                  <w:marLeft w:val="0"/>
                                                  <w:marRight w:val="0"/>
                                                  <w:marTop w:val="0"/>
                                                  <w:marBottom w:val="0"/>
                                                  <w:divBdr>
                                                    <w:top w:val="none" w:sz="0" w:space="0" w:color="auto"/>
                                                    <w:left w:val="none" w:sz="0" w:space="0" w:color="auto"/>
                                                    <w:bottom w:val="none" w:sz="0" w:space="0" w:color="auto"/>
                                                    <w:right w:val="none" w:sz="0" w:space="0" w:color="auto"/>
                                                  </w:divBdr>
                                                  <w:divsChild>
                                                    <w:div w:id="1348486333">
                                                      <w:marLeft w:val="0"/>
                                                      <w:marRight w:val="0"/>
                                                      <w:marTop w:val="0"/>
                                                      <w:marBottom w:val="0"/>
                                                      <w:divBdr>
                                                        <w:top w:val="none" w:sz="0" w:space="0" w:color="auto"/>
                                                        <w:left w:val="none" w:sz="0" w:space="0" w:color="auto"/>
                                                        <w:bottom w:val="none" w:sz="0" w:space="0" w:color="auto"/>
                                                        <w:right w:val="none" w:sz="0" w:space="0" w:color="auto"/>
                                                      </w:divBdr>
                                                    </w:div>
                                                  </w:divsChild>
                                                </w:div>
                                                <w:div w:id="538859598">
                                                  <w:marLeft w:val="0"/>
                                                  <w:marRight w:val="0"/>
                                                  <w:marTop w:val="0"/>
                                                  <w:marBottom w:val="0"/>
                                                  <w:divBdr>
                                                    <w:top w:val="none" w:sz="0" w:space="0" w:color="auto"/>
                                                    <w:left w:val="none" w:sz="0" w:space="0" w:color="auto"/>
                                                    <w:bottom w:val="none" w:sz="0" w:space="0" w:color="auto"/>
                                                    <w:right w:val="none" w:sz="0" w:space="0" w:color="auto"/>
                                                  </w:divBdr>
                                                  <w:divsChild>
                                                    <w:div w:id="88165462">
                                                      <w:marLeft w:val="0"/>
                                                      <w:marRight w:val="0"/>
                                                      <w:marTop w:val="0"/>
                                                      <w:marBottom w:val="0"/>
                                                      <w:divBdr>
                                                        <w:top w:val="none" w:sz="0" w:space="0" w:color="auto"/>
                                                        <w:left w:val="none" w:sz="0" w:space="0" w:color="auto"/>
                                                        <w:bottom w:val="none" w:sz="0" w:space="0" w:color="auto"/>
                                                        <w:right w:val="none" w:sz="0" w:space="0" w:color="auto"/>
                                                      </w:divBdr>
                                                    </w:div>
                                                  </w:divsChild>
                                                </w:div>
                                                <w:div w:id="337539028">
                                                  <w:marLeft w:val="0"/>
                                                  <w:marRight w:val="0"/>
                                                  <w:marTop w:val="0"/>
                                                  <w:marBottom w:val="0"/>
                                                  <w:divBdr>
                                                    <w:top w:val="none" w:sz="0" w:space="0" w:color="auto"/>
                                                    <w:left w:val="none" w:sz="0" w:space="0" w:color="auto"/>
                                                    <w:bottom w:val="none" w:sz="0" w:space="0" w:color="auto"/>
                                                    <w:right w:val="none" w:sz="0" w:space="0" w:color="auto"/>
                                                  </w:divBdr>
                                                  <w:divsChild>
                                                    <w:div w:id="1315842592">
                                                      <w:marLeft w:val="0"/>
                                                      <w:marRight w:val="0"/>
                                                      <w:marTop w:val="0"/>
                                                      <w:marBottom w:val="0"/>
                                                      <w:divBdr>
                                                        <w:top w:val="none" w:sz="0" w:space="0" w:color="auto"/>
                                                        <w:left w:val="none" w:sz="0" w:space="0" w:color="auto"/>
                                                        <w:bottom w:val="none" w:sz="0" w:space="0" w:color="auto"/>
                                                        <w:right w:val="none" w:sz="0" w:space="0" w:color="auto"/>
                                                      </w:divBdr>
                                                    </w:div>
                                                  </w:divsChild>
                                                </w:div>
                                                <w:div w:id="965238358">
                                                  <w:marLeft w:val="0"/>
                                                  <w:marRight w:val="0"/>
                                                  <w:marTop w:val="0"/>
                                                  <w:marBottom w:val="0"/>
                                                  <w:divBdr>
                                                    <w:top w:val="none" w:sz="0" w:space="0" w:color="auto"/>
                                                    <w:left w:val="none" w:sz="0" w:space="0" w:color="auto"/>
                                                    <w:bottom w:val="none" w:sz="0" w:space="0" w:color="auto"/>
                                                    <w:right w:val="none" w:sz="0" w:space="0" w:color="auto"/>
                                                  </w:divBdr>
                                                  <w:divsChild>
                                                    <w:div w:id="1736704165">
                                                      <w:marLeft w:val="0"/>
                                                      <w:marRight w:val="0"/>
                                                      <w:marTop w:val="0"/>
                                                      <w:marBottom w:val="0"/>
                                                      <w:divBdr>
                                                        <w:top w:val="none" w:sz="0" w:space="0" w:color="auto"/>
                                                        <w:left w:val="none" w:sz="0" w:space="0" w:color="auto"/>
                                                        <w:bottom w:val="none" w:sz="0" w:space="0" w:color="auto"/>
                                                        <w:right w:val="none" w:sz="0" w:space="0" w:color="auto"/>
                                                      </w:divBdr>
                                                    </w:div>
                                                  </w:divsChild>
                                                </w:div>
                                                <w:div w:id="2085762233">
                                                  <w:marLeft w:val="0"/>
                                                  <w:marRight w:val="0"/>
                                                  <w:marTop w:val="0"/>
                                                  <w:marBottom w:val="0"/>
                                                  <w:divBdr>
                                                    <w:top w:val="none" w:sz="0" w:space="0" w:color="auto"/>
                                                    <w:left w:val="none" w:sz="0" w:space="0" w:color="auto"/>
                                                    <w:bottom w:val="none" w:sz="0" w:space="0" w:color="auto"/>
                                                    <w:right w:val="none" w:sz="0" w:space="0" w:color="auto"/>
                                                  </w:divBdr>
                                                  <w:divsChild>
                                                    <w:div w:id="1965192300">
                                                      <w:marLeft w:val="0"/>
                                                      <w:marRight w:val="0"/>
                                                      <w:marTop w:val="0"/>
                                                      <w:marBottom w:val="0"/>
                                                      <w:divBdr>
                                                        <w:top w:val="none" w:sz="0" w:space="0" w:color="auto"/>
                                                        <w:left w:val="none" w:sz="0" w:space="0" w:color="auto"/>
                                                        <w:bottom w:val="none" w:sz="0" w:space="0" w:color="auto"/>
                                                        <w:right w:val="none" w:sz="0" w:space="0" w:color="auto"/>
                                                      </w:divBdr>
                                                    </w:div>
                                                  </w:divsChild>
                                                </w:div>
                                                <w:div w:id="1809008820">
                                                  <w:marLeft w:val="0"/>
                                                  <w:marRight w:val="0"/>
                                                  <w:marTop w:val="0"/>
                                                  <w:marBottom w:val="0"/>
                                                  <w:divBdr>
                                                    <w:top w:val="none" w:sz="0" w:space="0" w:color="auto"/>
                                                    <w:left w:val="none" w:sz="0" w:space="0" w:color="auto"/>
                                                    <w:bottom w:val="none" w:sz="0" w:space="0" w:color="auto"/>
                                                    <w:right w:val="none" w:sz="0" w:space="0" w:color="auto"/>
                                                  </w:divBdr>
                                                  <w:divsChild>
                                                    <w:div w:id="250706095">
                                                      <w:marLeft w:val="0"/>
                                                      <w:marRight w:val="0"/>
                                                      <w:marTop w:val="0"/>
                                                      <w:marBottom w:val="0"/>
                                                      <w:divBdr>
                                                        <w:top w:val="none" w:sz="0" w:space="0" w:color="auto"/>
                                                        <w:left w:val="none" w:sz="0" w:space="0" w:color="auto"/>
                                                        <w:bottom w:val="none" w:sz="0" w:space="0" w:color="auto"/>
                                                        <w:right w:val="none" w:sz="0" w:space="0" w:color="auto"/>
                                                      </w:divBdr>
                                                    </w:div>
                                                  </w:divsChild>
                                                </w:div>
                                                <w:div w:id="2044086425">
                                                  <w:marLeft w:val="0"/>
                                                  <w:marRight w:val="0"/>
                                                  <w:marTop w:val="0"/>
                                                  <w:marBottom w:val="0"/>
                                                  <w:divBdr>
                                                    <w:top w:val="none" w:sz="0" w:space="0" w:color="auto"/>
                                                    <w:left w:val="none" w:sz="0" w:space="0" w:color="auto"/>
                                                    <w:bottom w:val="none" w:sz="0" w:space="0" w:color="auto"/>
                                                    <w:right w:val="none" w:sz="0" w:space="0" w:color="auto"/>
                                                  </w:divBdr>
                                                  <w:divsChild>
                                                    <w:div w:id="1687518937">
                                                      <w:marLeft w:val="0"/>
                                                      <w:marRight w:val="0"/>
                                                      <w:marTop w:val="0"/>
                                                      <w:marBottom w:val="0"/>
                                                      <w:divBdr>
                                                        <w:top w:val="none" w:sz="0" w:space="0" w:color="auto"/>
                                                        <w:left w:val="none" w:sz="0" w:space="0" w:color="auto"/>
                                                        <w:bottom w:val="none" w:sz="0" w:space="0" w:color="auto"/>
                                                        <w:right w:val="none" w:sz="0" w:space="0" w:color="auto"/>
                                                      </w:divBdr>
                                                    </w:div>
                                                  </w:divsChild>
                                                </w:div>
                                                <w:div w:id="1882857043">
                                                  <w:marLeft w:val="0"/>
                                                  <w:marRight w:val="0"/>
                                                  <w:marTop w:val="0"/>
                                                  <w:marBottom w:val="0"/>
                                                  <w:divBdr>
                                                    <w:top w:val="none" w:sz="0" w:space="0" w:color="auto"/>
                                                    <w:left w:val="none" w:sz="0" w:space="0" w:color="auto"/>
                                                    <w:bottom w:val="none" w:sz="0" w:space="0" w:color="auto"/>
                                                    <w:right w:val="none" w:sz="0" w:space="0" w:color="auto"/>
                                                  </w:divBdr>
                                                  <w:divsChild>
                                                    <w:div w:id="1966883420">
                                                      <w:marLeft w:val="0"/>
                                                      <w:marRight w:val="0"/>
                                                      <w:marTop w:val="0"/>
                                                      <w:marBottom w:val="0"/>
                                                      <w:divBdr>
                                                        <w:top w:val="none" w:sz="0" w:space="0" w:color="auto"/>
                                                        <w:left w:val="none" w:sz="0" w:space="0" w:color="auto"/>
                                                        <w:bottom w:val="none" w:sz="0" w:space="0" w:color="auto"/>
                                                        <w:right w:val="none" w:sz="0" w:space="0" w:color="auto"/>
                                                      </w:divBdr>
                                                    </w:div>
                                                  </w:divsChild>
                                                </w:div>
                                                <w:div w:id="1304700711">
                                                  <w:marLeft w:val="0"/>
                                                  <w:marRight w:val="0"/>
                                                  <w:marTop w:val="0"/>
                                                  <w:marBottom w:val="0"/>
                                                  <w:divBdr>
                                                    <w:top w:val="none" w:sz="0" w:space="0" w:color="auto"/>
                                                    <w:left w:val="none" w:sz="0" w:space="0" w:color="auto"/>
                                                    <w:bottom w:val="none" w:sz="0" w:space="0" w:color="auto"/>
                                                    <w:right w:val="none" w:sz="0" w:space="0" w:color="auto"/>
                                                  </w:divBdr>
                                                  <w:divsChild>
                                                    <w:div w:id="398478633">
                                                      <w:marLeft w:val="0"/>
                                                      <w:marRight w:val="0"/>
                                                      <w:marTop w:val="0"/>
                                                      <w:marBottom w:val="0"/>
                                                      <w:divBdr>
                                                        <w:top w:val="none" w:sz="0" w:space="0" w:color="auto"/>
                                                        <w:left w:val="none" w:sz="0" w:space="0" w:color="auto"/>
                                                        <w:bottom w:val="none" w:sz="0" w:space="0" w:color="auto"/>
                                                        <w:right w:val="none" w:sz="0" w:space="0" w:color="auto"/>
                                                      </w:divBdr>
                                                    </w:div>
                                                  </w:divsChild>
                                                </w:div>
                                                <w:div w:id="741564784">
                                                  <w:marLeft w:val="0"/>
                                                  <w:marRight w:val="0"/>
                                                  <w:marTop w:val="0"/>
                                                  <w:marBottom w:val="0"/>
                                                  <w:divBdr>
                                                    <w:top w:val="none" w:sz="0" w:space="0" w:color="auto"/>
                                                    <w:left w:val="none" w:sz="0" w:space="0" w:color="auto"/>
                                                    <w:bottom w:val="none" w:sz="0" w:space="0" w:color="auto"/>
                                                    <w:right w:val="none" w:sz="0" w:space="0" w:color="auto"/>
                                                  </w:divBdr>
                                                  <w:divsChild>
                                                    <w:div w:id="1987783324">
                                                      <w:marLeft w:val="0"/>
                                                      <w:marRight w:val="0"/>
                                                      <w:marTop w:val="0"/>
                                                      <w:marBottom w:val="0"/>
                                                      <w:divBdr>
                                                        <w:top w:val="none" w:sz="0" w:space="0" w:color="auto"/>
                                                        <w:left w:val="none" w:sz="0" w:space="0" w:color="auto"/>
                                                        <w:bottom w:val="none" w:sz="0" w:space="0" w:color="auto"/>
                                                        <w:right w:val="none" w:sz="0" w:space="0" w:color="auto"/>
                                                      </w:divBdr>
                                                    </w:div>
                                                  </w:divsChild>
                                                </w:div>
                                                <w:div w:id="1073701946">
                                                  <w:marLeft w:val="0"/>
                                                  <w:marRight w:val="0"/>
                                                  <w:marTop w:val="0"/>
                                                  <w:marBottom w:val="0"/>
                                                  <w:divBdr>
                                                    <w:top w:val="none" w:sz="0" w:space="0" w:color="auto"/>
                                                    <w:left w:val="none" w:sz="0" w:space="0" w:color="auto"/>
                                                    <w:bottom w:val="none" w:sz="0" w:space="0" w:color="auto"/>
                                                    <w:right w:val="none" w:sz="0" w:space="0" w:color="auto"/>
                                                  </w:divBdr>
                                                  <w:divsChild>
                                                    <w:div w:id="60060478">
                                                      <w:marLeft w:val="0"/>
                                                      <w:marRight w:val="0"/>
                                                      <w:marTop w:val="0"/>
                                                      <w:marBottom w:val="0"/>
                                                      <w:divBdr>
                                                        <w:top w:val="none" w:sz="0" w:space="0" w:color="auto"/>
                                                        <w:left w:val="none" w:sz="0" w:space="0" w:color="auto"/>
                                                        <w:bottom w:val="none" w:sz="0" w:space="0" w:color="auto"/>
                                                        <w:right w:val="none" w:sz="0" w:space="0" w:color="auto"/>
                                                      </w:divBdr>
                                                    </w:div>
                                                  </w:divsChild>
                                                </w:div>
                                                <w:div w:id="1414742026">
                                                  <w:marLeft w:val="0"/>
                                                  <w:marRight w:val="0"/>
                                                  <w:marTop w:val="0"/>
                                                  <w:marBottom w:val="0"/>
                                                  <w:divBdr>
                                                    <w:top w:val="none" w:sz="0" w:space="0" w:color="auto"/>
                                                    <w:left w:val="none" w:sz="0" w:space="0" w:color="auto"/>
                                                    <w:bottom w:val="none" w:sz="0" w:space="0" w:color="auto"/>
                                                    <w:right w:val="none" w:sz="0" w:space="0" w:color="auto"/>
                                                  </w:divBdr>
                                                  <w:divsChild>
                                                    <w:div w:id="1414626842">
                                                      <w:marLeft w:val="0"/>
                                                      <w:marRight w:val="0"/>
                                                      <w:marTop w:val="0"/>
                                                      <w:marBottom w:val="0"/>
                                                      <w:divBdr>
                                                        <w:top w:val="none" w:sz="0" w:space="0" w:color="auto"/>
                                                        <w:left w:val="none" w:sz="0" w:space="0" w:color="auto"/>
                                                        <w:bottom w:val="none" w:sz="0" w:space="0" w:color="auto"/>
                                                        <w:right w:val="none" w:sz="0" w:space="0" w:color="auto"/>
                                                      </w:divBdr>
                                                    </w:div>
                                                  </w:divsChild>
                                                </w:div>
                                                <w:div w:id="299699390">
                                                  <w:marLeft w:val="0"/>
                                                  <w:marRight w:val="0"/>
                                                  <w:marTop w:val="0"/>
                                                  <w:marBottom w:val="0"/>
                                                  <w:divBdr>
                                                    <w:top w:val="none" w:sz="0" w:space="0" w:color="auto"/>
                                                    <w:left w:val="none" w:sz="0" w:space="0" w:color="auto"/>
                                                    <w:bottom w:val="none" w:sz="0" w:space="0" w:color="auto"/>
                                                    <w:right w:val="none" w:sz="0" w:space="0" w:color="auto"/>
                                                  </w:divBdr>
                                                  <w:divsChild>
                                                    <w:div w:id="1837458526">
                                                      <w:marLeft w:val="0"/>
                                                      <w:marRight w:val="0"/>
                                                      <w:marTop w:val="0"/>
                                                      <w:marBottom w:val="0"/>
                                                      <w:divBdr>
                                                        <w:top w:val="none" w:sz="0" w:space="0" w:color="auto"/>
                                                        <w:left w:val="none" w:sz="0" w:space="0" w:color="auto"/>
                                                        <w:bottom w:val="none" w:sz="0" w:space="0" w:color="auto"/>
                                                        <w:right w:val="none" w:sz="0" w:space="0" w:color="auto"/>
                                                      </w:divBdr>
                                                    </w:div>
                                                  </w:divsChild>
                                                </w:div>
                                                <w:div w:id="1285431557">
                                                  <w:marLeft w:val="0"/>
                                                  <w:marRight w:val="0"/>
                                                  <w:marTop w:val="0"/>
                                                  <w:marBottom w:val="0"/>
                                                  <w:divBdr>
                                                    <w:top w:val="none" w:sz="0" w:space="0" w:color="auto"/>
                                                    <w:left w:val="none" w:sz="0" w:space="0" w:color="auto"/>
                                                    <w:bottom w:val="none" w:sz="0" w:space="0" w:color="auto"/>
                                                    <w:right w:val="none" w:sz="0" w:space="0" w:color="auto"/>
                                                  </w:divBdr>
                                                  <w:divsChild>
                                                    <w:div w:id="253587102">
                                                      <w:marLeft w:val="0"/>
                                                      <w:marRight w:val="0"/>
                                                      <w:marTop w:val="0"/>
                                                      <w:marBottom w:val="0"/>
                                                      <w:divBdr>
                                                        <w:top w:val="none" w:sz="0" w:space="0" w:color="auto"/>
                                                        <w:left w:val="none" w:sz="0" w:space="0" w:color="auto"/>
                                                        <w:bottom w:val="none" w:sz="0" w:space="0" w:color="auto"/>
                                                        <w:right w:val="none" w:sz="0" w:space="0" w:color="auto"/>
                                                      </w:divBdr>
                                                    </w:div>
                                                  </w:divsChild>
                                                </w:div>
                                                <w:div w:id="171795670">
                                                  <w:marLeft w:val="0"/>
                                                  <w:marRight w:val="0"/>
                                                  <w:marTop w:val="0"/>
                                                  <w:marBottom w:val="0"/>
                                                  <w:divBdr>
                                                    <w:top w:val="none" w:sz="0" w:space="0" w:color="auto"/>
                                                    <w:left w:val="none" w:sz="0" w:space="0" w:color="auto"/>
                                                    <w:bottom w:val="none" w:sz="0" w:space="0" w:color="auto"/>
                                                    <w:right w:val="none" w:sz="0" w:space="0" w:color="auto"/>
                                                  </w:divBdr>
                                                  <w:divsChild>
                                                    <w:div w:id="12313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9036">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51586111">
                                          <w:marLeft w:val="0"/>
                                          <w:marRight w:val="0"/>
                                          <w:marTop w:val="0"/>
                                          <w:marBottom w:val="0"/>
                                          <w:divBdr>
                                            <w:top w:val="none" w:sz="0" w:space="0" w:color="auto"/>
                                            <w:left w:val="none" w:sz="0" w:space="0" w:color="auto"/>
                                            <w:bottom w:val="none" w:sz="0" w:space="0" w:color="auto"/>
                                            <w:right w:val="none" w:sz="0" w:space="0" w:color="auto"/>
                                          </w:divBdr>
                                          <w:divsChild>
                                            <w:div w:id="1930311113">
                                              <w:marLeft w:val="0"/>
                                              <w:marRight w:val="0"/>
                                              <w:marTop w:val="0"/>
                                              <w:marBottom w:val="0"/>
                                              <w:divBdr>
                                                <w:top w:val="none" w:sz="0" w:space="0" w:color="auto"/>
                                                <w:left w:val="none" w:sz="0" w:space="0" w:color="auto"/>
                                                <w:bottom w:val="none" w:sz="0" w:space="0" w:color="auto"/>
                                                <w:right w:val="none" w:sz="0" w:space="0" w:color="auto"/>
                                              </w:divBdr>
                                            </w:div>
                                          </w:divsChild>
                                        </w:div>
                                        <w:div w:id="928662499">
                                          <w:marLeft w:val="0"/>
                                          <w:marRight w:val="0"/>
                                          <w:marTop w:val="0"/>
                                          <w:marBottom w:val="0"/>
                                          <w:divBdr>
                                            <w:top w:val="none" w:sz="0" w:space="0" w:color="auto"/>
                                            <w:left w:val="none" w:sz="0" w:space="0" w:color="auto"/>
                                            <w:bottom w:val="none" w:sz="0" w:space="0" w:color="auto"/>
                                            <w:right w:val="none" w:sz="0" w:space="0" w:color="auto"/>
                                          </w:divBdr>
                                          <w:divsChild>
                                            <w:div w:id="478228962">
                                              <w:marLeft w:val="0"/>
                                              <w:marRight w:val="0"/>
                                              <w:marTop w:val="0"/>
                                              <w:marBottom w:val="0"/>
                                              <w:divBdr>
                                                <w:top w:val="none" w:sz="0" w:space="0" w:color="auto"/>
                                                <w:left w:val="none" w:sz="0" w:space="0" w:color="auto"/>
                                                <w:bottom w:val="none" w:sz="0" w:space="0" w:color="auto"/>
                                                <w:right w:val="none" w:sz="0" w:space="0" w:color="auto"/>
                                              </w:divBdr>
                                            </w:div>
                                          </w:divsChild>
                                        </w:div>
                                        <w:div w:id="1318535613">
                                          <w:marLeft w:val="0"/>
                                          <w:marRight w:val="0"/>
                                          <w:marTop w:val="0"/>
                                          <w:marBottom w:val="0"/>
                                          <w:divBdr>
                                            <w:top w:val="none" w:sz="0" w:space="0" w:color="auto"/>
                                            <w:left w:val="none" w:sz="0" w:space="0" w:color="auto"/>
                                            <w:bottom w:val="none" w:sz="0" w:space="0" w:color="auto"/>
                                            <w:right w:val="none" w:sz="0" w:space="0" w:color="auto"/>
                                          </w:divBdr>
                                          <w:divsChild>
                                            <w:div w:id="1874539305">
                                              <w:marLeft w:val="0"/>
                                              <w:marRight w:val="0"/>
                                              <w:marTop w:val="0"/>
                                              <w:marBottom w:val="0"/>
                                              <w:divBdr>
                                                <w:top w:val="none" w:sz="0" w:space="0" w:color="auto"/>
                                                <w:left w:val="none" w:sz="0" w:space="0" w:color="auto"/>
                                                <w:bottom w:val="none" w:sz="0" w:space="0" w:color="auto"/>
                                                <w:right w:val="none" w:sz="0" w:space="0" w:color="auto"/>
                                              </w:divBdr>
                                            </w:div>
                                          </w:divsChild>
                                        </w:div>
                                        <w:div w:id="1131048184">
                                          <w:marLeft w:val="0"/>
                                          <w:marRight w:val="0"/>
                                          <w:marTop w:val="0"/>
                                          <w:marBottom w:val="0"/>
                                          <w:divBdr>
                                            <w:top w:val="none" w:sz="0" w:space="0" w:color="auto"/>
                                            <w:left w:val="none" w:sz="0" w:space="0" w:color="auto"/>
                                            <w:bottom w:val="none" w:sz="0" w:space="0" w:color="auto"/>
                                            <w:right w:val="none" w:sz="0" w:space="0" w:color="auto"/>
                                          </w:divBdr>
                                          <w:divsChild>
                                            <w:div w:id="2126348042">
                                              <w:marLeft w:val="0"/>
                                              <w:marRight w:val="0"/>
                                              <w:marTop w:val="0"/>
                                              <w:marBottom w:val="0"/>
                                              <w:divBdr>
                                                <w:top w:val="none" w:sz="0" w:space="0" w:color="auto"/>
                                                <w:left w:val="none" w:sz="0" w:space="0" w:color="auto"/>
                                                <w:bottom w:val="none" w:sz="0" w:space="0" w:color="auto"/>
                                                <w:right w:val="none" w:sz="0" w:space="0" w:color="auto"/>
                                              </w:divBdr>
                                            </w:div>
                                          </w:divsChild>
                                        </w:div>
                                        <w:div w:id="400625">
                                          <w:marLeft w:val="0"/>
                                          <w:marRight w:val="0"/>
                                          <w:marTop w:val="0"/>
                                          <w:marBottom w:val="0"/>
                                          <w:divBdr>
                                            <w:top w:val="none" w:sz="0" w:space="0" w:color="auto"/>
                                            <w:left w:val="none" w:sz="0" w:space="0" w:color="auto"/>
                                            <w:bottom w:val="none" w:sz="0" w:space="0" w:color="auto"/>
                                            <w:right w:val="none" w:sz="0" w:space="0" w:color="auto"/>
                                          </w:divBdr>
                                          <w:divsChild>
                                            <w:div w:id="6181847">
                                              <w:marLeft w:val="0"/>
                                              <w:marRight w:val="0"/>
                                              <w:marTop w:val="0"/>
                                              <w:marBottom w:val="0"/>
                                              <w:divBdr>
                                                <w:top w:val="none" w:sz="0" w:space="0" w:color="auto"/>
                                                <w:left w:val="none" w:sz="0" w:space="0" w:color="auto"/>
                                                <w:bottom w:val="none" w:sz="0" w:space="0" w:color="auto"/>
                                                <w:right w:val="none" w:sz="0" w:space="0" w:color="auto"/>
                                              </w:divBdr>
                                            </w:div>
                                          </w:divsChild>
                                        </w:div>
                                        <w:div w:id="1268077965">
                                          <w:marLeft w:val="0"/>
                                          <w:marRight w:val="0"/>
                                          <w:marTop w:val="0"/>
                                          <w:marBottom w:val="0"/>
                                          <w:divBdr>
                                            <w:top w:val="none" w:sz="0" w:space="0" w:color="auto"/>
                                            <w:left w:val="none" w:sz="0" w:space="0" w:color="auto"/>
                                            <w:bottom w:val="none" w:sz="0" w:space="0" w:color="auto"/>
                                            <w:right w:val="none" w:sz="0" w:space="0" w:color="auto"/>
                                          </w:divBdr>
                                          <w:divsChild>
                                            <w:div w:id="1753624661">
                                              <w:marLeft w:val="0"/>
                                              <w:marRight w:val="0"/>
                                              <w:marTop w:val="0"/>
                                              <w:marBottom w:val="0"/>
                                              <w:divBdr>
                                                <w:top w:val="none" w:sz="0" w:space="0" w:color="auto"/>
                                                <w:left w:val="none" w:sz="0" w:space="0" w:color="auto"/>
                                                <w:bottom w:val="none" w:sz="0" w:space="0" w:color="auto"/>
                                                <w:right w:val="none" w:sz="0" w:space="0" w:color="auto"/>
                                              </w:divBdr>
                                            </w:div>
                                          </w:divsChild>
                                        </w:div>
                                        <w:div w:id="225067565">
                                          <w:marLeft w:val="0"/>
                                          <w:marRight w:val="0"/>
                                          <w:marTop w:val="0"/>
                                          <w:marBottom w:val="0"/>
                                          <w:divBdr>
                                            <w:top w:val="none" w:sz="0" w:space="0" w:color="auto"/>
                                            <w:left w:val="none" w:sz="0" w:space="0" w:color="auto"/>
                                            <w:bottom w:val="none" w:sz="0" w:space="0" w:color="auto"/>
                                            <w:right w:val="none" w:sz="0" w:space="0" w:color="auto"/>
                                          </w:divBdr>
                                          <w:divsChild>
                                            <w:div w:id="433787712">
                                              <w:marLeft w:val="0"/>
                                              <w:marRight w:val="0"/>
                                              <w:marTop w:val="0"/>
                                              <w:marBottom w:val="0"/>
                                              <w:divBdr>
                                                <w:top w:val="none" w:sz="0" w:space="0" w:color="auto"/>
                                                <w:left w:val="none" w:sz="0" w:space="0" w:color="auto"/>
                                                <w:bottom w:val="none" w:sz="0" w:space="0" w:color="auto"/>
                                                <w:right w:val="none" w:sz="0" w:space="0" w:color="auto"/>
                                              </w:divBdr>
                                            </w:div>
                                          </w:divsChild>
                                        </w:div>
                                        <w:div w:id="1759449632">
                                          <w:marLeft w:val="0"/>
                                          <w:marRight w:val="0"/>
                                          <w:marTop w:val="0"/>
                                          <w:marBottom w:val="0"/>
                                          <w:divBdr>
                                            <w:top w:val="none" w:sz="0" w:space="0" w:color="auto"/>
                                            <w:left w:val="none" w:sz="0" w:space="0" w:color="auto"/>
                                            <w:bottom w:val="none" w:sz="0" w:space="0" w:color="auto"/>
                                            <w:right w:val="none" w:sz="0" w:space="0" w:color="auto"/>
                                          </w:divBdr>
                                          <w:divsChild>
                                            <w:div w:id="1186165274">
                                              <w:marLeft w:val="0"/>
                                              <w:marRight w:val="0"/>
                                              <w:marTop w:val="0"/>
                                              <w:marBottom w:val="0"/>
                                              <w:divBdr>
                                                <w:top w:val="none" w:sz="0" w:space="0" w:color="auto"/>
                                                <w:left w:val="none" w:sz="0" w:space="0" w:color="auto"/>
                                                <w:bottom w:val="none" w:sz="0" w:space="0" w:color="auto"/>
                                                <w:right w:val="none" w:sz="0" w:space="0" w:color="auto"/>
                                              </w:divBdr>
                                            </w:div>
                                          </w:divsChild>
                                        </w:div>
                                        <w:div w:id="1968505884">
                                          <w:marLeft w:val="0"/>
                                          <w:marRight w:val="0"/>
                                          <w:marTop w:val="0"/>
                                          <w:marBottom w:val="0"/>
                                          <w:divBdr>
                                            <w:top w:val="none" w:sz="0" w:space="0" w:color="auto"/>
                                            <w:left w:val="none" w:sz="0" w:space="0" w:color="auto"/>
                                            <w:bottom w:val="none" w:sz="0" w:space="0" w:color="auto"/>
                                            <w:right w:val="none" w:sz="0" w:space="0" w:color="auto"/>
                                          </w:divBdr>
                                          <w:divsChild>
                                            <w:div w:id="1529828671">
                                              <w:marLeft w:val="0"/>
                                              <w:marRight w:val="0"/>
                                              <w:marTop w:val="0"/>
                                              <w:marBottom w:val="0"/>
                                              <w:divBdr>
                                                <w:top w:val="none" w:sz="0" w:space="0" w:color="auto"/>
                                                <w:left w:val="none" w:sz="0" w:space="0" w:color="auto"/>
                                                <w:bottom w:val="none" w:sz="0" w:space="0" w:color="auto"/>
                                                <w:right w:val="none" w:sz="0" w:space="0" w:color="auto"/>
                                              </w:divBdr>
                                            </w:div>
                                          </w:divsChild>
                                        </w:div>
                                        <w:div w:id="1435664016">
                                          <w:marLeft w:val="0"/>
                                          <w:marRight w:val="0"/>
                                          <w:marTop w:val="0"/>
                                          <w:marBottom w:val="0"/>
                                          <w:divBdr>
                                            <w:top w:val="none" w:sz="0" w:space="0" w:color="auto"/>
                                            <w:left w:val="none" w:sz="0" w:space="0" w:color="auto"/>
                                            <w:bottom w:val="none" w:sz="0" w:space="0" w:color="auto"/>
                                            <w:right w:val="none" w:sz="0" w:space="0" w:color="auto"/>
                                          </w:divBdr>
                                          <w:divsChild>
                                            <w:div w:id="10177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138447">
                  <w:marLeft w:val="0"/>
                  <w:marRight w:val="0"/>
                  <w:marTop w:val="0"/>
                  <w:marBottom w:val="0"/>
                  <w:divBdr>
                    <w:top w:val="none" w:sz="0" w:space="0" w:color="auto"/>
                    <w:left w:val="none" w:sz="0" w:space="0" w:color="auto"/>
                    <w:bottom w:val="none" w:sz="0" w:space="0" w:color="auto"/>
                    <w:right w:val="none" w:sz="0" w:space="0" w:color="auto"/>
                  </w:divBdr>
                  <w:divsChild>
                    <w:div w:id="2061202426">
                      <w:marLeft w:val="0"/>
                      <w:marRight w:val="0"/>
                      <w:marTop w:val="0"/>
                      <w:marBottom w:val="0"/>
                      <w:divBdr>
                        <w:top w:val="none" w:sz="0" w:space="0" w:color="auto"/>
                        <w:left w:val="none" w:sz="0" w:space="0" w:color="auto"/>
                        <w:bottom w:val="none" w:sz="0" w:space="0" w:color="auto"/>
                        <w:right w:val="none" w:sz="0" w:space="0" w:color="auto"/>
                      </w:divBdr>
                      <w:divsChild>
                        <w:div w:id="1689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pw.qld.gov.au/SiteCollectionDocuments/WaterResilientProductsAndBuildingTechniquesForRebuildingAfterAFlood.pdf" TargetMode="External"/><Relationship Id="rId18" Type="http://schemas.openxmlformats.org/officeDocument/2006/relationships/hyperlink" Target="http://consult.moretonbay.qld.gov.au/portal/mbrcplanningschemecommenced?pointId=s1414726382511" TargetMode="External"/><Relationship Id="rId26" Type="http://schemas.openxmlformats.org/officeDocument/2006/relationships/hyperlink" Target="http://consult.moretonbay.qld.gov.au/portal/mbrcplanningschemecommenced?pointId=s1414726382511" TargetMode="External"/><Relationship Id="rId39" Type="http://schemas.openxmlformats.org/officeDocument/2006/relationships/hyperlink" Target="http://consult.moretonbay.qld.gov.au/portal/mbrcplanningschemecommenced?pointId=s1332743658181" TargetMode="External"/><Relationship Id="rId3" Type="http://schemas.openxmlformats.org/officeDocument/2006/relationships/settings" Target="settings.xml"/><Relationship Id="rId21" Type="http://schemas.openxmlformats.org/officeDocument/2006/relationships/hyperlink" Target="http://consult.moretonbay.qld.gov.au/portal/mbrcplanningschemecommenced?pointId=s1414726382511" TargetMode="External"/><Relationship Id="rId34" Type="http://schemas.openxmlformats.org/officeDocument/2006/relationships/hyperlink" Target="http://consult.moretonbay.qld.gov.au/portal/mbrcplanningschemecommenced?pointId=s1414726382511" TargetMode="External"/><Relationship Id="rId42" Type="http://schemas.openxmlformats.org/officeDocument/2006/relationships/image" Target="media/image1.jpeg"/><Relationship Id="rId47" Type="http://schemas.openxmlformats.org/officeDocument/2006/relationships/image" Target="media/image6.jpeg"/><Relationship Id="rId50" Type="http://schemas.openxmlformats.org/officeDocument/2006/relationships/image" Target="media/image9.jpeg"/><Relationship Id="rId7" Type="http://schemas.openxmlformats.org/officeDocument/2006/relationships/hyperlink" Target="http://consult.moretonbay.qld.gov.au/portal/mbrcplanningschemecommenced?pointId=s1332743658181" TargetMode="External"/><Relationship Id="rId12" Type="http://schemas.openxmlformats.org/officeDocument/2006/relationships/hyperlink" Target="http://consult.moretonbay.qld.gov.au/portal/mbrcplanningschemecommenced?pointId=s1414726382511" TargetMode="External"/><Relationship Id="rId17" Type="http://schemas.openxmlformats.org/officeDocument/2006/relationships/hyperlink" Target="http://www.hpw.qld.gov.au/SiteCollectionDocuments/WaterResilientProductsAndBuildingTechniquesForRebuildingAfterAFlood.pdf" TargetMode="External"/><Relationship Id="rId25" Type="http://schemas.openxmlformats.org/officeDocument/2006/relationships/hyperlink" Target="http://consult.moretonbay.qld.gov.au/portal/mbrcplanningschemecommenced?pointId=s1414726382511" TargetMode="External"/><Relationship Id="rId33" Type="http://schemas.openxmlformats.org/officeDocument/2006/relationships/hyperlink" Target="http://consult.moretonbay.qld.gov.au/portal/mbrcplanningschemecommenced?pointId=s1414726382511" TargetMode="External"/><Relationship Id="rId38" Type="http://schemas.openxmlformats.org/officeDocument/2006/relationships/hyperlink" Target="http://consult.moretonbay.qld.gov.au/portal/mbrcplanningschemecommenced?pointId=s1332743658181" TargetMode="External"/><Relationship Id="rId46"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consult.moretonbay.qld.gov.au/portal/mbrcplanningschemecommenced?pointId=s1414726382511" TargetMode="External"/><Relationship Id="rId20" Type="http://schemas.openxmlformats.org/officeDocument/2006/relationships/hyperlink" Target="https://www.moretonbay.qld.gov.au/floodcheck/" TargetMode="External"/><Relationship Id="rId29" Type="http://schemas.openxmlformats.org/officeDocument/2006/relationships/hyperlink" Target="http://consult.moretonbay.qld.gov.au/portal/mbrcplanningschemecommenced?pointId=s1414726382511" TargetMode="External"/><Relationship Id="rId41" Type="http://schemas.openxmlformats.org/officeDocument/2006/relationships/hyperlink" Target="http://consult.moretonbay.qld.gov.au/portal/mbrcplanningschemecommenced?pointId=s1332743658181"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portal/mbrcplanningschemecommenced?pointId=s1414726382511" TargetMode="External"/><Relationship Id="rId24" Type="http://schemas.openxmlformats.org/officeDocument/2006/relationships/hyperlink" Target="http://www.hpw.qld.gov.au/SiteCollectionDocuments/WaterResilientProductsAndBuildingTechniquesForRebuildingAfterAFlood.pdf" TargetMode="External"/><Relationship Id="rId32" Type="http://schemas.openxmlformats.org/officeDocument/2006/relationships/hyperlink" Target="http://consult.moretonbay.qld.gov.au/portal/mbrcplanningschemecommenced?pointId=s1414726382511" TargetMode="External"/><Relationship Id="rId37" Type="http://schemas.openxmlformats.org/officeDocument/2006/relationships/hyperlink" Target="http://consult.moretonbay.qld.gov.au/portal/mbrcplanningschemecommenced?pointId=s1332743658181" TargetMode="External"/><Relationship Id="rId40" Type="http://schemas.openxmlformats.org/officeDocument/2006/relationships/hyperlink" Target="http://consult.moretonbay.qld.gov.au/portal/mbrcplanningschemecommenced?pointId=s1332743658181" TargetMode="External"/><Relationship Id="rId45" Type="http://schemas.openxmlformats.org/officeDocument/2006/relationships/image" Target="media/image4.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onsult.moretonbay.qld.gov.au/portal/mbrcplanningschemecommenced?pointId=s1414726382511" TargetMode="External"/><Relationship Id="rId23" Type="http://schemas.openxmlformats.org/officeDocument/2006/relationships/hyperlink" Target="http://consult.moretonbay.qld.gov.au/portal/mbrcplanningschemecommenced?pointId=s1414726382511" TargetMode="External"/><Relationship Id="rId28" Type="http://schemas.openxmlformats.org/officeDocument/2006/relationships/hyperlink" Target="http://consult.moretonbay.qld.gov.au/portal/mbrcplanningschemecommenced?pointId=s1332743658181" TargetMode="External"/><Relationship Id="rId36" Type="http://schemas.openxmlformats.org/officeDocument/2006/relationships/hyperlink" Target="http://consult.moretonbay.qld.gov.au/portal/mbrcplanningschemecommenced?pointId=s1332743658181" TargetMode="External"/><Relationship Id="rId49" Type="http://schemas.openxmlformats.org/officeDocument/2006/relationships/image" Target="media/image8.jpeg"/><Relationship Id="rId10" Type="http://schemas.openxmlformats.org/officeDocument/2006/relationships/hyperlink" Target="https://www.moretonbay.qld.gov.au/floodcheck/" TargetMode="External"/><Relationship Id="rId19" Type="http://schemas.openxmlformats.org/officeDocument/2006/relationships/hyperlink" Target="http://consult.moretonbay.qld.gov.au/portal/mbrcplanningschemecommenced?pointId=s1414726382511" TargetMode="External"/><Relationship Id="rId31" Type="http://schemas.openxmlformats.org/officeDocument/2006/relationships/hyperlink" Target="http://consult.moretonbay.qld.gov.au/portal/mbrcplanningschemecommenced?pointId=s1332743658181" TargetMode="External"/><Relationship Id="rId44" Type="http://schemas.openxmlformats.org/officeDocument/2006/relationships/image" Target="media/image3.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onsult.moretonbay.qld.gov.au/portal/mbrcplanningschemecommenced?pointId=s1332743658181" TargetMode="External"/><Relationship Id="rId14" Type="http://schemas.openxmlformats.org/officeDocument/2006/relationships/hyperlink" Target="http://consult.moretonbay.qld.gov.au/portal/mbrcplanningschemecommenced?pointId=s1414726382511" TargetMode="External"/><Relationship Id="rId22" Type="http://schemas.openxmlformats.org/officeDocument/2006/relationships/hyperlink" Target="http://consult.moretonbay.qld.gov.au/portal/mbrcplanningschemecommenced?pointId=s1414726382511" TargetMode="External"/><Relationship Id="rId27" Type="http://schemas.openxmlformats.org/officeDocument/2006/relationships/hyperlink" Target="http://consult.moretonbay.qld.gov.au/portal/mbrcplanningschemecommenced?pointId=s1414726382511" TargetMode="External"/><Relationship Id="rId30" Type="http://schemas.openxmlformats.org/officeDocument/2006/relationships/hyperlink" Target="http://consult.moretonbay.qld.gov.au/portal/mbrcplanningschemecommenced?pointId=s1332743658181" TargetMode="External"/><Relationship Id="rId35" Type="http://schemas.openxmlformats.org/officeDocument/2006/relationships/hyperlink" Target="http://consult.moretonbay.qld.gov.au/portal/mbrcplanningschemecommenced?pointId=s1414726382511" TargetMode="External"/><Relationship Id="rId43" Type="http://schemas.openxmlformats.org/officeDocument/2006/relationships/image" Target="media/image2.jpeg"/><Relationship Id="rId48" Type="http://schemas.openxmlformats.org/officeDocument/2006/relationships/image" Target="media/image7.jpeg"/><Relationship Id="rId8" Type="http://schemas.openxmlformats.org/officeDocument/2006/relationships/hyperlink" Target="http://consult.moretonbay.qld.gov.au/portal/mbrcplanningschemecommenced?pointId=s1332743658181" TargetMode="External"/><Relationship Id="rId5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33</Pages>
  <Words>6147</Words>
  <Characters>35041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41106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Overlay code flood hazard assessable</dc:title>
  <dc:subject/>
  <dc:creator>Moreton Bay Regional Council</dc:creator>
  <cp:keywords/>
  <dc:description/>
  <cp:lastModifiedBy>Janet Kirkwood</cp:lastModifiedBy>
  <cp:revision>11</cp:revision>
  <dcterms:created xsi:type="dcterms:W3CDTF">2016-07-25T06:18:00Z</dcterms:created>
  <dcterms:modified xsi:type="dcterms:W3CDTF">2019-11-18T02:14:00Z</dcterms:modified>
</cp:coreProperties>
</file>