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406D9C" w:rsidRPr="00406D9C" w:rsidTr="00406D9C">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406D9C" w:rsidRPr="00406D9C" w:rsidRDefault="00406D9C" w:rsidP="00406D9C">
            <w:pPr>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t>Table 9.4.1.3.2.2 Assessable development - Emerging community - Transition precinct</w:t>
            </w:r>
          </w:p>
        </w:tc>
      </w:tr>
    </w:tbl>
    <w:p w:rsidR="00406D9C" w:rsidRDefault="00406D9C"/>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53"/>
        <w:gridCol w:w="4933"/>
        <w:gridCol w:w="1708"/>
        <w:gridCol w:w="3979"/>
      </w:tblGrid>
      <w:tr w:rsidR="002B5857" w:rsidRPr="00406D9C" w:rsidTr="006B424B">
        <w:trPr>
          <w:tblCellSpacing w:w="15" w:type="dxa"/>
        </w:trPr>
        <w:tc>
          <w:tcPr>
            <w:tcW w:w="154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Performance outcomes</w:t>
            </w:r>
          </w:p>
        </w:tc>
        <w:tc>
          <w:tcPr>
            <w:tcW w:w="1595"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Examples that achieve aspects of the Performance Outcomes</w:t>
            </w: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AE02EE" w:rsidRPr="002A3213" w:rsidRDefault="00AE02EE" w:rsidP="00AE02EE">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AE02EE" w:rsidRPr="008B6E1B" w:rsidRDefault="00AE02EE" w:rsidP="00A60FFC">
            <w:pPr>
              <w:pStyle w:val="ListParagraph"/>
              <w:numPr>
                <w:ilvl w:val="0"/>
                <w:numId w:val="61"/>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AE02EE" w:rsidRPr="00AE02EE" w:rsidRDefault="00AE02EE" w:rsidP="00A60FFC">
            <w:pPr>
              <w:pStyle w:val="ListParagraph"/>
              <w:numPr>
                <w:ilvl w:val="0"/>
                <w:numId w:val="61"/>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406D9C" w:rsidRPr="00406D9C" w:rsidRDefault="00AE02EE" w:rsidP="00A60FFC">
            <w:pPr>
              <w:pStyle w:val="ListParagraph"/>
              <w:numPr>
                <w:ilvl w:val="0"/>
                <w:numId w:val="61"/>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AE02EE" w:rsidP="00406D9C">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6B424B" w:rsidRPr="00406D9C" w:rsidTr="006B424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B424B" w:rsidRPr="00406D9C" w:rsidRDefault="006B424B" w:rsidP="006B424B">
            <w:pPr>
              <w:spacing w:before="100" w:beforeAutospacing="1" w:after="100" w:afterAutospacing="1" w:line="240" w:lineRule="auto"/>
              <w:ind w:left="150" w:right="150"/>
              <w:rPr>
                <w:rFonts w:ascii="Arial" w:eastAsia="Times New Roman" w:hAnsi="Arial" w:cs="Arial"/>
                <w:b/>
                <w:bCs/>
                <w:sz w:val="20"/>
                <w:szCs w:val="20"/>
                <w:lang w:eastAsia="en-AU"/>
              </w:rPr>
            </w:pPr>
            <w:r w:rsidRPr="00406D9C">
              <w:rPr>
                <w:rFonts w:ascii="Arial" w:eastAsia="Times New Roman" w:hAnsi="Arial" w:cs="Arial"/>
                <w:b/>
                <w:bCs/>
                <w:sz w:val="20"/>
                <w:szCs w:val="20"/>
                <w:lang w:eastAsia="en-AU"/>
              </w:rPr>
              <w:t>Where on a developable lot or creating developable lots</w:t>
            </w:r>
          </w:p>
        </w:tc>
      </w:tr>
      <w:tr w:rsidR="00AE02EE" w:rsidRPr="00406D9C" w:rsidTr="006B424B">
        <w:trPr>
          <w:tblCellSpacing w:w="15" w:type="dxa"/>
        </w:trPr>
        <w:tc>
          <w:tcPr>
            <w:tcW w:w="314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Lot size and design</w:t>
            </w: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does not result in additional lots.</w:t>
            </w:r>
          </w:p>
        </w:tc>
        <w:tc>
          <w:tcPr>
            <w:tcW w:w="1595"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9" w:type="pct"/>
            <w:tcBorders>
              <w:top w:val="outset" w:sz="6" w:space="0" w:color="auto"/>
              <w:left w:val="outset" w:sz="6" w:space="0" w:color="auto"/>
              <w:bottom w:val="outset" w:sz="6" w:space="0" w:color="auto"/>
              <w:right w:val="outset" w:sz="6" w:space="0" w:color="auto"/>
            </w:tcBorders>
            <w:shd w:val="clear" w:color="auto" w:fill="FFFFFF"/>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FFFFFF"/>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2B5857" w:rsidRPr="00406D9C" w:rsidTr="006B424B">
        <w:trPr>
          <w:tblCellSpacing w:w="15" w:type="dxa"/>
        </w:trPr>
        <w:tc>
          <w:tcPr>
            <w:tcW w:w="1540"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Boundary realignment</w:t>
            </w:r>
          </w:p>
        </w:tc>
        <w:tc>
          <w:tcPr>
            <w:tcW w:w="1595"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r>
      <w:tr w:rsidR="002B5857" w:rsidRPr="00406D9C" w:rsidTr="006B424B">
        <w:trPr>
          <w:trHeight w:val="1216"/>
          <w:tblCellSpacing w:w="15" w:type="dxa"/>
        </w:trPr>
        <w:tc>
          <w:tcPr>
            <w:tcW w:w="1540"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Boundary realignments do not result in the:</w:t>
            </w:r>
          </w:p>
          <w:p w:rsidR="00406D9C" w:rsidRPr="00406D9C" w:rsidRDefault="00406D9C" w:rsidP="00406D9C">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fragmentation or alienation of the land or result in the loss of land for future urban purposes;</w:t>
            </w:r>
          </w:p>
          <w:p w:rsidR="00406D9C" w:rsidRPr="00406D9C" w:rsidRDefault="00406D9C" w:rsidP="00406D9C">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delay the use of the land for urban purposes;</w:t>
            </w:r>
          </w:p>
          <w:p w:rsidR="00406D9C" w:rsidRPr="00406D9C" w:rsidRDefault="00406D9C" w:rsidP="00406D9C">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existing land uses on-site becoming non-compliant due to:</w:t>
            </w:r>
          </w:p>
          <w:p w:rsidR="00406D9C" w:rsidRPr="00406D9C" w:rsidRDefault="00406D9C" w:rsidP="00406D9C">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size;</w:t>
            </w:r>
          </w:p>
          <w:p w:rsidR="00406D9C" w:rsidRPr="00406D9C" w:rsidRDefault="00406D9C" w:rsidP="00406D9C">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parking requirements;</w:t>
            </w:r>
          </w:p>
          <w:p w:rsidR="00406D9C" w:rsidRPr="00406D9C" w:rsidRDefault="00406D9C" w:rsidP="00406D9C">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servicing;</w:t>
            </w:r>
          </w:p>
          <w:p w:rsidR="00406D9C" w:rsidRPr="00406D9C" w:rsidRDefault="00406D9C" w:rsidP="00406D9C">
            <w:pPr>
              <w:numPr>
                <w:ilvl w:val="1"/>
                <w:numId w:val="1"/>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dependant</w:t>
            </w:r>
            <w:proofErr w:type="gramEnd"/>
            <w:r w:rsidRPr="00406D9C">
              <w:rPr>
                <w:rFonts w:ascii="Arial" w:eastAsia="Times New Roman" w:hAnsi="Arial" w:cs="Arial"/>
                <w:sz w:val="20"/>
                <w:szCs w:val="20"/>
                <w:lang w:eastAsia="en-AU"/>
              </w:rPr>
              <w:t xml:space="preserve"> elements of an existing or approved land use being separately titled.</w:t>
            </w:r>
          </w:p>
          <w:tbl>
            <w:tblPr>
              <w:tblW w:w="45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87"/>
            </w:tblGrid>
            <w:tr w:rsidR="00406D9C" w:rsidRPr="00406D9C" w:rsidTr="006B424B">
              <w:trPr>
                <w:tblCellSpacing w:w="15" w:type="dxa"/>
              </w:trPr>
              <w:tc>
                <w:tcPr>
                  <w:tcW w:w="4527"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Examples may include but are not limited to:</w:t>
                  </w:r>
                </w:p>
                <w:p w:rsidR="00406D9C" w:rsidRPr="00406D9C" w:rsidRDefault="00406D9C" w:rsidP="00406D9C">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a Dwelling house</w:t>
                  </w:r>
                  <w:r w:rsidRPr="00406D9C">
                    <w:rPr>
                      <w:rFonts w:ascii="Arial" w:eastAsia="Times New Roman" w:hAnsi="Arial" w:cs="Arial"/>
                      <w:sz w:val="20"/>
                      <w:szCs w:val="20"/>
                      <w:vertAlign w:val="superscript"/>
                      <w:lang w:eastAsia="en-AU"/>
                    </w:rPr>
                    <w:t>(</w:t>
                  </w:r>
                  <w:hyperlink r:id="rId7"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includes a secondary dwelling or associated </w:t>
                  </w:r>
                  <w:r w:rsidRPr="00406D9C">
                    <w:rPr>
                      <w:rFonts w:ascii="Arial" w:eastAsia="Times New Roman" w:hAnsi="Arial" w:cs="Arial"/>
                      <w:sz w:val="20"/>
                      <w:szCs w:val="20"/>
                      <w:lang w:eastAsia="en-AU"/>
                    </w:rPr>
                    <w:lastRenderedPageBreak/>
                    <w:t>outbuildings, they cannot be separately titled as they are dependent on the Dwelling house</w:t>
                  </w:r>
                  <w:r w:rsidRPr="00406D9C">
                    <w:rPr>
                      <w:rFonts w:ascii="Arial" w:eastAsia="Times New Roman" w:hAnsi="Arial" w:cs="Arial"/>
                      <w:sz w:val="20"/>
                      <w:szCs w:val="20"/>
                      <w:vertAlign w:val="superscript"/>
                      <w:lang w:eastAsia="en-AU"/>
                    </w:rPr>
                    <w:t>(</w:t>
                  </w:r>
                  <w:hyperlink r:id="rId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use.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w:t>
            </w:r>
            <w:bookmarkStart w:id="0" w:name="_GoBack"/>
            <w:bookmarkEnd w:id="0"/>
            <w:r w:rsidRPr="00406D9C">
              <w:rPr>
                <w:rFonts w:ascii="Arial" w:eastAsia="Times New Roman" w:hAnsi="Arial" w:cs="Arial"/>
                <w:sz w:val="20"/>
                <w:szCs w:val="20"/>
                <w:lang w:eastAsia="en-AU"/>
              </w:rPr>
              <w:t>ed.</w:t>
            </w:r>
          </w:p>
        </w:tc>
        <w:tc>
          <w:tcPr>
            <w:tcW w:w="549" w:type="pct"/>
            <w:tcBorders>
              <w:top w:val="outset" w:sz="6" w:space="0" w:color="auto"/>
              <w:left w:val="outset" w:sz="6" w:space="0" w:color="auto"/>
              <w:bottom w:val="outset" w:sz="6" w:space="0" w:color="auto"/>
              <w:right w:val="outset" w:sz="6" w:space="0" w:color="auto"/>
            </w:tcBorders>
            <w:shd w:val="clear" w:color="auto" w:fill="FFFFFF"/>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FFFFFF"/>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B424B" w:rsidRPr="00406D9C" w:rsidRDefault="006B424B" w:rsidP="00406D9C">
            <w:pPr>
              <w:spacing w:before="100" w:beforeAutospacing="1" w:after="100" w:afterAutospacing="1" w:line="240" w:lineRule="auto"/>
              <w:ind w:left="150" w:right="150"/>
              <w:rPr>
                <w:rFonts w:ascii="Arial" w:eastAsia="Times New Roman" w:hAnsi="Arial" w:cs="Arial"/>
                <w:b/>
                <w:bCs/>
                <w:sz w:val="20"/>
                <w:szCs w:val="20"/>
                <w:lang w:eastAsia="en-AU"/>
              </w:rPr>
            </w:pPr>
            <w:r w:rsidRPr="00406D9C">
              <w:rPr>
                <w:rFonts w:ascii="Arial" w:eastAsia="Times New Roman" w:hAnsi="Arial" w:cs="Arial"/>
                <w:b/>
                <w:bCs/>
                <w:sz w:val="20"/>
                <w:szCs w:val="20"/>
                <w:lang w:eastAsia="en-AU"/>
              </w:rPr>
              <w:lastRenderedPageBreak/>
              <w:t>Where on a developed lot or creating developed lots</w:t>
            </w:r>
          </w:p>
        </w:tc>
      </w:tr>
      <w:tr w:rsidR="00AE02EE" w:rsidRPr="00406D9C" w:rsidTr="006B424B">
        <w:trPr>
          <w:tblCellSpacing w:w="15" w:type="dxa"/>
        </w:trPr>
        <w:tc>
          <w:tcPr>
            <w:tcW w:w="31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Site density</w:t>
            </w: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of a lot:</w:t>
            </w:r>
          </w:p>
          <w:p w:rsidR="00406D9C" w:rsidRPr="00406D9C" w:rsidRDefault="00406D9C" w:rsidP="00406D9C">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land within the Morayfield South urban area identified on </w:t>
            </w:r>
            <w:hyperlink r:id="rId9" w:anchor="ID-364412-657812" w:history="1">
              <w:r w:rsidRPr="00406D9C">
                <w:rPr>
                  <w:rFonts w:ascii="Arial" w:eastAsia="Times New Roman" w:hAnsi="Arial" w:cs="Arial"/>
                  <w:color w:val="0000FF"/>
                  <w:sz w:val="20"/>
                  <w:szCs w:val="20"/>
                  <w:lang w:eastAsia="en-AU"/>
                </w:rPr>
                <w:t>‘Figure 9.4.1.3.2.1 Morayfield South urban area’</w:t>
              </w:r>
            </w:hyperlink>
            <w:r w:rsidRPr="00406D9C">
              <w:rPr>
                <w:rFonts w:ascii="Arial" w:eastAsia="Times New Roman" w:hAnsi="Arial" w:cs="Arial"/>
                <w:sz w:val="20"/>
                <w:szCs w:val="20"/>
                <w:lang w:eastAsia="en-AU"/>
              </w:rPr>
              <w:t xml:space="preserve">, development does not compromise future developments ability to achieve a minimum residential density of 45 dwellings per hectare to ensure efficient use of the land and infrastructure which facilitates feasible public transport patronage and creates a diverse medium density neighbourhood character; or </w:t>
            </w:r>
          </w:p>
          <w:p w:rsidR="00406D9C" w:rsidRPr="00406D9C" w:rsidRDefault="00406D9C" w:rsidP="00406D9C">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for</w:t>
            </w:r>
            <w:proofErr w:type="gramEnd"/>
            <w:r w:rsidRPr="00406D9C">
              <w:rPr>
                <w:rFonts w:ascii="Arial" w:eastAsia="Times New Roman" w:hAnsi="Arial" w:cs="Arial"/>
                <w:sz w:val="20"/>
                <w:szCs w:val="20"/>
                <w:lang w:eastAsia="en-AU"/>
              </w:rPr>
              <w:t xml:space="preserve"> all other land, development achieves a minimum net residential density of 11 lots per hectare, whilst not exceeding 25 lots per hectare, maintaining a diverse medium density neighbourhood character. </w:t>
            </w: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6B424B">
        <w:trPr>
          <w:tblCellSpacing w:w="15" w:type="dxa"/>
        </w:trPr>
        <w:tc>
          <w:tcPr>
            <w:tcW w:w="31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Lot design, mix and location</w:t>
            </w: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have an area, shape and dimension sufficient to ensure they can accommodate:</w:t>
            </w:r>
          </w:p>
          <w:p w:rsidR="00406D9C" w:rsidRPr="00406D9C" w:rsidRDefault="00406D9C" w:rsidP="00406D9C">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Dwelling house including all domestic outbuildings and possible on site servicing requirements (e.g. on-site waste disposal);</w:t>
            </w:r>
          </w:p>
          <w:p w:rsidR="00406D9C" w:rsidRPr="00406D9C" w:rsidRDefault="00406D9C" w:rsidP="00406D9C">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areas for car parking, vehicular access and manoeuvring;</w:t>
            </w:r>
          </w:p>
          <w:p w:rsidR="00406D9C" w:rsidRPr="00406D9C" w:rsidRDefault="00406D9C" w:rsidP="00406D9C">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lastRenderedPageBreak/>
              <w:t>areas</w:t>
            </w:r>
            <w:proofErr w:type="gramEnd"/>
            <w:r w:rsidRPr="00406D9C">
              <w:rPr>
                <w:rFonts w:ascii="Arial" w:eastAsia="Times New Roman" w:hAnsi="Arial" w:cs="Arial"/>
                <w:sz w:val="20"/>
                <w:szCs w:val="20"/>
                <w:lang w:eastAsia="en-AU"/>
              </w:rPr>
              <w:t xml:space="preserve"> for useable and practical private open space.</w:t>
            </w: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E4.1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land within the Morayfield South urban area identified on </w:t>
            </w:r>
            <w:hyperlink r:id="rId10" w:anchor="ID-364412-657812" w:history="1">
              <w:r w:rsidRPr="00406D9C">
                <w:rPr>
                  <w:rFonts w:ascii="Arial" w:eastAsia="Times New Roman" w:hAnsi="Arial" w:cs="Arial"/>
                  <w:color w:val="0000FF"/>
                  <w:sz w:val="20"/>
                  <w:szCs w:val="20"/>
                  <w:lang w:eastAsia="en-AU"/>
                </w:rPr>
                <w:t>‘Figure 9.4.1.3.2.1 Morayfield South urban area’</w:t>
              </w:r>
            </w:hyperlink>
            <w:r w:rsidRPr="00406D9C">
              <w:rPr>
                <w:rFonts w:ascii="Arial" w:eastAsia="Times New Roman" w:hAnsi="Arial" w:cs="Arial"/>
                <w:sz w:val="20"/>
                <w:szCs w:val="20"/>
                <w:lang w:eastAsia="en-AU"/>
              </w:rPr>
              <w:t xml:space="preserve">, lot sizes comply with Lot Types A, B or F in accordance with Table 9.4.1.6.4.3: Lot Types.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E4.2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all other areas, lot sizes and dimensions (excluding any access handles) comply with Lot </w:t>
            </w:r>
            <w:r w:rsidRPr="00406D9C">
              <w:rPr>
                <w:rFonts w:ascii="Arial" w:eastAsia="Times New Roman" w:hAnsi="Arial" w:cs="Arial"/>
                <w:sz w:val="20"/>
                <w:szCs w:val="20"/>
                <w:lang w:eastAsia="en-AU"/>
              </w:rPr>
              <w:lastRenderedPageBreak/>
              <w:t xml:space="preserve">Types A, B, C, D, E or F in accordance with </w:t>
            </w:r>
            <w:hyperlink r:id="rId11"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Lot Types.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3"/>
            </w:tblGrid>
            <w:tr w:rsidR="00406D9C" w:rsidRPr="00406D9C" w:rsidTr="00AE02EE">
              <w:trPr>
                <w:tblCellSpacing w:w="15" w:type="dxa"/>
              </w:trPr>
              <w:tc>
                <w:tcPr>
                  <w:tcW w:w="6101"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For the purpose of rear lots, frontage is the average width of the lot (excluding any access handle or easement)</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rHeight w:val="2700"/>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Reconfiguring a lot provides for a variety of housing options, by way of a mix of lot sizes and dimensions consistent with the density and character of the precinct, whilst facilitating delivery of diversity within the streetscape. </w:t>
            </w: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E5.1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land within the Morayfield South urban area identified on </w:t>
            </w:r>
            <w:hyperlink r:id="rId12" w:anchor="ID-364412-657812" w:history="1">
              <w:r w:rsidRPr="00406D9C">
                <w:rPr>
                  <w:rFonts w:ascii="Arial" w:eastAsia="Times New Roman" w:hAnsi="Arial" w:cs="Arial"/>
                  <w:color w:val="0000FF"/>
                  <w:sz w:val="20"/>
                  <w:szCs w:val="20"/>
                  <w:lang w:eastAsia="en-AU"/>
                </w:rPr>
                <w:t>‘Figure 9.4.1.3.2.1 Morayfield South urban area’</w:t>
              </w:r>
            </w:hyperlink>
            <w:r w:rsidRPr="00406D9C">
              <w:rPr>
                <w:rFonts w:ascii="Arial" w:eastAsia="Times New Roman" w:hAnsi="Arial" w:cs="Arial"/>
                <w:sz w:val="20"/>
                <w:szCs w:val="20"/>
                <w:lang w:eastAsia="en-AU"/>
              </w:rPr>
              <w:t xml:space="preserve">, lot sizes comply with Lot Types A or E in accordance with </w:t>
            </w:r>
            <w:hyperlink r:id="rId13"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 Lot Types.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3"/>
            </w:tblGrid>
            <w:tr w:rsidR="00406D9C" w:rsidRPr="00406D9C" w:rsidTr="00AE02EE">
              <w:trPr>
                <w:tblCellSpacing w:w="15" w:type="dxa"/>
              </w:trPr>
              <w:tc>
                <w:tcPr>
                  <w:tcW w:w="6101"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E5.2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reconfiguring a lot which creates in excess of 5 new lots, a mix of lot types in accordance with </w:t>
            </w:r>
            <w:hyperlink r:id="rId14"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are to be incorporated into the development as follows: </w:t>
            </w:r>
          </w:p>
          <w:p w:rsidR="00406D9C" w:rsidRPr="00406D9C" w:rsidRDefault="00406D9C" w:rsidP="00406D9C">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5 - 10 lots - 2 lot types</w:t>
            </w:r>
          </w:p>
          <w:p w:rsidR="00406D9C" w:rsidRPr="00406D9C" w:rsidRDefault="00406D9C" w:rsidP="00406D9C">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11 - 20 lots - 3 lot types</w:t>
            </w:r>
          </w:p>
          <w:p w:rsidR="00406D9C" w:rsidRPr="00406D9C" w:rsidRDefault="00406D9C" w:rsidP="00406D9C">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21 - 50 lots - 4 lot types (must include lot type A)</w:t>
            </w:r>
          </w:p>
          <w:p w:rsidR="00406D9C" w:rsidRPr="00406D9C" w:rsidRDefault="00406D9C" w:rsidP="00406D9C">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3"/>
            </w:tblGrid>
            <w:tr w:rsidR="00406D9C" w:rsidRPr="00406D9C" w:rsidTr="00AE02EE">
              <w:trPr>
                <w:tblCellSpacing w:w="15" w:type="dxa"/>
              </w:trPr>
              <w:tc>
                <w:tcPr>
                  <w:tcW w:w="6101"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t>
                  </w:r>
                  <w:r w:rsidRPr="00406D9C">
                    <w:rPr>
                      <w:rFonts w:ascii="Arial" w:eastAsia="Times New Roman" w:hAnsi="Arial" w:cs="Arial"/>
                      <w:sz w:val="20"/>
                      <w:szCs w:val="20"/>
                      <w:lang w:eastAsia="en-AU"/>
                    </w:rPr>
                    <w:lastRenderedPageBreak/>
                    <w:t xml:space="preserve">within 600mm of a boundary.  For boundaries with built to boundary walls on adjacent lots a 'High Density Development Easement' is recommended; or for all other built to boundary walls and 'easement for maintenance purposes' is recommended.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E5.3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reconfiguring a lot which creates in excess of 20 new lots, the following minimum percentages of lot types in accordance with </w:t>
            </w:r>
            <w:hyperlink r:id="rId15"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apply: </w:t>
            </w:r>
          </w:p>
          <w:p w:rsidR="00406D9C" w:rsidRPr="00406D9C" w:rsidRDefault="00406D9C" w:rsidP="00406D9C">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Type A - 10% of new lots and Lot Type F - 5% of new lots; or</w:t>
            </w:r>
          </w:p>
          <w:p w:rsidR="00406D9C" w:rsidRPr="00406D9C" w:rsidRDefault="00406D9C" w:rsidP="00406D9C">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Type A - 15% of new lots and Lot Type F - 2% of new lots; or</w:t>
            </w:r>
          </w:p>
          <w:p w:rsidR="00406D9C" w:rsidRPr="00406D9C" w:rsidRDefault="00406D9C" w:rsidP="00406D9C">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73"/>
            </w:tblGrid>
            <w:tr w:rsidR="00406D9C" w:rsidRPr="00406D9C" w:rsidTr="00AE02EE">
              <w:trPr>
                <w:tblCellSpacing w:w="15" w:type="dxa"/>
              </w:trPr>
              <w:tc>
                <w:tcPr>
                  <w:tcW w:w="6101"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A range of different lots are distributed throughout the development with no one lot type concentrated within a single location, to create diversity within the streetscape and minimise </w:t>
            </w:r>
            <w:r w:rsidRPr="00406D9C">
              <w:rPr>
                <w:rFonts w:ascii="Arial" w:eastAsia="Times New Roman" w:hAnsi="Arial" w:cs="Arial"/>
                <w:sz w:val="20"/>
                <w:szCs w:val="20"/>
                <w:lang w:eastAsia="en-AU"/>
              </w:rPr>
              <w:lastRenderedPageBreak/>
              <w:t xml:space="preserve">conflicts between vehicle access and on street parking.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Built to boundary walls and driveway locations for lots with frontages of 12.5 metres or less are to be shown on a plan of development in accordance with the requirements of section 9.3.1 - Dwelling house code.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E6</w:t>
            </w:r>
            <w:r w:rsidRPr="00406D9C">
              <w:rPr>
                <w:rFonts w:ascii="Arial" w:eastAsia="Times New Roman" w:hAnsi="Arial" w:cs="Arial"/>
                <w:sz w:val="20"/>
                <w:szCs w:val="20"/>
                <w:lang w:eastAsia="en-AU"/>
              </w:rPr>
              <w:t xml:space="preserve"> </w:t>
            </w:r>
            <w:r w:rsidRPr="00406D9C">
              <w:rPr>
                <w:rFonts w:ascii="Arial" w:eastAsia="Times New Roman" w:hAnsi="Arial" w:cs="Arial"/>
                <w:b/>
                <w:bCs/>
                <w:sz w:val="20"/>
                <w:szCs w:val="20"/>
                <w:lang w:eastAsia="en-AU"/>
              </w:rPr>
              <w:t>.1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not accessed via a laneway, a maximum of 4 adjoining lots of the same type in accordance with </w:t>
            </w:r>
            <w:hyperlink r:id="rId16"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are proposed where fronting the same street.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rHeight w:val="1830"/>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E6.2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accessed via a laneway, a maximum of 8 adjoining lots of the same type in accordance with </w:t>
            </w:r>
            <w:hyperlink r:id="rId17"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are proposed where fronting the same street.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Lots that facilitate medium to high density residential uses (freehold or community titles) are located in proximity to recreational opportunities, commercial and community facilities and public transport nodes. </w:t>
            </w: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with frontages of 7.5 metres or less are located within 200 metres of:</w:t>
            </w:r>
          </w:p>
          <w:p w:rsidR="00406D9C" w:rsidRPr="00406D9C" w:rsidRDefault="00406D9C" w:rsidP="00406D9C">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park; or</w:t>
            </w:r>
          </w:p>
          <w:p w:rsidR="00406D9C" w:rsidRPr="00406D9C" w:rsidRDefault="00406D9C" w:rsidP="00406D9C">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public transport stop or station; or</w:t>
            </w:r>
          </w:p>
          <w:p w:rsidR="00406D9C" w:rsidRPr="00406D9C" w:rsidRDefault="00406D9C" w:rsidP="00406D9C">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w:t>
            </w:r>
            <w:proofErr w:type="gramEnd"/>
            <w:r w:rsidRPr="00406D9C">
              <w:rPr>
                <w:rFonts w:ascii="Arial" w:eastAsia="Times New Roman" w:hAnsi="Arial" w:cs="Arial"/>
                <w:sz w:val="20"/>
                <w:szCs w:val="20"/>
                <w:lang w:eastAsia="en-AU"/>
              </w:rPr>
              <w:t xml:space="preserve"> higher order centre, district centre, local centre or neighbourhood hub (refer Overlay map - Community activities and neighbourhood hubs).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Lots with frontages of 32 metres or greater are predominately located on corner lots or lots with dual road frontages, and within 200 metres of: </w:t>
            </w:r>
          </w:p>
          <w:p w:rsidR="00406D9C" w:rsidRPr="00406D9C" w:rsidRDefault="00406D9C" w:rsidP="00406D9C">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park; or</w:t>
            </w:r>
          </w:p>
          <w:p w:rsidR="00406D9C" w:rsidRPr="00406D9C" w:rsidRDefault="00406D9C" w:rsidP="00406D9C">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public transport stop or station; or</w:t>
            </w:r>
          </w:p>
          <w:p w:rsidR="00406D9C" w:rsidRPr="00406D9C" w:rsidRDefault="00406D9C" w:rsidP="00406D9C">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w:t>
            </w:r>
            <w:proofErr w:type="gramEnd"/>
            <w:r w:rsidRPr="00406D9C">
              <w:rPr>
                <w:rFonts w:ascii="Arial" w:eastAsia="Times New Roman" w:hAnsi="Arial" w:cs="Arial"/>
                <w:sz w:val="20"/>
                <w:szCs w:val="20"/>
                <w:lang w:eastAsia="en-AU"/>
              </w:rPr>
              <w:t xml:space="preserve"> higher order centre, district centre, local centre or neighbourhood hub (refer Overlay map - Community activities and neighbourhood hubs).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rHeight w:val="2850"/>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Narrow lots do not adversely affect the character and amenity of the precinct and ensure that residential uses establish in a manner which facilitates an integrated streetscape, maximises the efficient use of land and achieves a safe and efficient street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Built to boundary walls and driveway locations for lots with frontages of 12.5 metres or less are to be shown on a plan of development in accordance with the requirements of section 9.3.1 - Dwelling house code.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2B5857" w:rsidRPr="00406D9C" w:rsidTr="006B424B">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Group construction and integrated streetscape solutions are encouraged through the location and grouping of lots suitable for terrace and row housing. </w:t>
            </w: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E9</w:t>
            </w:r>
            <w:r w:rsidRPr="00406D9C">
              <w:rPr>
                <w:rFonts w:ascii="Arial" w:eastAsia="Times New Roman" w:hAnsi="Arial" w:cs="Arial"/>
                <w:sz w:val="20"/>
                <w:szCs w:val="20"/>
                <w:lang w:eastAsia="en-AU"/>
              </w:rPr>
              <w:t xml:space="preserve"> </w:t>
            </w:r>
            <w:r w:rsidRPr="00406D9C">
              <w:rPr>
                <w:rFonts w:ascii="Arial" w:eastAsia="Times New Roman" w:hAnsi="Arial" w:cs="Arial"/>
                <w:b/>
                <w:bCs/>
                <w:sz w:val="20"/>
                <w:szCs w:val="20"/>
                <w:lang w:eastAsia="en-AU"/>
              </w:rPr>
              <w:t>.1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Any lot sharing a boundary with a Lot Type A must contain a mandatory built to boundary wall on the shared boundary.</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rHeight w:val="1755"/>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E9.2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Driveway crossovers for lots with frontages of less than 10m are paired up to facilitate on-street parking.</w:t>
            </w:r>
          </w:p>
          <w:tbl>
            <w:tblPr>
              <w:tblW w:w="481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13"/>
            </w:tblGrid>
            <w:tr w:rsidR="00406D9C" w:rsidRPr="00406D9C" w:rsidTr="006B424B">
              <w:trPr>
                <w:tblCellSpacing w:w="15" w:type="dxa"/>
              </w:trPr>
              <w:tc>
                <w:tcPr>
                  <w:tcW w:w="4753" w:type="dxa"/>
                  <w:vAlign w:val="center"/>
                  <w:hideMark/>
                </w:tcPr>
                <w:p w:rsidR="00406D9C" w:rsidRPr="00406D9C" w:rsidRDefault="00406D9C" w:rsidP="00AE02EE">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Driveway locations for lots with frontages of 8.5 metres or less are to be shown on a plan of development in accordance with Planning Scheme Policy - Residential Design.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6B424B">
        <w:trPr>
          <w:tblCellSpacing w:w="15" w:type="dxa"/>
        </w:trPr>
        <w:tc>
          <w:tcPr>
            <w:tcW w:w="31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Sloping land</w:t>
            </w:r>
          </w:p>
        </w:tc>
        <w:tc>
          <w:tcPr>
            <w:tcW w:w="549"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Lot layout and design avoids the impacts of cutting, filling and retaining walls on the visual and physical amenity of the streetscape, each lot created and of adjoining lots ensuring, but not limited to, the following: </w:t>
            </w:r>
          </w:p>
          <w:p w:rsidR="00406D9C" w:rsidRPr="00406D9C" w:rsidRDefault="00406D9C" w:rsidP="00406D9C">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The likely location of private open space associated with a Dwelling House on each lot will not be dominated by, or encroached into by built form outcomes such as walls or fences; </w:t>
            </w:r>
          </w:p>
          <w:p w:rsidR="00406D9C" w:rsidRPr="00406D9C" w:rsidRDefault="00406D9C" w:rsidP="00406D9C">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Walls and/or fences are kept to a human scale and do not represent barriers to local environmental outcomes and conditions such as good solar access and access to prevailing breezes; and </w:t>
            </w:r>
          </w:p>
          <w:p w:rsidR="00406D9C" w:rsidRPr="00406D9C" w:rsidRDefault="00406D9C" w:rsidP="00406D9C">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The potential for overlooking from public land into private lots is avoided wherever possible; and</w:t>
            </w:r>
          </w:p>
          <w:p w:rsidR="00406D9C" w:rsidRPr="00406D9C" w:rsidRDefault="00406D9C" w:rsidP="00406D9C">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Lot design is integrated with the opportunities available for Dwelling House design to reduce impacts.</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406D9C" w:rsidRPr="00406D9C" w:rsidTr="006B424B">
              <w:trPr>
                <w:tblCellSpacing w:w="15" w:type="dxa"/>
              </w:trPr>
              <w:tc>
                <w:tcPr>
                  <w:tcW w:w="4415"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Residential design for guidelines on building design on sloped land.</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E10.1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Lot layout and design ensures that a lot has a maximum average slope of 1:15 along its long axis and 1:10 along its short axis. </w:t>
            </w: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6B424B">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9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E10.2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Retaining walls and benching and associated cutting, filling and other earthworks associated with reconfiguring a lot are limited to: </w:t>
            </w:r>
          </w:p>
          <w:p w:rsidR="00406D9C" w:rsidRPr="00406D9C" w:rsidRDefault="00406D9C" w:rsidP="00406D9C">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maximum vertical dimension of 1.5m from natural ground for any single retaining structure; or</w:t>
            </w:r>
          </w:p>
          <w:p w:rsidR="00406D9C" w:rsidRPr="00406D9C" w:rsidRDefault="00406D9C" w:rsidP="00406D9C">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incorporating a retaining structure greater than 1.5m in height, the retaining wall is stepped, terraced and landscaped as follows: </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maximum 1m vertical, minimum 0.5m horizontal, maximum 2m vertical (refer figure below);</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Maximum overall structure height of 3m; or</w:t>
            </w:r>
          </w:p>
          <w:p w:rsidR="00406D9C" w:rsidRPr="00406D9C" w:rsidRDefault="00406D9C" w:rsidP="00406D9C">
            <w:p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14:anchorId="101A9477" wp14:editId="66BE4968">
                  <wp:extent cx="2695575" cy="2428875"/>
                  <wp:effectExtent l="0" t="0" r="9525" b="9525"/>
                  <wp:docPr id="10" name="Picture 10" descr="Maximum Retaining Height -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imum Retaining Height - Terr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2428875"/>
                          </a:xfrm>
                          <a:prstGeom prst="rect">
                            <a:avLst/>
                          </a:prstGeom>
                          <a:noFill/>
                          <a:ln>
                            <a:noFill/>
                          </a:ln>
                        </pic:spPr>
                      </pic:pic>
                    </a:graphicData>
                  </a:graphic>
                </wp:inline>
              </w:drawing>
            </w:r>
          </w:p>
          <w:p w:rsidR="00406D9C" w:rsidRPr="00406D9C" w:rsidRDefault="00406D9C" w:rsidP="00406D9C">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incorporating benching along the short axis (from side to side boundary) of a lot:</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difference between levels at each boundary is no greater than 4m per lot;</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each bench has a maximum height of 2m (refer Figure below); or</w:t>
            </w:r>
          </w:p>
          <w:p w:rsidR="00406D9C" w:rsidRPr="00406D9C" w:rsidRDefault="00406D9C" w:rsidP="00406D9C">
            <w:p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noProof/>
                <w:sz w:val="20"/>
                <w:szCs w:val="20"/>
                <w:lang w:eastAsia="en-AU"/>
              </w:rPr>
              <w:lastRenderedPageBreak/>
              <w:drawing>
                <wp:inline distT="0" distB="0" distL="0" distR="0" wp14:anchorId="2D13131E" wp14:editId="4FD134CC">
                  <wp:extent cx="2695575" cy="1019175"/>
                  <wp:effectExtent l="0" t="0" r="9525" b="9525"/>
                  <wp:docPr id="9" name="Picture 9" descr="RAL - Benching Short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 - Benching Short Ax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1019175"/>
                          </a:xfrm>
                          <a:prstGeom prst="rect">
                            <a:avLst/>
                          </a:prstGeom>
                          <a:noFill/>
                          <a:ln>
                            <a:noFill/>
                          </a:ln>
                        </pic:spPr>
                      </pic:pic>
                    </a:graphicData>
                  </a:graphic>
                </wp:inline>
              </w:drawing>
            </w:r>
          </w:p>
          <w:p w:rsidR="00406D9C" w:rsidRPr="00406D9C" w:rsidRDefault="00406D9C" w:rsidP="00406D9C">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incorporating benching along the long axis (from front to rear boundary):</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each bench has a maximum height of 2m;</w:t>
            </w:r>
          </w:p>
          <w:p w:rsidR="00406D9C" w:rsidRPr="00406D9C" w:rsidRDefault="00406D9C" w:rsidP="00406D9C">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lots</w:t>
            </w:r>
            <w:proofErr w:type="gramEnd"/>
            <w:r w:rsidRPr="00406D9C">
              <w:rPr>
                <w:rFonts w:ascii="Arial" w:eastAsia="Times New Roman" w:hAnsi="Arial" w:cs="Arial"/>
                <w:sz w:val="20"/>
                <w:szCs w:val="20"/>
                <w:lang w:eastAsia="en-AU"/>
              </w:rPr>
              <w:t xml:space="preserve"> orientate up/down the slope (refer Figure below).</w:t>
            </w:r>
          </w:p>
          <w:p w:rsidR="00406D9C" w:rsidRPr="00406D9C" w:rsidRDefault="00406D9C" w:rsidP="00406D9C">
            <w:pPr>
              <w:spacing w:before="100" w:beforeAutospacing="1" w:after="100" w:afterAutospacing="1" w:line="240" w:lineRule="auto"/>
              <w:ind w:left="450"/>
              <w:rPr>
                <w:rFonts w:ascii="Arial" w:eastAsia="Times New Roman" w:hAnsi="Arial" w:cs="Arial"/>
                <w:sz w:val="20"/>
                <w:szCs w:val="20"/>
                <w:lang w:eastAsia="en-AU"/>
              </w:rPr>
            </w:pPr>
          </w:p>
          <w:p w:rsidR="00406D9C" w:rsidRPr="00406D9C" w:rsidRDefault="00406D9C" w:rsidP="00406D9C">
            <w:p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14:anchorId="27E35A37" wp14:editId="5808BD3B">
                  <wp:extent cx="2695575" cy="1019175"/>
                  <wp:effectExtent l="0" t="0" r="9525" b="9525"/>
                  <wp:docPr id="8" name="Picture 8" descr="RAL - Benching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 - Benching Long Ax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019175"/>
                          </a:xfrm>
                          <a:prstGeom prst="rect">
                            <a:avLst/>
                          </a:prstGeom>
                          <a:noFill/>
                          <a:ln>
                            <a:noFill/>
                          </a:ln>
                        </pic:spPr>
                      </pic:pic>
                    </a:graphicData>
                  </a:graphic>
                </wp:inline>
              </w:drawing>
            </w:r>
          </w:p>
          <w:tbl>
            <w:tblPr>
              <w:tblW w:w="46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2"/>
            </w:tblGrid>
            <w:tr w:rsidR="00406D9C" w:rsidRPr="00406D9C" w:rsidTr="006B424B">
              <w:trPr>
                <w:tblCellSpacing w:w="15" w:type="dxa"/>
              </w:trPr>
              <w:tc>
                <w:tcPr>
                  <w:tcW w:w="4612"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Benching is to incorporate suitable measures to ensure stabilisation and prevent erosion.</w:t>
                  </w:r>
                </w:p>
              </w:tc>
            </w:tr>
            <w:tr w:rsidR="00406D9C" w:rsidRPr="00406D9C" w:rsidTr="006B424B">
              <w:trPr>
                <w:tblCellSpacing w:w="15" w:type="dxa"/>
              </w:trPr>
              <w:tc>
                <w:tcPr>
                  <w:tcW w:w="4612"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Strict cut and fill requirements apply at the Dwelling house stage.  Deferral of slope solutions until building stage is not an acceptable outcome.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9"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67"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B424B" w:rsidRDefault="006B424B"/>
    <w:p w:rsidR="006B424B" w:rsidRDefault="006B424B">
      <w:r>
        <w:br w:type="page"/>
      </w:r>
    </w:p>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908"/>
        <w:gridCol w:w="4741"/>
        <w:gridCol w:w="1687"/>
        <w:gridCol w:w="4037"/>
      </w:tblGrid>
      <w:tr w:rsidR="00AE02EE" w:rsidRPr="00406D9C" w:rsidTr="006B424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Figure - Sloped lot design</w:t>
            </w:r>
            <w:r w:rsidRPr="00406D9C">
              <w:rPr>
                <w:rFonts w:ascii="Arial" w:eastAsia="Times New Roman" w:hAnsi="Arial" w:cs="Arial"/>
                <w:sz w:val="20"/>
                <w:szCs w:val="20"/>
                <w:lang w:eastAsia="en-AU"/>
              </w:rPr>
              <w:t xml:space="preserve"> </w:t>
            </w:r>
            <w:hyperlink r:id="rId21"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14:anchorId="1B403156" wp14:editId="08B1721C">
                  <wp:extent cx="3581400" cy="2779217"/>
                  <wp:effectExtent l="0" t="0" r="0" b="2540"/>
                  <wp:docPr id="7" name="Picture 7" descr="Ventilatio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ntilation wal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3105" cy="2780540"/>
                          </a:xfrm>
                          <a:prstGeom prst="rect">
                            <a:avLst/>
                          </a:prstGeom>
                          <a:noFill/>
                          <a:ln>
                            <a:noFill/>
                          </a:ln>
                        </pic:spPr>
                      </pic:pic>
                    </a:graphicData>
                  </a:graphic>
                </wp:inline>
              </w:drawing>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rPr>
                <w:rFonts w:ascii="Arial" w:eastAsia="Times New Roman" w:hAnsi="Arial" w:cs="Arial"/>
                <w:b/>
                <w:bCs/>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of a sufficient grade to accommodate effective stormwater drainage to a lawful point of discharge.</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E11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surface level of a lot is at a minimum grade of 1:100 and slopes towards the street frontage, or other lawful point of discharge. </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6B424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Rear lots</w:t>
            </w:r>
          </w:p>
        </w:tc>
        <w:tc>
          <w:tcPr>
            <w:tcW w:w="540"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Rear lots do not establish in the Morayfie</w:t>
            </w:r>
            <w:r w:rsidR="00B6378B">
              <w:rPr>
                <w:rFonts w:ascii="Arial" w:eastAsia="Times New Roman" w:hAnsi="Arial" w:cs="Arial"/>
                <w:sz w:val="20"/>
                <w:szCs w:val="20"/>
                <w:lang w:eastAsia="en-AU"/>
              </w:rPr>
              <w:t>l</w:t>
            </w:r>
            <w:r w:rsidRPr="00406D9C">
              <w:rPr>
                <w:rFonts w:ascii="Arial" w:eastAsia="Times New Roman" w:hAnsi="Arial" w:cs="Arial"/>
                <w:sz w:val="20"/>
                <w:szCs w:val="20"/>
                <w:lang w:eastAsia="en-AU"/>
              </w:rPr>
              <w:t xml:space="preserve">d South urban area identified on </w:t>
            </w:r>
            <w:hyperlink r:id="rId23" w:anchor="ID-364412-657812" w:history="1">
              <w:r w:rsidRPr="00406D9C">
                <w:rPr>
                  <w:rFonts w:ascii="Arial" w:eastAsia="Times New Roman" w:hAnsi="Arial" w:cs="Arial"/>
                  <w:color w:val="0000FF"/>
                  <w:sz w:val="20"/>
                  <w:szCs w:val="20"/>
                  <w:lang w:eastAsia="en-AU"/>
                </w:rPr>
                <w:t>‘Figure 9.4.1.3.2.1 Morayfield South urban area’</w:t>
              </w:r>
            </w:hyperlink>
            <w:r w:rsidRPr="00406D9C">
              <w:rPr>
                <w:rFonts w:ascii="Arial" w:eastAsia="Times New Roman" w:hAnsi="Arial" w:cs="Arial"/>
                <w:sz w:val="20"/>
                <w:szCs w:val="20"/>
                <w:lang w:eastAsia="en-AU"/>
              </w:rPr>
              <w:t xml:space="preserve">. </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For all other areas, rear lots:</w:t>
            </w:r>
          </w:p>
          <w:p w:rsidR="00406D9C" w:rsidRPr="00406D9C" w:rsidRDefault="00406D9C" w:rsidP="00406D9C">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contribute to the mix of lot sizes;</w:t>
            </w:r>
          </w:p>
          <w:p w:rsidR="00406D9C" w:rsidRPr="00406D9C" w:rsidRDefault="00406D9C" w:rsidP="00406D9C">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are limited to 1 behind any full frontage lot (i.e. A lot with a street frontage that is not an access handle);</w:t>
            </w:r>
          </w:p>
          <w:p w:rsidR="00406D9C" w:rsidRPr="00406D9C" w:rsidRDefault="00406D9C" w:rsidP="00406D9C">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Provide sufficient area for vehicles to manoeuvre on-site allowing entry and exit to the rear lot in forward gear.</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PO14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Access handles for rear lots are:</w:t>
            </w:r>
          </w:p>
          <w:p w:rsidR="00406D9C" w:rsidRPr="00406D9C" w:rsidRDefault="00406D9C" w:rsidP="00406D9C">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minimum of 5m wide to allow for safe vehicle access and service corridors from the rear lot to the street;</w:t>
            </w:r>
          </w:p>
          <w:p w:rsidR="00406D9C" w:rsidRPr="00406D9C" w:rsidRDefault="00406D9C" w:rsidP="00406D9C">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are located on 1 side of the full frontage lot;</w:t>
            </w:r>
          </w:p>
          <w:p w:rsidR="00406D9C" w:rsidRPr="00406D9C" w:rsidRDefault="00406D9C" w:rsidP="00406D9C">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limited</w:t>
            </w:r>
            <w:proofErr w:type="gramEnd"/>
            <w:r w:rsidRPr="00406D9C">
              <w:rPr>
                <w:rFonts w:ascii="Arial" w:eastAsia="Times New Roman" w:hAnsi="Arial" w:cs="Arial"/>
                <w:sz w:val="20"/>
                <w:szCs w:val="20"/>
                <w:lang w:eastAsia="en-AU"/>
              </w:rPr>
              <w:t xml:space="preserve"> to no more than 2 directly adjoining each other.</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6B424B">
        <w:trPr>
          <w:tblCellSpacing w:w="15" w:type="dxa"/>
        </w:trPr>
        <w:tc>
          <w:tcPr>
            <w:tcW w:w="312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Street design and layout</w:t>
            </w:r>
          </w:p>
        </w:tc>
        <w:tc>
          <w:tcPr>
            <w:tcW w:w="540"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6B424B">
        <w:trPr>
          <w:trHeight w:val="2325"/>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Street layouts facilitate regular and consistent shaped lots through the use of rectilinear grid patterns, or modified grid patterns where constrained by topographical and other physical barriers.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4A2309">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guidance on how to achieve compliance with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Street layouts are designed to connect to surrounding neighbourhoods by providing an interconnected street, pedestrian and cyclist networks that connects nearby centres, neighbourhood hubs, community facilities, public transport nodes and open space to residential areas for access and emergency management purposes. The layout ensures that new development is provided with multiple points of access. The timing of transport works ensures that </w:t>
            </w:r>
            <w:r w:rsidRPr="00406D9C">
              <w:rPr>
                <w:rFonts w:ascii="Arial" w:eastAsia="Times New Roman" w:hAnsi="Arial" w:cs="Arial"/>
                <w:sz w:val="20"/>
                <w:szCs w:val="20"/>
                <w:lang w:eastAsia="en-AU"/>
              </w:rPr>
              <w:lastRenderedPageBreak/>
              <w:t xml:space="preserve">multiple points of access are provided during early stages of a development.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33"/>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w:t>
                  </w:r>
                  <w:r w:rsidRPr="00406D9C">
                    <w:rPr>
                      <w:rFonts w:ascii="Arial" w:eastAsia="Times New Roman" w:hAnsi="Arial" w:cs="Arial"/>
                      <w:i/>
                      <w:iCs/>
                      <w:sz w:val="20"/>
                      <w:szCs w:val="20"/>
                      <w:lang w:eastAsia="en-AU"/>
                    </w:rPr>
                    <w:t>Planning scheme policy - Neighbourhood design for guidance on when alternative access points should be provided for emergency management purposes.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PO17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maintains the connections shown on:</w:t>
            </w:r>
          </w:p>
          <w:p w:rsidR="00406D9C" w:rsidRPr="00406D9C" w:rsidRDefault="002F0EF0" w:rsidP="00406D9C">
            <w:pPr>
              <w:numPr>
                <w:ilvl w:val="0"/>
                <w:numId w:val="13"/>
              </w:numPr>
              <w:spacing w:before="100" w:beforeAutospacing="1" w:after="100" w:afterAutospacing="1" w:line="240" w:lineRule="auto"/>
              <w:ind w:left="450"/>
              <w:rPr>
                <w:rFonts w:ascii="Arial" w:eastAsia="Times New Roman" w:hAnsi="Arial" w:cs="Arial"/>
                <w:sz w:val="20"/>
                <w:szCs w:val="20"/>
                <w:lang w:eastAsia="en-AU"/>
              </w:rPr>
            </w:pPr>
            <w:hyperlink r:id="rId24" w:anchor="ID-364412-661444" w:history="1">
              <w:r w:rsidR="00406D9C" w:rsidRPr="00406D9C">
                <w:rPr>
                  <w:rFonts w:ascii="Arial" w:eastAsia="Times New Roman" w:hAnsi="Arial" w:cs="Arial"/>
                  <w:color w:val="0000FF"/>
                  <w:sz w:val="20"/>
                  <w:szCs w:val="20"/>
                  <w:lang w:eastAsia="en-AU"/>
                </w:rPr>
                <w:t>‘Figure 1 - Morayfield South’</w:t>
              </w:r>
            </w:hyperlink>
            <w:r w:rsidR="00406D9C" w:rsidRPr="00406D9C">
              <w:rPr>
                <w:rFonts w:ascii="Arial" w:eastAsia="Times New Roman" w:hAnsi="Arial" w:cs="Arial"/>
                <w:sz w:val="20"/>
                <w:szCs w:val="20"/>
                <w:lang w:eastAsia="en-AU"/>
              </w:rPr>
              <w:t xml:space="preserve"> - Morayfield South; </w:t>
            </w:r>
          </w:p>
          <w:p w:rsidR="00406D9C" w:rsidRPr="00406D9C" w:rsidRDefault="002F0EF0" w:rsidP="00406D9C">
            <w:pPr>
              <w:numPr>
                <w:ilvl w:val="0"/>
                <w:numId w:val="13"/>
              </w:numPr>
              <w:spacing w:before="100" w:beforeAutospacing="1" w:after="100" w:afterAutospacing="1" w:line="240" w:lineRule="auto"/>
              <w:ind w:left="450"/>
              <w:rPr>
                <w:rFonts w:ascii="Arial" w:eastAsia="Times New Roman" w:hAnsi="Arial" w:cs="Arial"/>
                <w:sz w:val="20"/>
                <w:szCs w:val="20"/>
                <w:lang w:eastAsia="en-AU"/>
              </w:rPr>
            </w:pPr>
            <w:hyperlink r:id="rId25" w:anchor="ID-364412-587131" w:history="1">
              <w:r w:rsidR="00406D9C" w:rsidRPr="00406D9C">
                <w:rPr>
                  <w:rFonts w:ascii="Arial" w:eastAsia="Times New Roman" w:hAnsi="Arial" w:cs="Arial"/>
                  <w:color w:val="0000FF"/>
                  <w:sz w:val="20"/>
                  <w:szCs w:val="20"/>
                  <w:lang w:eastAsia="en-AU"/>
                </w:rPr>
                <w:t>‘Figure 2 - Narangba East’</w:t>
              </w:r>
            </w:hyperlink>
            <w:r w:rsidR="00406D9C" w:rsidRPr="00406D9C">
              <w:rPr>
                <w:rFonts w:ascii="Arial" w:eastAsia="Times New Roman" w:hAnsi="Arial" w:cs="Arial"/>
                <w:sz w:val="20"/>
                <w:szCs w:val="20"/>
                <w:lang w:eastAsia="en-AU"/>
              </w:rPr>
              <w:t xml:space="preserve"> - Narangba East. </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rHeight w:val="5040"/>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Street layouts provide an efficient and legible movement network with high levels of connectivity within and external to the to the site by: </w:t>
            </w:r>
          </w:p>
          <w:p w:rsidR="00406D9C" w:rsidRPr="00406D9C" w:rsidRDefault="00406D9C" w:rsidP="00406D9C">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facilitating increased active transport with a focus on safety and amenity for pedestrians and cyclists;</w:t>
            </w:r>
          </w:p>
          <w:p w:rsidR="00406D9C" w:rsidRPr="00406D9C" w:rsidRDefault="00406D9C" w:rsidP="00406D9C">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providing street blocks with a maximum walkable perimeter of 500m (refer Figure - Street block design);</w:t>
            </w:r>
          </w:p>
          <w:p w:rsidR="00406D9C" w:rsidRPr="00406D9C" w:rsidRDefault="00406D9C" w:rsidP="00406D9C">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providing a variety of street block sizes;</w:t>
            </w:r>
          </w:p>
          <w:p w:rsidR="00406D9C" w:rsidRPr="00406D9C" w:rsidRDefault="00406D9C" w:rsidP="00406D9C">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reducing street block sizes as they approach an activity focus;</w:t>
            </w:r>
          </w:p>
          <w:p w:rsidR="00406D9C" w:rsidRPr="00406D9C" w:rsidRDefault="00406D9C" w:rsidP="00406D9C">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facilitating</w:t>
            </w:r>
            <w:proofErr w:type="gramEnd"/>
            <w:r w:rsidRPr="00406D9C">
              <w:rPr>
                <w:rFonts w:ascii="Arial" w:eastAsia="Times New Roman" w:hAnsi="Arial" w:cs="Arial"/>
                <w:sz w:val="20"/>
                <w:szCs w:val="20"/>
                <w:lang w:eastAsia="en-AU"/>
              </w:rPr>
              <w:t xml:space="preserve"> possible future connections to adjoining sites for roads, green linkages and other essential infrastructure.</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6B424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guidance on how to achieve compliance with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PO19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Street layouts create convenient and highly permeable movement networks between lower and higher order roads, whilst not adversely affecting the safety and function of the higher order road.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6B424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guidance on how to achieve compliance with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PO20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Streets are designed and constructed to cater for:</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safe and convenient pedestrian and cycle movement;</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on street parking adequate to meet the needs of future resident;</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efficient public transport routes;</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expected traffic speeds and volumes;</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utilities and stormwater drainage;</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access, sight lines and public safety;</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emergency access and waste collection;</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waste service vehicles;</w:t>
            </w:r>
          </w:p>
          <w:p w:rsidR="00406D9C" w:rsidRPr="00406D9C" w:rsidRDefault="00406D9C" w:rsidP="00406D9C">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required</w:t>
            </w:r>
            <w:proofErr w:type="gramEnd"/>
            <w:r w:rsidRPr="00406D9C">
              <w:rPr>
                <w:rFonts w:ascii="Arial" w:eastAsia="Times New Roman" w:hAnsi="Arial" w:cs="Arial"/>
                <w:sz w:val="20"/>
                <w:szCs w:val="20"/>
                <w:lang w:eastAsia="en-AU"/>
              </w:rPr>
              <w:t xml:space="preserve"> street trees, landscaping and street furniture.</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B6378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determining design criteria to achieve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Intersections are designed and constructed to provide for the safe and efficient movement of pedestrians, cyclists, and all forms of light and heavy vehicles.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6B424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guidance on how to achieve compliance with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PO22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Cul-de-sac or dead end streets are not proposed unless:</w:t>
            </w:r>
          </w:p>
          <w:p w:rsidR="00406D9C" w:rsidRPr="00406D9C" w:rsidRDefault="00406D9C" w:rsidP="00406D9C">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topography or other physical barriers exist to the continuance of the street network or vehicle connection to an existing road is not permitted; </w:t>
            </w:r>
          </w:p>
          <w:p w:rsidR="00406D9C" w:rsidRPr="00406D9C" w:rsidRDefault="00406D9C" w:rsidP="00406D9C">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there are no appropriate alternative solutions;</w:t>
            </w:r>
          </w:p>
          <w:p w:rsidR="00406D9C" w:rsidRPr="00406D9C" w:rsidRDefault="00406D9C" w:rsidP="00406D9C">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the</w:t>
            </w:r>
            <w:proofErr w:type="gramEnd"/>
            <w:r w:rsidRPr="00406D9C">
              <w:rPr>
                <w:rFonts w:ascii="Arial" w:eastAsia="Times New Roman" w:hAnsi="Arial" w:cs="Arial"/>
                <w:sz w:val="20"/>
                <w:szCs w:val="20"/>
                <w:lang w:eastAsia="en-AU"/>
              </w:rPr>
              <w:t xml:space="preserve"> cul-de-sac or dead end street will facilitate future connections to adjoining land or development.</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6B424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guidance on how to achieve compliance with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cul-de-sacs are proposed due to vehicular connection to existing roads not being permitted, they are to be designed to allow a 10m wide pedestrian connection as public land through to the existing road with no lots proposed at the head of the cul-de-sac generally as shown in figure below. </w:t>
            </w:r>
          </w:p>
          <w:p w:rsidR="00406D9C" w:rsidRPr="00406D9C" w:rsidRDefault="00406D9C" w:rsidP="00B6378B">
            <w:pPr>
              <w:spacing w:before="100" w:beforeAutospacing="1" w:after="100" w:afterAutospacing="1" w:line="240" w:lineRule="auto"/>
              <w:ind w:left="150" w:right="150"/>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t> Figure - Cul-de-sac design</w:t>
            </w:r>
            <w:r w:rsidRPr="00406D9C">
              <w:rPr>
                <w:rFonts w:ascii="Arial" w:eastAsia="Times New Roman" w:hAnsi="Arial" w:cs="Arial"/>
                <w:sz w:val="20"/>
                <w:szCs w:val="20"/>
                <w:lang w:eastAsia="en-AU"/>
              </w:rPr>
              <w:t xml:space="preserve"> </w:t>
            </w:r>
            <w:hyperlink r:id="rId26"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noProof/>
                <w:sz w:val="20"/>
                <w:szCs w:val="20"/>
                <w:lang w:eastAsia="en-AU"/>
              </w:rPr>
              <w:lastRenderedPageBreak/>
              <w:drawing>
                <wp:inline distT="0" distB="0" distL="0" distR="0" wp14:anchorId="6EBE84CD" wp14:editId="1DF995C0">
                  <wp:extent cx="2876550" cy="2705100"/>
                  <wp:effectExtent l="0" t="0" r="0" b="0"/>
                  <wp:docPr id="6" name="Picture 6"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l-de-sa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6B424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guidance on how to achieve this outcome.</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6B424B">
        <w:trPr>
          <w:tblCellSpacing w:w="15" w:type="dxa"/>
        </w:trPr>
        <w:tc>
          <w:tcPr>
            <w:tcW w:w="158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PO24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Streets are designed and oriented to minimise the impact of cut and fill on the amenity of the streetscape and adjoining development.</w:t>
            </w: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E24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Street alignment follows ridges or gullies or runs perpendicular to slope.</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6B424B">
        <w:trPr>
          <w:tblCellSpacing w:w="15" w:type="dxa"/>
        </w:trPr>
        <w:tc>
          <w:tcPr>
            <w:tcW w:w="1585"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Streets are oriented to encourage active transport through a climate responsive and comfortable walking environment whilst also facilitating lots that support subtropical design practices, including: </w:t>
            </w:r>
          </w:p>
          <w:p w:rsidR="00406D9C" w:rsidRPr="00406D9C" w:rsidRDefault="00406D9C" w:rsidP="00406D9C">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controlled solar access &amp; shade provision</w:t>
            </w:r>
          </w:p>
          <w:p w:rsidR="00406D9C" w:rsidRPr="00406D9C" w:rsidRDefault="00406D9C" w:rsidP="00406D9C">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cross-ventilation</w:t>
            </w:r>
            <w:proofErr w:type="gramEnd"/>
            <w:r w:rsidRPr="00406D9C">
              <w:rPr>
                <w:rFonts w:ascii="Arial" w:eastAsia="Times New Roman" w:hAnsi="Arial" w:cs="Arial"/>
                <w:sz w:val="20"/>
                <w:szCs w:val="20"/>
                <w:lang w:eastAsia="en-AU"/>
              </w:rPr>
              <w:t>.</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406D9C" w:rsidRPr="00406D9C" w:rsidTr="002B5857">
              <w:trPr>
                <w:tblCellSpacing w:w="15" w:type="dxa"/>
              </w:trPr>
              <w:tc>
                <w:tcPr>
                  <w:tcW w:w="4557"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Note - Refer to Planning scheme policy - Residential design for guidance on how to achieve subtropical design solution.</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E25.1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not unduly constrained by topography or other physical barrier, streets are primarily oriented within 20 or 30 degrees of North-South or East-West in accordance with Figure - Preferred street orientation below</w:t>
            </w:r>
            <w:r w:rsidRPr="00406D9C">
              <w:rPr>
                <w:rFonts w:ascii="Arial" w:eastAsia="Times New Roman" w:hAnsi="Arial" w:cs="Arial"/>
                <w:b/>
                <w:bCs/>
                <w:sz w:val="20"/>
                <w:szCs w:val="20"/>
                <w:lang w:eastAsia="en-AU"/>
              </w:rPr>
              <w:t>.</w:t>
            </w:r>
          </w:p>
          <w:p w:rsidR="006B424B" w:rsidRDefault="00406D9C" w:rsidP="003A348B">
            <w:pPr>
              <w:spacing w:before="100" w:beforeAutospacing="1" w:after="100" w:afterAutospacing="1" w:line="240" w:lineRule="auto"/>
              <w:ind w:left="150" w:right="150"/>
              <w:rPr>
                <w:rFonts w:ascii="Arial" w:eastAsia="Times New Roman" w:hAnsi="Arial" w:cs="Arial"/>
                <w:b/>
                <w:bCs/>
                <w:sz w:val="20"/>
                <w:szCs w:val="20"/>
                <w:lang w:eastAsia="en-AU"/>
              </w:rPr>
            </w:pPr>
            <w:r w:rsidRPr="00406D9C">
              <w:rPr>
                <w:rFonts w:ascii="Arial" w:eastAsia="Times New Roman" w:hAnsi="Arial" w:cs="Arial"/>
                <w:b/>
                <w:bCs/>
                <w:sz w:val="20"/>
                <w:szCs w:val="20"/>
                <w:lang w:eastAsia="en-AU"/>
              </w:rPr>
              <w:t> </w:t>
            </w:r>
          </w:p>
          <w:p w:rsidR="006B424B" w:rsidRDefault="006B424B" w:rsidP="003A348B">
            <w:pPr>
              <w:spacing w:before="100" w:beforeAutospacing="1" w:after="100" w:afterAutospacing="1" w:line="240" w:lineRule="auto"/>
              <w:ind w:left="150" w:right="150"/>
              <w:rPr>
                <w:rFonts w:ascii="Arial" w:eastAsia="Times New Roman" w:hAnsi="Arial" w:cs="Arial"/>
                <w:b/>
                <w:bCs/>
                <w:sz w:val="20"/>
                <w:szCs w:val="20"/>
                <w:lang w:eastAsia="en-AU"/>
              </w:rPr>
            </w:pPr>
          </w:p>
          <w:p w:rsidR="00406D9C" w:rsidRPr="00406D9C" w:rsidRDefault="00406D9C" w:rsidP="003A348B">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Figure - Preferred street orientation</w:t>
            </w:r>
            <w:r w:rsidRPr="00406D9C">
              <w:rPr>
                <w:rFonts w:ascii="Arial" w:eastAsia="Times New Roman" w:hAnsi="Arial" w:cs="Arial"/>
                <w:sz w:val="20"/>
                <w:szCs w:val="20"/>
                <w:lang w:eastAsia="en-AU"/>
              </w:rPr>
              <w:t xml:space="preserve"> </w:t>
            </w:r>
            <w:hyperlink r:id="rId28"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14:anchorId="0AF2A22C" wp14:editId="19442709">
                  <wp:extent cx="2876550" cy="2543175"/>
                  <wp:effectExtent l="0" t="0" r="0" b="9525"/>
                  <wp:docPr id="5" name="Picture 5"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eet This field is mandatory, please comple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6B424B">
        <w:trPr>
          <w:tblCellSpacing w:w="15" w:type="dxa"/>
        </w:trPr>
        <w:tc>
          <w:tcPr>
            <w:tcW w:w="1585"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E25.2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long axis of a street block is oriented east-west to facilitate a north-south orientation for a majority of lots as per Figure - Street block design below. </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6B424B">
        <w:trPr>
          <w:tblCellSpacing w:w="15" w:type="dxa"/>
        </w:trPr>
        <w:tc>
          <w:tcPr>
            <w:tcW w:w="1585"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5"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E25.3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lots are oriented east west, they are 16m or wider so as to allow for alternative dwelling design to achieve solar access and cross-ventilation as per Figure -Street block design below. </w:t>
            </w:r>
          </w:p>
        </w:tc>
        <w:tc>
          <w:tcPr>
            <w:tcW w:w="540"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0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D775F2" w:rsidRDefault="00D775F2"/>
    <w:p w:rsidR="00D775F2" w:rsidRDefault="00D775F2">
      <w:r>
        <w:br w:type="page"/>
      </w:r>
    </w:p>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53"/>
        <w:gridCol w:w="4747"/>
        <w:gridCol w:w="1669"/>
        <w:gridCol w:w="4104"/>
      </w:tblGrid>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Figure - Street block design</w:t>
            </w:r>
            <w:r w:rsidRPr="00406D9C">
              <w:rPr>
                <w:rFonts w:ascii="Arial" w:eastAsia="Times New Roman" w:hAnsi="Arial" w:cs="Arial"/>
                <w:sz w:val="20"/>
                <w:szCs w:val="20"/>
                <w:lang w:eastAsia="en-AU"/>
              </w:rPr>
              <w:t xml:space="preserve"> </w:t>
            </w:r>
            <w:hyperlink r:id="rId30"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14:anchorId="537E4130" wp14:editId="2D97B218">
                  <wp:extent cx="3829050" cy="3491689"/>
                  <wp:effectExtent l="0" t="0" r="0" b="0"/>
                  <wp:docPr id="4" name="Picture 4"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use blo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2239" cy="3494597"/>
                          </a:xfrm>
                          <a:prstGeom prst="rect">
                            <a:avLst/>
                          </a:prstGeom>
                          <a:noFill/>
                          <a:ln>
                            <a:noFill/>
                          </a:ln>
                        </pic:spPr>
                      </pic:pic>
                    </a:graphicData>
                  </a:graphic>
                </wp:inline>
              </w:drawing>
            </w:r>
          </w:p>
          <w:p w:rsidR="00406D9C" w:rsidRPr="00406D9C" w:rsidRDefault="00406D9C" w:rsidP="00406D9C">
            <w:pPr>
              <w:spacing w:before="100" w:beforeAutospacing="1" w:after="100" w:afterAutospacing="1" w:line="240" w:lineRule="auto"/>
              <w:ind w:left="150" w:right="150"/>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t>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Movement network</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street network creates convenient access to arterial and sub-arterial roads for heavy vehicles and commercial traffic without introducing through traffic to residential streets. </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road network has sufficient reserve and pavement widths to cater for the current and intended function of the road in accordance with </w:t>
            </w:r>
            <w:r w:rsidRPr="00406D9C">
              <w:rPr>
                <w:rFonts w:ascii="Arial" w:eastAsia="Times New Roman" w:hAnsi="Arial" w:cs="Arial"/>
                <w:sz w:val="20"/>
                <w:szCs w:val="20"/>
                <w:lang w:eastAsia="en-AU"/>
              </w:rPr>
              <w:lastRenderedPageBreak/>
              <w:t xml:space="preserve">the road type in accordance with Planning scheme policy - Integrated design. </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PO28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Movement networks encourage walking and cycling and a safe environment for pedestrians and cyclists.</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E28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Pedestrian paths, bikeways and on-road bicycle facilities are provided for the street type in accordance with Planning scheme policy - Integrated design.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PO29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Upgrade works (whether trunk or non-trunk) are provided where necessary to:</w:t>
            </w:r>
          </w:p>
          <w:p w:rsidR="00406D9C" w:rsidRPr="00406D9C" w:rsidRDefault="00406D9C" w:rsidP="00406D9C">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ensure the type or volume of traffic generated by the development does not have a negative impact on the external road network;</w:t>
            </w:r>
          </w:p>
          <w:p w:rsidR="00406D9C" w:rsidRPr="00406D9C" w:rsidRDefault="00406D9C" w:rsidP="00406D9C">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ensure the orderly and efficient continuation of the active transport network;</w:t>
            </w:r>
          </w:p>
          <w:p w:rsidR="00406D9C" w:rsidRPr="00406D9C" w:rsidRDefault="00406D9C" w:rsidP="00406D9C">
            <w:pPr>
              <w:numPr>
                <w:ilvl w:val="0"/>
                <w:numId w:val="18"/>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ensure</w:t>
            </w:r>
            <w:proofErr w:type="gramEnd"/>
            <w:r w:rsidRPr="00406D9C">
              <w:rPr>
                <w:rFonts w:ascii="Arial" w:eastAsia="Times New Roman" w:hAnsi="Arial" w:cs="Arial"/>
                <w:sz w:val="20"/>
                <w:szCs w:val="20"/>
                <w:lang w:eastAsia="en-AU"/>
              </w:rPr>
              <w:t xml:space="preserve"> the site frontage is constructed to a suitable urban standard generally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An Integrated Transport Assessment (ITA) may be required to demonstrate compliance with this performance outcome refer to Planning scheme policy - Integrated transport assessment for guidance on when an ITA is required.  An ITA should be prepared in accordance with Planning scheme policy - Integrated transport assessment. </w:t>
                  </w:r>
                </w:p>
              </w:tc>
            </w:tr>
            <w:tr w:rsidR="00406D9C" w:rsidRPr="00406D9C" w:rsidTr="00AE02EE">
              <w:trPr>
                <w:trHeight w:val="165"/>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The road network is mapped on Overlay map - Road hierarchy.</w:t>
                  </w:r>
                </w:p>
              </w:tc>
            </w:tr>
          </w:tbl>
          <w:p w:rsidR="00406D9C" w:rsidRPr="00406D9C" w:rsidRDefault="00406D9C" w:rsidP="00406D9C">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The primary and secondary active transport network is mapped on Overlay map - Active transport.</w:t>
                  </w:r>
                </w:p>
              </w:tc>
            </w:tr>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To demonstrate compliance with c. of this performance outcome, site frontage works where in existing road reserve (non-trunk) are to be designed and constructed as follows: </w:t>
                  </w:r>
                </w:p>
                <w:p w:rsidR="00406D9C" w:rsidRPr="00406D9C" w:rsidRDefault="00406D9C" w:rsidP="00406D9C">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Where the street is partially established to an urban standard, match the alignment of existing kerb and channel and provide carriageway widening and underground drainage where required; or </w:t>
                  </w:r>
                </w:p>
                <w:p w:rsidR="00406D9C" w:rsidRPr="00406D9C" w:rsidRDefault="00406D9C" w:rsidP="00406D9C">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the street is not established to an urban standard, prepare a design that demonstrates how the relevant features of the particular road as shown in the Planning scheme policy - Integrated Design can be achieved in the existing reserve. </w:t>
                  </w:r>
                </w:p>
              </w:tc>
            </w:tr>
          </w:tbl>
          <w:p w:rsidR="00406D9C" w:rsidRPr="00406D9C" w:rsidRDefault="00406D9C" w:rsidP="00406D9C">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road network and active transport network design standards.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Laneway design and location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rHeight w:val="1725"/>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Laneway location contributes to a high standard of amenity for adjoining lots and the primary streetscape.</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Neighbourhood design for determining locational criteria for Laneways.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Laneways are primarily used where:</w:t>
            </w:r>
          </w:p>
          <w:p w:rsidR="00406D9C" w:rsidRPr="00406D9C" w:rsidRDefault="00406D9C" w:rsidP="00406D9C">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vehicle access is not permitted from the primary street frontage; or</w:t>
            </w:r>
          </w:p>
          <w:p w:rsidR="00406D9C" w:rsidRPr="00406D9C" w:rsidRDefault="00406D9C" w:rsidP="00406D9C">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limiting vehicle access from the primary street frontage results in a positive streetscape outcome;</w:t>
            </w:r>
            <w:r w:rsidR="003A348B">
              <w:rPr>
                <w:rFonts w:ascii="Arial" w:eastAsia="Times New Roman" w:hAnsi="Arial" w:cs="Arial"/>
                <w:sz w:val="20"/>
                <w:szCs w:val="20"/>
                <w:lang w:eastAsia="en-AU"/>
              </w:rPr>
              <w:t xml:space="preserve"> </w:t>
            </w:r>
            <w:r w:rsidRPr="00406D9C">
              <w:rPr>
                <w:rFonts w:ascii="Arial" w:eastAsia="Times New Roman" w:hAnsi="Arial" w:cs="Arial"/>
                <w:sz w:val="20"/>
                <w:szCs w:val="20"/>
                <w:lang w:eastAsia="en-AU"/>
              </w:rPr>
              <w:t>or</w:t>
            </w:r>
          </w:p>
          <w:p w:rsidR="00406D9C" w:rsidRPr="00406D9C" w:rsidRDefault="00406D9C" w:rsidP="00406D9C">
            <w:pPr>
              <w:numPr>
                <w:ilvl w:val="0"/>
                <w:numId w:val="20"/>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where</w:t>
            </w:r>
            <w:proofErr w:type="gramEnd"/>
            <w:r w:rsidRPr="00406D9C">
              <w:rPr>
                <w:rFonts w:ascii="Arial" w:eastAsia="Times New Roman" w:hAnsi="Arial" w:cs="Arial"/>
                <w:sz w:val="20"/>
                <w:szCs w:val="20"/>
                <w:lang w:eastAsia="en-AU"/>
              </w:rPr>
              <w:t xml:space="preserve"> lots directly adjoin a local, district or regional Park</w:t>
            </w:r>
            <w:r w:rsidRPr="00406D9C">
              <w:rPr>
                <w:rFonts w:ascii="Arial" w:eastAsia="Times New Roman" w:hAnsi="Arial" w:cs="Arial"/>
                <w:sz w:val="20"/>
                <w:szCs w:val="20"/>
                <w:vertAlign w:val="superscript"/>
                <w:lang w:eastAsia="en-AU"/>
              </w:rPr>
              <w:t>(</w:t>
            </w:r>
            <w:hyperlink r:id="rId3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Laneways service a limited number of allotments, creating a sense of place and enclosed feeling for the pedestrian environment whilst contributing to the high level of connectivity of the street network.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E31.1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Laneways are limited to 130m in length.</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E31.2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Laneways are not designed as dead ends or cul-de-sacs, and are to have vehicle connections to an access street at both ends.</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E31.3</w:t>
            </w:r>
          </w:p>
          <w:p w:rsidR="00406D9C" w:rsidRPr="00406D9C" w:rsidRDefault="00406D9C" w:rsidP="00406D9C">
            <w:pPr>
              <w:spacing w:before="100" w:beforeAutospacing="1" w:after="100" w:afterAutospacing="1" w:line="240" w:lineRule="auto"/>
              <w:ind w:left="150" w:right="150"/>
              <w:jc w:val="both"/>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Where laneways exceed 100m in length, </w:t>
            </w:r>
            <w:proofErr w:type="spellStart"/>
            <w:r w:rsidRPr="00406D9C">
              <w:rPr>
                <w:rFonts w:ascii="Arial" w:eastAsia="Times New Roman" w:hAnsi="Arial" w:cs="Arial"/>
                <w:sz w:val="20"/>
                <w:szCs w:val="20"/>
                <w:lang w:eastAsia="en-AU"/>
              </w:rPr>
              <w:t>a mid</w:t>
            </w:r>
            <w:proofErr w:type="spellEnd"/>
            <w:r w:rsidRPr="00406D9C">
              <w:rPr>
                <w:rFonts w:ascii="Arial" w:eastAsia="Times New Roman" w:hAnsi="Arial" w:cs="Arial"/>
                <w:sz w:val="20"/>
                <w:szCs w:val="20"/>
                <w:lang w:eastAsia="en-AU"/>
              </w:rPr>
              <w:t xml:space="preserve"> lane pedestrian connection is to be provided between the adjacent access streets and the laneway.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PO32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Laneway design ensures the safety of pedestrians, cyclists and motorists by way of </w:t>
            </w:r>
            <w:proofErr w:type="spellStart"/>
            <w:r w:rsidRPr="00406D9C">
              <w:rPr>
                <w:rFonts w:ascii="Arial" w:eastAsia="Times New Roman" w:hAnsi="Arial" w:cs="Arial"/>
                <w:sz w:val="20"/>
                <w:szCs w:val="20"/>
                <w:lang w:eastAsia="en-AU"/>
              </w:rPr>
              <w:t>site</w:t>
            </w:r>
            <w:proofErr w:type="spellEnd"/>
            <w:r w:rsidRPr="00406D9C">
              <w:rPr>
                <w:rFonts w:ascii="Arial" w:eastAsia="Times New Roman" w:hAnsi="Arial" w:cs="Arial"/>
                <w:sz w:val="20"/>
                <w:szCs w:val="20"/>
                <w:lang w:eastAsia="en-AU"/>
              </w:rPr>
              <w:t xml:space="preserve"> lines, and sufficient road reserve for vehicle movements and the provision of street lighting.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Planning scheme policy - Integrated design and Planning scheme policy - Neighbourhood design for determining design criteria for Laneways.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E32.1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Laneways are designed with minor meanders only, and maintain direct lines of sight from one end of the laneway to the other.</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E32.2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Laneways provide road dedication at strategic locations along the laneway to allow the construction of street lighting and any electrical pillars associated with the street lighting in accordance with current Australian Standards. </w:t>
            </w:r>
          </w:p>
          <w:tbl>
            <w:tblPr>
              <w:tblW w:w="55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7"/>
            </w:tblGrid>
            <w:tr w:rsidR="00406D9C" w:rsidRPr="00406D9C" w:rsidTr="002B5857">
              <w:trPr>
                <w:tblCellSpacing w:w="15" w:type="dxa"/>
              </w:trPr>
              <w:tc>
                <w:tcPr>
                  <w:tcW w:w="546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The dedication must allow for street lights on to be provided on Council’s standard alignment</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Park</w:t>
            </w:r>
            <w:r w:rsidRPr="00406D9C">
              <w:rPr>
                <w:rFonts w:ascii="Arial" w:eastAsia="Times New Roman" w:hAnsi="Arial" w:cs="Arial"/>
                <w:b/>
                <w:bCs/>
                <w:sz w:val="20"/>
                <w:szCs w:val="20"/>
                <w:vertAlign w:val="superscript"/>
                <w:lang w:eastAsia="en-AU"/>
              </w:rPr>
              <w:t>(</w:t>
            </w:r>
            <w:hyperlink r:id="rId3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b/>
                <w:bCs/>
                <w:sz w:val="20"/>
                <w:szCs w:val="20"/>
                <w:vertAlign w:val="superscript"/>
                <w:lang w:eastAsia="en-AU"/>
              </w:rPr>
              <w:t>)</w:t>
            </w:r>
            <w:r w:rsidRPr="00406D9C">
              <w:rPr>
                <w:rFonts w:ascii="Arial" w:eastAsia="Times New Roman" w:hAnsi="Arial" w:cs="Arial"/>
                <w:b/>
                <w:bCs/>
                <w:sz w:val="20"/>
                <w:szCs w:val="20"/>
                <w:lang w:eastAsia="en-AU"/>
              </w:rPr>
              <w:t xml:space="preserve"> and open space</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hierarchy of Park</w:t>
            </w:r>
            <w:r w:rsidRPr="00406D9C">
              <w:rPr>
                <w:rFonts w:ascii="Arial" w:eastAsia="Times New Roman" w:hAnsi="Arial" w:cs="Arial"/>
                <w:sz w:val="20"/>
                <w:szCs w:val="20"/>
                <w:vertAlign w:val="superscript"/>
                <w:lang w:eastAsia="en-AU"/>
              </w:rPr>
              <w:t>(</w:t>
            </w:r>
            <w:hyperlink r:id="rId3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and open space is provided to meet the recreational needs of the community.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To determine the extent and location of Park</w:t>
                  </w:r>
                  <w:r w:rsidRPr="00406D9C">
                    <w:rPr>
                      <w:rFonts w:ascii="Arial" w:eastAsia="Times New Roman" w:hAnsi="Arial" w:cs="Arial"/>
                      <w:sz w:val="20"/>
                      <w:szCs w:val="20"/>
                      <w:vertAlign w:val="superscript"/>
                      <w:lang w:eastAsia="en-AU"/>
                    </w:rPr>
                    <w:t>(</w:t>
                  </w:r>
                  <w:hyperlink r:id="rId3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and open space required refer to Planning scheme policy - Integrated design. </w:t>
                  </w:r>
                </w:p>
              </w:tc>
            </w:tr>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District level Parks</w:t>
                  </w:r>
                  <w:r w:rsidRPr="00406D9C">
                    <w:rPr>
                      <w:rFonts w:ascii="Arial" w:eastAsia="Times New Roman" w:hAnsi="Arial" w:cs="Arial"/>
                      <w:sz w:val="20"/>
                      <w:szCs w:val="20"/>
                      <w:vertAlign w:val="superscript"/>
                      <w:lang w:eastAsia="en-AU"/>
                    </w:rPr>
                    <w:t>(</w:t>
                  </w:r>
                  <w:hyperlink r:id="rId3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or larger may be required in certain locations in accordance with Part 4: Local Government Infrastructure Plan.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Park</w:t>
            </w:r>
            <w:r w:rsidRPr="00406D9C">
              <w:rPr>
                <w:rFonts w:ascii="Arial" w:eastAsia="Times New Roman" w:hAnsi="Arial" w:cs="Arial"/>
                <w:sz w:val="20"/>
                <w:szCs w:val="20"/>
                <w:vertAlign w:val="superscript"/>
                <w:lang w:eastAsia="en-AU"/>
              </w:rPr>
              <w:t>(</w:t>
            </w:r>
            <w:hyperlink r:id="rId3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is to be provided within walking distance of all new residential lots.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Note - To determine maximum walking distances for Park</w:t>
                  </w:r>
                  <w:r w:rsidRPr="00406D9C">
                    <w:rPr>
                      <w:rFonts w:ascii="Arial" w:eastAsia="Times New Roman" w:hAnsi="Arial" w:cs="Arial"/>
                      <w:sz w:val="20"/>
                      <w:szCs w:val="20"/>
                      <w:vertAlign w:val="superscript"/>
                      <w:lang w:eastAsia="en-AU"/>
                    </w:rPr>
                    <w:t>(</w:t>
                  </w:r>
                  <w:hyperlink r:id="rId3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types refer to Planning scheme policy - Integrated design.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PO35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Park</w:t>
            </w:r>
            <w:r w:rsidRPr="00406D9C">
              <w:rPr>
                <w:rFonts w:ascii="Arial" w:eastAsia="Times New Roman" w:hAnsi="Arial" w:cs="Arial"/>
                <w:sz w:val="20"/>
                <w:szCs w:val="20"/>
                <w:vertAlign w:val="superscript"/>
                <w:lang w:eastAsia="en-AU"/>
              </w:rPr>
              <w:t>(</w:t>
            </w:r>
            <w:hyperlink r:id="rId3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is of a size and design standard to meet the needs of the expected users.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To determine the size and design standards for Parks</w:t>
                  </w:r>
                  <w:r w:rsidRPr="00406D9C">
                    <w:rPr>
                      <w:rFonts w:ascii="Arial" w:eastAsia="Times New Roman" w:hAnsi="Arial" w:cs="Arial"/>
                      <w:sz w:val="20"/>
                      <w:szCs w:val="20"/>
                      <w:vertAlign w:val="superscript"/>
                      <w:lang w:eastAsia="en-AU"/>
                    </w:rPr>
                    <w:t>(</w:t>
                  </w:r>
                  <w:hyperlink r:id="rId4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refer to Planning scheme policy - Integrated design.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safety and useability of Parks</w:t>
            </w:r>
            <w:r w:rsidRPr="00406D9C">
              <w:rPr>
                <w:rFonts w:ascii="Arial" w:eastAsia="Times New Roman" w:hAnsi="Arial" w:cs="Arial"/>
                <w:sz w:val="20"/>
                <w:szCs w:val="20"/>
                <w:vertAlign w:val="superscript"/>
                <w:lang w:eastAsia="en-AU"/>
              </w:rPr>
              <w:t>(</w:t>
            </w:r>
            <w:hyperlink r:id="rId4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is ensured through the careful design of the street network and lot locations which provide high levels of surveillance and access into the Park</w:t>
            </w:r>
            <w:r w:rsidRPr="00406D9C">
              <w:rPr>
                <w:rFonts w:ascii="Arial" w:eastAsia="Times New Roman" w:hAnsi="Arial" w:cs="Arial"/>
                <w:sz w:val="20"/>
                <w:szCs w:val="20"/>
                <w:vertAlign w:val="superscript"/>
                <w:lang w:eastAsia="en-AU"/>
              </w:rPr>
              <w:t>(</w:t>
            </w:r>
            <w:hyperlink r:id="rId4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or open space area. </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E36.1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Local and district Parks</w:t>
            </w:r>
            <w:r w:rsidRPr="00406D9C">
              <w:rPr>
                <w:rFonts w:ascii="Arial" w:eastAsia="Times New Roman" w:hAnsi="Arial" w:cs="Arial"/>
                <w:sz w:val="20"/>
                <w:szCs w:val="20"/>
                <w:vertAlign w:val="superscript"/>
                <w:lang w:eastAsia="en-AU"/>
              </w:rPr>
              <w:t>(</w:t>
            </w:r>
            <w:hyperlink r:id="rId43"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are bordered by streets and lots orientated to address and front onto Parks and not lots backing onto or not addressing the Park wherever possible.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E36.2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lots do adjoin local and district Parks</w:t>
            </w:r>
            <w:r w:rsidRPr="00406D9C">
              <w:rPr>
                <w:rFonts w:ascii="Arial" w:eastAsia="Times New Roman" w:hAnsi="Arial" w:cs="Arial"/>
                <w:sz w:val="20"/>
                <w:szCs w:val="20"/>
                <w:vertAlign w:val="superscript"/>
                <w:lang w:eastAsia="en-AU"/>
              </w:rPr>
              <w:t>(</w:t>
            </w:r>
            <w:hyperlink r:id="rId44"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and fencing is provided along the Park</w:t>
            </w:r>
            <w:r w:rsidRPr="00406D9C">
              <w:rPr>
                <w:rFonts w:ascii="Arial" w:eastAsia="Times New Roman" w:hAnsi="Arial" w:cs="Arial"/>
                <w:sz w:val="20"/>
                <w:szCs w:val="20"/>
                <w:vertAlign w:val="superscript"/>
                <w:lang w:eastAsia="en-AU"/>
              </w:rPr>
              <w:t>(</w:t>
            </w:r>
            <w:hyperlink r:id="rId4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boundary, it is located within the lot and at a maximum height of 1m.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E36.3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design of fencing and retaining features allows for safe and direct pedestrian access between the Park</w:t>
            </w:r>
            <w:r w:rsidRPr="00406D9C">
              <w:rPr>
                <w:rFonts w:ascii="Arial" w:eastAsia="Times New Roman" w:hAnsi="Arial" w:cs="Arial"/>
                <w:sz w:val="20"/>
                <w:szCs w:val="20"/>
                <w:vertAlign w:val="superscript"/>
                <w:lang w:eastAsia="en-AU"/>
              </w:rPr>
              <w:t>(</w:t>
            </w:r>
            <w:hyperlink r:id="rId4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and private allotment through the use of private gates and limited retaining features along Park</w:t>
            </w:r>
            <w:r w:rsidRPr="00406D9C">
              <w:rPr>
                <w:rFonts w:ascii="Arial" w:eastAsia="Times New Roman" w:hAnsi="Arial" w:cs="Arial"/>
                <w:sz w:val="20"/>
                <w:szCs w:val="20"/>
                <w:vertAlign w:val="superscript"/>
                <w:lang w:eastAsia="en-AU"/>
              </w:rPr>
              <w:t>(</w:t>
            </w:r>
            <w:hyperlink r:id="rId4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boundaries.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Boundary realignment</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PO37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Boundary alignments ensure that infrastructure and services are wholly contained within the lot they serve.</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rHeight w:val="6615"/>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PO38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Boundary realignment does not result in:</w:t>
            </w:r>
          </w:p>
          <w:p w:rsidR="00406D9C" w:rsidRPr="00406D9C" w:rsidRDefault="00406D9C" w:rsidP="00406D9C">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existing land uses on-site becoming non-complying with planning scheme criteria;</w:t>
            </w:r>
          </w:p>
          <w:p w:rsidR="00406D9C" w:rsidRPr="00406D9C" w:rsidRDefault="00406D9C" w:rsidP="00406D9C">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lots being </w:t>
            </w:r>
            <w:proofErr w:type="spellStart"/>
            <w:r w:rsidRPr="00406D9C">
              <w:rPr>
                <w:rFonts w:ascii="Arial" w:eastAsia="Times New Roman" w:hAnsi="Arial" w:cs="Arial"/>
                <w:sz w:val="20"/>
                <w:szCs w:val="20"/>
                <w:lang w:eastAsia="en-AU"/>
              </w:rPr>
              <w:t>unserviced</w:t>
            </w:r>
            <w:proofErr w:type="spellEnd"/>
            <w:r w:rsidRPr="00406D9C">
              <w:rPr>
                <w:rFonts w:ascii="Arial" w:eastAsia="Times New Roman" w:hAnsi="Arial" w:cs="Arial"/>
                <w:sz w:val="20"/>
                <w:szCs w:val="20"/>
                <w:lang w:eastAsia="en-AU"/>
              </w:rPr>
              <w:t xml:space="preserve"> by infrastructure;</w:t>
            </w:r>
          </w:p>
          <w:p w:rsidR="00406D9C" w:rsidRPr="00406D9C" w:rsidRDefault="00406D9C" w:rsidP="00406D9C">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lots</w:t>
            </w:r>
            <w:proofErr w:type="gramEnd"/>
            <w:r w:rsidRPr="00406D9C">
              <w:rPr>
                <w:rFonts w:ascii="Arial" w:eastAsia="Times New Roman" w:hAnsi="Arial" w:cs="Arial"/>
                <w:sz w:val="20"/>
                <w:szCs w:val="20"/>
                <w:lang w:eastAsia="en-AU"/>
              </w:rPr>
              <w:t xml:space="preserve"> not providing for own private servicing.</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3A348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Examples may include but are not limited to:</w:t>
                  </w:r>
                </w:p>
                <w:p w:rsidR="00406D9C" w:rsidRPr="00406D9C" w:rsidRDefault="00406D9C" w:rsidP="00406D9C">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minimum lot size requirements;</w:t>
                  </w:r>
                </w:p>
                <w:p w:rsidR="00406D9C" w:rsidRPr="00406D9C" w:rsidRDefault="00406D9C" w:rsidP="00406D9C">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setbacks;</w:t>
                  </w:r>
                </w:p>
                <w:p w:rsidR="00406D9C" w:rsidRPr="00406D9C" w:rsidRDefault="00406D9C" w:rsidP="00406D9C">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parking and access requirements;</w:t>
                  </w:r>
                </w:p>
                <w:p w:rsidR="00406D9C" w:rsidRPr="00406D9C" w:rsidRDefault="00406D9C" w:rsidP="00406D9C">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servicing and Infrastructure requirements;</w:t>
                  </w:r>
                </w:p>
                <w:p w:rsidR="00406D9C" w:rsidRPr="00406D9C" w:rsidRDefault="00406D9C" w:rsidP="00406D9C">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dependant elements of an existing or approved land use being separately titled, including but not limited to:</w:t>
                  </w:r>
                </w:p>
                <w:p w:rsidR="00406D9C" w:rsidRPr="00406D9C" w:rsidRDefault="00406D9C" w:rsidP="00406D9C">
                  <w:pPr>
                    <w:numPr>
                      <w:ilvl w:val="1"/>
                      <w:numId w:val="2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premises is approved as </w:t>
                  </w:r>
                  <w:proofErr w:type="gramStart"/>
                  <w:r w:rsidRPr="00406D9C">
                    <w:rPr>
                      <w:rFonts w:ascii="Arial" w:eastAsia="Times New Roman" w:hAnsi="Arial" w:cs="Arial"/>
                      <w:sz w:val="20"/>
                      <w:szCs w:val="20"/>
                      <w:lang w:eastAsia="en-AU"/>
                    </w:rPr>
                    <w:t>Multiple</w:t>
                  </w:r>
                  <w:proofErr w:type="gramEnd"/>
                  <w:r w:rsidRPr="00406D9C">
                    <w:rPr>
                      <w:rFonts w:ascii="Arial" w:eastAsia="Times New Roman" w:hAnsi="Arial" w:cs="Arial"/>
                      <w:sz w:val="20"/>
                      <w:szCs w:val="20"/>
                      <w:lang w:eastAsia="en-AU"/>
                    </w:rPr>
                    <w:t xml:space="preserve"> dwelling with a communal open space area, the communal open space cannot be separately titled as it is required by the Multiple dwelling approval. </w:t>
                  </w:r>
                </w:p>
                <w:p w:rsidR="00406D9C" w:rsidRPr="00406D9C" w:rsidRDefault="00406D9C" w:rsidP="00406D9C">
                  <w:pPr>
                    <w:numPr>
                      <w:ilvl w:val="1"/>
                      <w:numId w:val="2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a commercial or industrial land use contains an ancillary office, the office cannot be separately titled as it is considered part of the commercial or industrial use. </w:t>
                  </w:r>
                </w:p>
                <w:p w:rsidR="00406D9C" w:rsidRPr="00406D9C" w:rsidRDefault="00406D9C" w:rsidP="00406D9C">
                  <w:pPr>
                    <w:numPr>
                      <w:ilvl w:val="1"/>
                      <w:numId w:val="2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a Dwelling house</w:t>
                  </w:r>
                  <w:r w:rsidRPr="00406D9C">
                    <w:rPr>
                      <w:rFonts w:ascii="Arial" w:eastAsia="Times New Roman" w:hAnsi="Arial" w:cs="Arial"/>
                      <w:sz w:val="20"/>
                      <w:szCs w:val="20"/>
                      <w:vertAlign w:val="superscript"/>
                      <w:lang w:eastAsia="en-AU"/>
                    </w:rPr>
                    <w:t>(</w:t>
                  </w:r>
                  <w:hyperlink r:id="rId4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406D9C">
                    <w:rPr>
                      <w:rFonts w:ascii="Arial" w:eastAsia="Times New Roman" w:hAnsi="Arial" w:cs="Arial"/>
                      <w:sz w:val="20"/>
                      <w:szCs w:val="20"/>
                      <w:vertAlign w:val="superscript"/>
                      <w:lang w:eastAsia="en-AU"/>
                    </w:rPr>
                    <w:t>(</w:t>
                  </w:r>
                  <w:hyperlink r:id="rId4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use.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rHeight w:val="2520"/>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PO39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Boundary realignment results in lots which have appropriate size, dimensions and access to cater for uses consistent with the precinct.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3A348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overall outcomes for the General residential zone - Next generation neighbourhood precinct for uses consistent in this precinct.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E39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 sizes and dimensions (excluding an access handles) comply with:</w:t>
            </w:r>
          </w:p>
          <w:p w:rsidR="00406D9C" w:rsidRPr="00406D9C" w:rsidRDefault="00406D9C" w:rsidP="00406D9C">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for land within the Morayfield South urban area identified on </w:t>
            </w:r>
            <w:hyperlink r:id="rId50" w:anchor="ID-364412-657812" w:history="1">
              <w:r w:rsidRPr="00406D9C">
                <w:rPr>
                  <w:rFonts w:ascii="Arial" w:eastAsia="Times New Roman" w:hAnsi="Arial" w:cs="Arial"/>
                  <w:color w:val="0000FF"/>
                  <w:sz w:val="20"/>
                  <w:szCs w:val="20"/>
                  <w:lang w:eastAsia="en-AU"/>
                </w:rPr>
                <w:t>‘Figure 9.4.1.3.2.1 Morayfield South urban area’</w:t>
              </w:r>
            </w:hyperlink>
            <w:r w:rsidRPr="00406D9C">
              <w:rPr>
                <w:rFonts w:ascii="Arial" w:eastAsia="Times New Roman" w:hAnsi="Arial" w:cs="Arial"/>
                <w:sz w:val="20"/>
                <w:szCs w:val="20"/>
                <w:lang w:eastAsia="en-AU"/>
              </w:rPr>
              <w:t xml:space="preserve">, lot sizes comply with Lot Types A or E in accordance with </w:t>
            </w:r>
            <w:hyperlink r:id="rId51"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Lot Types; or </w:t>
            </w:r>
          </w:p>
          <w:p w:rsidR="00406D9C" w:rsidRPr="00406D9C" w:rsidRDefault="00406D9C" w:rsidP="00406D9C">
            <w:pPr>
              <w:numPr>
                <w:ilvl w:val="0"/>
                <w:numId w:val="2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for</w:t>
            </w:r>
            <w:proofErr w:type="gramEnd"/>
            <w:r w:rsidRPr="00406D9C">
              <w:rPr>
                <w:rFonts w:ascii="Arial" w:eastAsia="Times New Roman" w:hAnsi="Arial" w:cs="Arial"/>
                <w:sz w:val="20"/>
                <w:szCs w:val="20"/>
                <w:lang w:eastAsia="en-AU"/>
              </w:rPr>
              <w:t xml:space="preserve"> all other areas, lot sizes and dimensions (excluding any access handles) comply with Lot Types A, B, C, D, E or F in accordance with </w:t>
            </w:r>
            <w:hyperlink r:id="rId52" w:anchor="ID-364412-662998" w:history="1">
              <w:r w:rsidRPr="00406D9C">
                <w:rPr>
                  <w:rFonts w:ascii="Arial" w:eastAsia="Times New Roman" w:hAnsi="Arial" w:cs="Arial"/>
                  <w:color w:val="0000FF"/>
                  <w:sz w:val="20"/>
                  <w:szCs w:val="20"/>
                  <w:lang w:eastAsia="en-AU"/>
                </w:rPr>
                <w:t>‘Table 9.4.1.3.2.3: Lot Types’</w:t>
              </w:r>
            </w:hyperlink>
            <w:r w:rsidRPr="00406D9C">
              <w:rPr>
                <w:rFonts w:ascii="Arial" w:eastAsia="Times New Roman" w:hAnsi="Arial" w:cs="Arial"/>
                <w:sz w:val="20"/>
                <w:szCs w:val="20"/>
                <w:lang w:eastAsia="en-AU"/>
              </w:rPr>
              <w:t xml:space="preserve">: Lot Types..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Reconfiguring existing development by Community Title</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Reconfiguring a lot which creates or amends a community title scheme as described in the </w:t>
            </w:r>
            <w:r w:rsidRPr="00406D9C">
              <w:rPr>
                <w:rFonts w:ascii="Arial" w:eastAsia="Times New Roman" w:hAnsi="Arial" w:cs="Arial"/>
                <w:i/>
                <w:iCs/>
                <w:sz w:val="20"/>
                <w:szCs w:val="20"/>
                <w:lang w:eastAsia="en-AU"/>
              </w:rPr>
              <w:t>Body Corporate and Community Management Act 199</w:t>
            </w:r>
            <w:r w:rsidRPr="00406D9C">
              <w:rPr>
                <w:rFonts w:ascii="Arial" w:eastAsia="Times New Roman" w:hAnsi="Arial" w:cs="Arial"/>
                <w:sz w:val="20"/>
                <w:szCs w:val="20"/>
                <w:lang w:eastAsia="en-AU"/>
              </w:rPr>
              <w:t xml:space="preserve">7 is undertaken in a way that does not result in existing uses on the land becoming unlawful or otherwise operating in a manner that is: </w:t>
            </w:r>
          </w:p>
          <w:p w:rsidR="00406D9C" w:rsidRPr="00406D9C" w:rsidRDefault="00406D9C" w:rsidP="00406D9C">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inconsistent with any approvals on which those uses rely; or</w:t>
            </w:r>
          </w:p>
          <w:p w:rsidR="00406D9C" w:rsidRPr="00406D9C" w:rsidRDefault="00406D9C" w:rsidP="00406D9C">
            <w:pPr>
              <w:numPr>
                <w:ilvl w:val="0"/>
                <w:numId w:val="24"/>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inconsistent</w:t>
            </w:r>
            <w:proofErr w:type="gramEnd"/>
            <w:r w:rsidRPr="00406D9C">
              <w:rPr>
                <w:rFonts w:ascii="Arial" w:eastAsia="Times New Roman" w:hAnsi="Arial" w:cs="Arial"/>
                <w:sz w:val="20"/>
                <w:szCs w:val="20"/>
                <w:lang w:eastAsia="en-AU"/>
              </w:rPr>
              <w:t xml:space="preserve"> with the requirements for accepted development applying to those uses at the time that they were established.</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rHeight w:val="2580"/>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Note -Examples of land uses becoming unlawful include, but are not limited to the following:</w:t>
                  </w:r>
                </w:p>
                <w:p w:rsidR="00406D9C" w:rsidRPr="00406D9C" w:rsidRDefault="00406D9C" w:rsidP="00406D9C">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Land on which a Dual occupancy</w:t>
                  </w:r>
                  <w:r w:rsidRPr="00406D9C">
                    <w:rPr>
                      <w:rFonts w:ascii="Arial" w:eastAsia="Times New Roman" w:hAnsi="Arial" w:cs="Arial"/>
                      <w:sz w:val="20"/>
                      <w:szCs w:val="20"/>
                      <w:vertAlign w:val="superscript"/>
                      <w:lang w:eastAsia="en-AU"/>
                    </w:rPr>
                    <w:t>(</w:t>
                  </w:r>
                  <w:hyperlink r:id="rId5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406D9C">
                      <w:rPr>
                        <w:rFonts w:ascii="Arial" w:eastAsia="Times New Roman" w:hAnsi="Arial" w:cs="Arial"/>
                        <w:color w:val="0000FF"/>
                        <w:sz w:val="20"/>
                        <w:szCs w:val="20"/>
                        <w:vertAlign w:val="superscript"/>
                        <w:lang w:eastAsia="en-AU"/>
                      </w:rPr>
                      <w:t>21</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has been established is reconfigured in a way that results in both dwellings no longer being on the one lot. The reconfiguring has the effect of transforming the development from a Dual occupancy</w:t>
                  </w:r>
                  <w:r w:rsidRPr="00406D9C">
                    <w:rPr>
                      <w:rFonts w:ascii="Arial" w:eastAsia="Times New Roman" w:hAnsi="Arial" w:cs="Arial"/>
                      <w:sz w:val="20"/>
                      <w:szCs w:val="20"/>
                      <w:vertAlign w:val="superscript"/>
                      <w:lang w:eastAsia="en-AU"/>
                    </w:rPr>
                    <w:t>(</w:t>
                  </w:r>
                  <w:hyperlink r:id="rId5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406D9C">
                      <w:rPr>
                        <w:rFonts w:ascii="Arial" w:eastAsia="Times New Roman" w:hAnsi="Arial" w:cs="Arial"/>
                        <w:color w:val="0000FF"/>
                        <w:sz w:val="20"/>
                        <w:szCs w:val="20"/>
                        <w:vertAlign w:val="superscript"/>
                        <w:lang w:eastAsia="en-AU"/>
                      </w:rPr>
                      <w:t>21</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to two separate Dwelling houses</w:t>
                  </w:r>
                  <w:r w:rsidRPr="00406D9C">
                    <w:rPr>
                      <w:rFonts w:ascii="Arial" w:eastAsia="Times New Roman" w:hAnsi="Arial" w:cs="Arial"/>
                      <w:sz w:val="20"/>
                      <w:szCs w:val="20"/>
                      <w:vertAlign w:val="superscript"/>
                      <w:lang w:eastAsia="en-AU"/>
                    </w:rPr>
                    <w:t>(</w:t>
                  </w:r>
                  <w:hyperlink r:id="rId5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at least one of which does not satisfy the requirements for accepted development applying to Dwelling houses. </w:t>
                  </w:r>
                </w:p>
                <w:p w:rsidR="00406D9C" w:rsidRPr="00406D9C" w:rsidRDefault="00406D9C" w:rsidP="00406D9C">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Land on which a Multiple dwelling</w:t>
                  </w:r>
                  <w:r w:rsidRPr="00406D9C">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406D9C">
                      <w:rPr>
                        <w:rFonts w:ascii="Arial" w:eastAsia="Times New Roman" w:hAnsi="Arial" w:cs="Arial"/>
                        <w:color w:val="0000FF"/>
                        <w:sz w:val="20"/>
                        <w:szCs w:val="20"/>
                        <w:vertAlign w:val="superscript"/>
                        <w:lang w:eastAsia="en-AU"/>
                      </w:rPr>
                      <w:t>49</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 </w:t>
                  </w:r>
                </w:p>
              </w:tc>
            </w:tr>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Reconfiguring by Lease</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Reconfiguring a lot which divides land or buildings by lease in a way that allows separate occupation or use of those facilities is undertaken in a way that does not result in existing uses on the land becoming unlawful or otherwise operating in a manner that is: </w:t>
            </w:r>
          </w:p>
          <w:p w:rsidR="00406D9C" w:rsidRPr="00406D9C" w:rsidRDefault="00406D9C" w:rsidP="00406D9C">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inconsistent with any approvals on which those uses rely; or</w:t>
            </w:r>
          </w:p>
          <w:p w:rsidR="00406D9C" w:rsidRPr="00406D9C" w:rsidRDefault="00406D9C" w:rsidP="00406D9C">
            <w:pPr>
              <w:numPr>
                <w:ilvl w:val="0"/>
                <w:numId w:val="26"/>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inconsistent</w:t>
            </w:r>
            <w:proofErr w:type="gramEnd"/>
            <w:r w:rsidRPr="00406D9C">
              <w:rPr>
                <w:rFonts w:ascii="Arial" w:eastAsia="Times New Roman" w:hAnsi="Arial" w:cs="Arial"/>
                <w:sz w:val="20"/>
                <w:szCs w:val="20"/>
                <w:lang w:eastAsia="en-AU"/>
              </w:rPr>
              <w:t xml:space="preserve"> with the requirements for accepted development applying to those uses at the time that they were established.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An example of a land use becoming unlawful is a Multiple dwelling</w:t>
                  </w:r>
                  <w:r w:rsidRPr="00406D9C">
                    <w:rPr>
                      <w:rFonts w:ascii="Arial" w:eastAsia="Times New Roman" w:hAnsi="Arial" w:cs="Arial"/>
                      <w:sz w:val="20"/>
                      <w:szCs w:val="20"/>
                      <w:vertAlign w:val="superscript"/>
                      <w:lang w:eastAsia="en-AU"/>
                    </w:rPr>
                    <w:t>(</w:t>
                  </w:r>
                  <w:hyperlink r:id="rId57" w:anchor="target-d60297e448163" w:tooltip="Multiple dwelling - Premises containing three or more dwellings for separate households." w:history="1">
                    <w:r w:rsidRPr="00406D9C">
                      <w:rPr>
                        <w:rFonts w:ascii="Arial" w:eastAsia="Times New Roman" w:hAnsi="Arial" w:cs="Arial"/>
                        <w:color w:val="0000FF"/>
                        <w:sz w:val="20"/>
                        <w:szCs w:val="20"/>
                        <w:vertAlign w:val="superscript"/>
                        <w:lang w:eastAsia="en-AU"/>
                      </w:rPr>
                      <w:t>49</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over which one or more leases have been created in a way that precludes lawful access to some of the required communal facilities. Some of the communal car parking facilities have been incorporated into lease areas while other leases are located in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w:t>
                  </w:r>
                  <w:proofErr w:type="gramStart"/>
                  <w:r w:rsidRPr="00406D9C">
                    <w:rPr>
                      <w:rFonts w:ascii="Arial" w:eastAsia="Times New Roman" w:hAnsi="Arial" w:cs="Arial"/>
                      <w:sz w:val="20"/>
                      <w:szCs w:val="20"/>
                      <w:lang w:eastAsia="en-AU"/>
                    </w:rPr>
                    <w:t>dwelling</w:t>
                  </w:r>
                  <w:r w:rsidRPr="00406D9C">
                    <w:rPr>
                      <w:rFonts w:ascii="Arial" w:eastAsia="Times New Roman" w:hAnsi="Arial" w:cs="Arial"/>
                      <w:sz w:val="20"/>
                      <w:szCs w:val="20"/>
                      <w:vertAlign w:val="superscript"/>
                      <w:lang w:eastAsia="en-AU"/>
                    </w:rPr>
                    <w:t>(</w:t>
                  </w:r>
                  <w:proofErr w:type="gramEnd"/>
                  <w:r w:rsidRPr="00406D9C">
                    <w:rPr>
                      <w:rFonts w:ascii="Arial" w:eastAsia="Times New Roman" w:hAnsi="Arial" w:cs="Arial"/>
                      <w:sz w:val="20"/>
                      <w:szCs w:val="20"/>
                      <w:vertAlign w:val="superscript"/>
                      <w:lang w:eastAsia="en-AU"/>
                    </w:rPr>
                    <w:fldChar w:fldCharType="begin"/>
                  </w:r>
                  <w:r w:rsidRPr="00406D9C">
                    <w:rPr>
                      <w:rFonts w:ascii="Arial" w:eastAsia="Times New Roman" w:hAnsi="Arial" w:cs="Arial"/>
                      <w:sz w:val="20"/>
                      <w:szCs w:val="20"/>
                      <w:vertAlign w:val="superscript"/>
                      <w:lang w:eastAsia="en-AU"/>
                    </w:rPr>
                    <w:instrText xml:space="preserve"> HYPERLINK "http://consult.moretonbay.qld.gov.au/portal/mbrcpsv3?pointId=s1332743658181" \l "target-d60297e448163" \o "Multiple dwelling - Premises containing three or more dwellings for separate households." </w:instrText>
                  </w:r>
                  <w:r w:rsidRPr="00406D9C">
                    <w:rPr>
                      <w:rFonts w:ascii="Arial" w:eastAsia="Times New Roman" w:hAnsi="Arial" w:cs="Arial"/>
                      <w:sz w:val="20"/>
                      <w:szCs w:val="20"/>
                      <w:vertAlign w:val="superscript"/>
                      <w:lang w:eastAsia="en-AU"/>
                    </w:rPr>
                    <w:fldChar w:fldCharType="separate"/>
                  </w:r>
                  <w:r w:rsidRPr="00406D9C">
                    <w:rPr>
                      <w:rFonts w:ascii="Arial" w:eastAsia="Times New Roman" w:hAnsi="Arial" w:cs="Arial"/>
                      <w:color w:val="0000FF"/>
                      <w:sz w:val="20"/>
                      <w:szCs w:val="20"/>
                      <w:vertAlign w:val="superscript"/>
                      <w:lang w:eastAsia="en-AU"/>
                    </w:rPr>
                    <w:t>49</w:t>
                  </w:r>
                  <w:r w:rsidRPr="00406D9C">
                    <w:rPr>
                      <w:rFonts w:ascii="Arial" w:eastAsia="Times New Roman" w:hAnsi="Arial" w:cs="Arial"/>
                      <w:sz w:val="20"/>
                      <w:szCs w:val="20"/>
                      <w:vertAlign w:val="superscript"/>
                      <w:lang w:eastAsia="en-AU"/>
                    </w:rPr>
                    <w:fldChar w:fldCharType="end"/>
                  </w:r>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w:t>
                  </w:r>
                </w:p>
              </w:tc>
            </w:tr>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-To satisfy this performance outcome, the development application may need to be supported by details that confirm that the land use still satisfies all relevant land use requirements. </w:t>
                  </w:r>
                </w:p>
              </w:tc>
            </w:tr>
          </w:tbl>
          <w:p w:rsidR="00406D9C" w:rsidRPr="00406D9C" w:rsidRDefault="00406D9C" w:rsidP="00406D9C">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78"/>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Under the definition in Schedule 2 of the Act, the following do not constitute reconfiguring a lot and are not subject to this performance outcome: </w:t>
                  </w:r>
                </w:p>
                <w:p w:rsidR="00406D9C" w:rsidRPr="00406D9C" w:rsidRDefault="00406D9C" w:rsidP="00406D9C">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a lease for a term, including renewal options, not exceeding 10 years; and</w:t>
                  </w:r>
                </w:p>
                <w:p w:rsidR="00406D9C" w:rsidRPr="00406D9C" w:rsidRDefault="00406D9C" w:rsidP="00406D9C">
                  <w:pPr>
                    <w:numPr>
                      <w:ilvl w:val="0"/>
                      <w:numId w:val="27"/>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an</w:t>
                  </w:r>
                  <w:proofErr w:type="gramEnd"/>
                  <w:r w:rsidRPr="00406D9C">
                    <w:rPr>
                      <w:rFonts w:ascii="Arial" w:eastAsia="Times New Roman" w:hAnsi="Arial" w:cs="Arial"/>
                      <w:sz w:val="20"/>
                      <w:szCs w:val="20"/>
                      <w:lang w:eastAsia="en-AU"/>
                    </w:rPr>
                    <w:t xml:space="preserve"> agreement for the exclusive use of part of the common property for a community titles scheme under the </w:t>
                  </w:r>
                  <w:r w:rsidRPr="00406D9C">
                    <w:rPr>
                      <w:rFonts w:ascii="Arial" w:eastAsia="Times New Roman" w:hAnsi="Arial" w:cs="Arial"/>
                      <w:i/>
                      <w:iCs/>
                      <w:sz w:val="20"/>
                      <w:szCs w:val="20"/>
                      <w:lang w:eastAsia="en-AU"/>
                    </w:rPr>
                    <w:t>Body Corporate and Community Management Act 1997</w:t>
                  </w:r>
                  <w:r w:rsidRPr="00406D9C">
                    <w:rPr>
                      <w:rFonts w:ascii="Arial" w:eastAsia="Times New Roman" w:hAnsi="Arial" w:cs="Arial"/>
                      <w:sz w:val="20"/>
                      <w:szCs w:val="20"/>
                      <w:lang w:eastAsia="en-AU"/>
                    </w:rPr>
                    <w:t xml:space="preserv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Volumetric subdivision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rHeight w:val="3660"/>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PO42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reconfiguring of the space above or below the surface of the land ensures appropriate area, dimensions and access arrangements to cater for uses consistent with the precinct and does not result in existing land uses on-site becoming non-complying with planning scheme criteria.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Examples may include but are not limited to:</w:t>
                  </w:r>
                </w:p>
                <w:p w:rsidR="00406D9C" w:rsidRPr="00406D9C" w:rsidRDefault="00406D9C" w:rsidP="00406D9C">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where a Dwelling house</w:t>
                  </w:r>
                  <w:r w:rsidRPr="00406D9C">
                    <w:rPr>
                      <w:rFonts w:ascii="Arial" w:eastAsia="Times New Roman" w:hAnsi="Arial" w:cs="Arial"/>
                      <w:sz w:val="20"/>
                      <w:szCs w:val="20"/>
                      <w:vertAlign w:val="superscript"/>
                      <w:lang w:eastAsia="en-AU"/>
                    </w:rPr>
                    <w:t>(</w:t>
                  </w:r>
                  <w:hyperlink r:id="rId5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includes a secondary dwelling or associated outbuildings, they cannot be separately titled as they are dependent on the Dwelling house</w:t>
                  </w:r>
                  <w:r w:rsidRPr="00406D9C">
                    <w:rPr>
                      <w:rFonts w:ascii="Arial" w:eastAsia="Times New Roman" w:hAnsi="Arial" w:cs="Arial"/>
                      <w:sz w:val="20"/>
                      <w:szCs w:val="20"/>
                      <w:vertAlign w:val="superscript"/>
                      <w:lang w:eastAsia="en-AU"/>
                    </w:rPr>
                    <w:t>(</w:t>
                  </w:r>
                  <w:hyperlink r:id="rId5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406D9C">
                      <w:rPr>
                        <w:rFonts w:ascii="Arial" w:eastAsia="Times New Roman" w:hAnsi="Arial" w:cs="Arial"/>
                        <w:color w:val="0000FF"/>
                        <w:sz w:val="20"/>
                        <w:szCs w:val="20"/>
                        <w:vertAlign w:val="superscript"/>
                        <w:lang w:eastAsia="en-AU"/>
                      </w:rPr>
                      <w:t>22</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use.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Reticulated supply</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Each lot is provided with an appropriate level of service and infrastructure commensurate with the precinct. All services, including water supply, stormwater management, sewage disposal, stormwater disposal, drainage, electricity, telecommunications and gas (if available) are provided in a manner that: </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is efficient in delivery of service;</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is effective in delivery of service;</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is conveniently accessible in the event of maintenance or repair;</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minimises whole of life cycle costs for that infrastructure;</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minimises risk of potential adverse impacts on the natural and built environment;</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minimises risk of potential adverse impact on amenity and character values;</w:t>
            </w:r>
          </w:p>
          <w:p w:rsidR="00406D9C" w:rsidRPr="00406D9C" w:rsidRDefault="00406D9C" w:rsidP="00406D9C">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lastRenderedPageBreak/>
              <w:t>recognises</w:t>
            </w:r>
            <w:proofErr w:type="gramEnd"/>
            <w:r w:rsidRPr="00406D9C">
              <w:rPr>
                <w:rFonts w:ascii="Arial" w:eastAsia="Times New Roman" w:hAnsi="Arial" w:cs="Arial"/>
                <w:sz w:val="20"/>
                <w:szCs w:val="20"/>
                <w:lang w:eastAsia="en-AU"/>
              </w:rPr>
              <w:t xml:space="preserve"> and promotes Councils Total Water Cycle Management policy and the efficient use of water resources.</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E43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provided with:</w:t>
            </w:r>
          </w:p>
          <w:p w:rsidR="00406D9C" w:rsidRPr="00406D9C" w:rsidRDefault="00406D9C" w:rsidP="00406D9C">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connection to the reticulated water supply infrastructure network;</w:t>
            </w:r>
          </w:p>
          <w:p w:rsidR="00406D9C" w:rsidRPr="00406D9C" w:rsidRDefault="00406D9C" w:rsidP="00406D9C">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connection to the sewerage infrastructure network;</w:t>
            </w:r>
          </w:p>
          <w:p w:rsidR="00406D9C" w:rsidRPr="00406D9C" w:rsidRDefault="00406D9C" w:rsidP="00406D9C">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connection to the reticulated electricity infrastructure network; and</w:t>
            </w:r>
          </w:p>
          <w:p w:rsidR="00406D9C" w:rsidRPr="00406D9C" w:rsidRDefault="00406D9C" w:rsidP="00406D9C">
            <w:pPr>
              <w:numPr>
                <w:ilvl w:val="0"/>
                <w:numId w:val="3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w:t>
            </w:r>
            <w:proofErr w:type="gramEnd"/>
            <w:r w:rsidRPr="00406D9C">
              <w:rPr>
                <w:rFonts w:ascii="Arial" w:eastAsia="Times New Roman" w:hAnsi="Arial" w:cs="Arial"/>
                <w:sz w:val="20"/>
                <w:szCs w:val="20"/>
                <w:lang w:eastAsia="en-AU"/>
              </w:rPr>
              <w:t xml:space="preserve"> physical connection to the telecommunication network, that where available to the land is part of the high speed broadband network.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Stormwater location and design</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development is planned and designed considering the land use constraints of the site and incorporates water sensitive urban design principles. </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rHeight w:val="2040"/>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Stormwater drainage pipes and structures through or within private land are protected by easements in favour of Council with sufficient area for practical access for maintenance.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3A348B">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Planning scheme policy - Integrated design for guidance on how to demonstrate achievement of this performance outcome.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Stormwater management facilities are located outside of riparian areas and prevent increased channel bed and bank erosion.</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Natural streams and riparian vegetation are retained and enhanced through revegetation.</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Areas constructed as detention basins are adaptable for passive recreation.</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PO49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Development maintains the environmental values of waterway ecosystems.</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PO50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Constructed water bodies are not dedicated as public assets.</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10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Stormwater management system</w:t>
            </w:r>
          </w:p>
        </w:tc>
        <w:tc>
          <w:tcPr>
            <w:tcW w:w="5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major drainage system has the capacity to safely convey stormwater flows for the defined flood event.</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E51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roads, drainage pathways, drainage features and waterways safely convey the stormwater flows for the defined flood event without allowing flows to encroach upon private lots. </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Overland flow paths (for any storm event) from newly constructed roads and public open space areas do not pass through private lots. </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E52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Drainage pathways are provided to accommodate overland flows from roads and public open space areas</w:t>
            </w:r>
            <w:r w:rsidRPr="00406D9C">
              <w:rPr>
                <w:rFonts w:ascii="Arial" w:eastAsia="Times New Roman" w:hAnsi="Arial" w:cs="Arial"/>
                <w:i/>
                <w:iCs/>
                <w:sz w:val="20"/>
                <w:szCs w:val="20"/>
                <w:lang w:eastAsia="en-AU"/>
              </w:rPr>
              <w:t>.</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rHeight w:val="5415"/>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PO53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located within the Upper Pine, Hays Inlet and Burpengary Creek catchments, development achieves the greater pollutant removal of: </w:t>
            </w:r>
          </w:p>
          <w:p w:rsidR="00406D9C" w:rsidRPr="00406D9C" w:rsidRDefault="00406D9C" w:rsidP="00406D9C">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100% reductions in mean annual loads from unmitigated development for total suspended solids, total phosphorus, total nitrogen and gross pollutants &gt;5mm; </w:t>
            </w:r>
          </w:p>
          <w:p w:rsidR="00406D9C" w:rsidRPr="00406D9C" w:rsidRDefault="00406D9C" w:rsidP="00406D9C">
            <w:pPr>
              <w:numPr>
                <w:ilvl w:val="0"/>
                <w:numId w:val="31"/>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the</w:t>
            </w:r>
            <w:proofErr w:type="gramEnd"/>
            <w:r w:rsidRPr="00406D9C">
              <w:rPr>
                <w:rFonts w:ascii="Arial" w:eastAsia="Times New Roman" w:hAnsi="Arial" w:cs="Arial"/>
                <w:sz w:val="20"/>
                <w:szCs w:val="20"/>
                <w:lang w:eastAsia="en-AU"/>
              </w:rPr>
              <w:t xml:space="preserve"> stormwater management design objectives relevant for Moreton Bay Regional Council identified in Table A and B in Appendix 3 of the SPP.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Planning Scheme Policy – Stormwater Management, Planning Scheme Policy - Integrated Design and considering any local area stormwater management planning prepared by Council. </w:t>
                  </w:r>
                </w:p>
              </w:tc>
            </w:tr>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Overlay map - Stormwater catchments for catchment boundaries.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located outside the Upper Pine, Hays Inlet and Burpengary Creek catchments, development achieves the stormwater management design objectives relevant for Moreton Bay Regional Council identified in Tables A and B in Appendix 2 of the SPP.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To demonstrate compliance with this PO a stormwater quality management plan is to be prepared by a suitable qualified person demonstrating compliance with the Urban Stormwater Planning Guideline 2010 and </w:t>
                  </w:r>
                  <w:r w:rsidRPr="00406D9C">
                    <w:rPr>
                      <w:rFonts w:ascii="Arial" w:eastAsia="Times New Roman" w:hAnsi="Arial" w:cs="Arial"/>
                      <w:sz w:val="20"/>
                      <w:szCs w:val="20"/>
                      <w:lang w:eastAsia="en-AU"/>
                    </w:rPr>
                    <w:lastRenderedPageBreak/>
                    <w:t xml:space="preserve">considering any local area stormwater management planning prepared by Council. </w:t>
                  </w:r>
                </w:p>
              </w:tc>
            </w:tr>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Note - Refer to Overlay map - Stormwater catchments for catchment boundaries.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PO55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stormwater management system is designed to:</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protect the environmental values in downstream waterways;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maintain ground water recharge areas;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preserve existing natural wetlands and associated vegetation buffers;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avoid disturbing soils or sediments;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avoid altering the natural hydrologic regime in acid sulphate soil and nutrient hazardous areas;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maintain and improve receiving water quality;</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protect natural waterway configuration;</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protect downstream and adjacent properties;</w:t>
            </w:r>
          </w:p>
          <w:p w:rsidR="00406D9C" w:rsidRPr="00406D9C" w:rsidRDefault="00406D9C" w:rsidP="00406D9C">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protect</w:t>
            </w:r>
            <w:proofErr w:type="gramEnd"/>
            <w:r w:rsidRPr="00406D9C">
              <w:rPr>
                <w:rFonts w:ascii="Arial" w:eastAsia="Times New Roman" w:hAnsi="Arial" w:cs="Arial"/>
                <w:sz w:val="20"/>
                <w:szCs w:val="20"/>
                <w:lang w:eastAsia="en-AU"/>
              </w:rPr>
              <w:t xml:space="preserve"> and enhance riparian areas.</w:t>
            </w: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Design and construction of the stormwater management system:</w:t>
            </w:r>
          </w:p>
          <w:p w:rsidR="00406D9C" w:rsidRPr="00406D9C" w:rsidRDefault="00406D9C" w:rsidP="00406D9C">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utilise methods and materials to minimise the whole of lifecycle costs of the stormwater management system;</w:t>
            </w:r>
          </w:p>
          <w:p w:rsidR="00406D9C" w:rsidRPr="00406D9C" w:rsidRDefault="00406D9C" w:rsidP="00406D9C">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are</w:t>
            </w:r>
            <w:proofErr w:type="gramEnd"/>
            <w:r w:rsidRPr="00406D9C">
              <w:rPr>
                <w:rFonts w:ascii="Arial" w:eastAsia="Times New Roman" w:hAnsi="Arial" w:cs="Arial"/>
                <w:sz w:val="20"/>
                <w:szCs w:val="20"/>
                <w:lang w:eastAsia="en-AU"/>
              </w:rPr>
              <w:t xml:space="preserve"> coordinated with civil and other landscaping works.</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406D9C" w:rsidRPr="00406D9C" w:rsidTr="002B5857">
              <w:trPr>
                <w:tblCellSpacing w:w="15" w:type="dxa"/>
              </w:trPr>
              <w:tc>
                <w:tcPr>
                  <w:tcW w:w="469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Refer to Planning scheme policy - Integrated design for guidance on how to demonstrate achievement of this performance outcome.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7"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23"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bl>
    <w:p w:rsidR="00D775F2" w:rsidRDefault="00D775F2"/>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26"/>
        <w:gridCol w:w="4750"/>
        <w:gridCol w:w="1660"/>
        <w:gridCol w:w="4137"/>
      </w:tblGrid>
      <w:tr w:rsidR="00AE02EE" w:rsidRPr="00406D9C" w:rsidTr="00D775F2">
        <w:trPr>
          <w:tblCellSpacing w:w="15" w:type="dxa"/>
        </w:trPr>
        <w:tc>
          <w:tcPr>
            <w:tcW w:w="309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Native vegetation where not located in the Environmental areas overlay</w:t>
            </w:r>
          </w:p>
        </w:tc>
        <w:tc>
          <w:tcPr>
            <w:tcW w:w="531"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facilitates the retention of native vegetation by:</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incorporating native vegetation and habitat trees into the overall subdivision design, development layout, on-street amenity and landscaping where practicable; </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ensuring</w:t>
            </w:r>
            <w:proofErr w:type="gramEnd"/>
            <w:r w:rsidRPr="00406D9C">
              <w:rPr>
                <w:rFonts w:ascii="Arial" w:eastAsia="Times New Roman" w:hAnsi="Arial" w:cs="Arial"/>
                <w:sz w:val="20"/>
                <w:szCs w:val="20"/>
                <w:lang w:eastAsia="en-AU"/>
              </w:rPr>
              <w:t xml:space="preserve">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 </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providing safe, unimpeded, convenient and ongoing wildlife movement;</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avoiding</w:t>
            </w:r>
            <w:proofErr w:type="gramEnd"/>
            <w:r w:rsidRPr="00406D9C">
              <w:rPr>
                <w:rFonts w:ascii="Arial" w:eastAsia="Times New Roman" w:hAnsi="Arial" w:cs="Arial"/>
                <w:sz w:val="20"/>
                <w:szCs w:val="20"/>
                <w:lang w:eastAsia="en-AU"/>
              </w:rPr>
              <w:t xml:space="preserve"> creating fragmented and isolated patches of native vegetation.</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ensuring that biodiversity quality and integrity of habitats is not adversely impacted upon but are maintained and protected;</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ensuring that soil erosion and land degradation does not occur;</w:t>
            </w:r>
          </w:p>
          <w:p w:rsidR="00406D9C" w:rsidRPr="00406D9C" w:rsidRDefault="00406D9C" w:rsidP="00406D9C">
            <w:pPr>
              <w:numPr>
                <w:ilvl w:val="0"/>
                <w:numId w:val="34"/>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ensuring</w:t>
            </w:r>
            <w:proofErr w:type="gramEnd"/>
            <w:r w:rsidRPr="00406D9C">
              <w:rPr>
                <w:rFonts w:ascii="Arial" w:eastAsia="Times New Roman" w:hAnsi="Arial" w:cs="Arial"/>
                <w:sz w:val="20"/>
                <w:szCs w:val="20"/>
                <w:lang w:eastAsia="en-AU"/>
              </w:rPr>
              <w:t xml:space="preserve"> that quality of surface water is not adversely impacted upon by providing effective vegetated buffers to water bodies.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rHeight w:val="195"/>
          <w:tblCellSpacing w:w="15" w:type="dxa"/>
        </w:trPr>
        <w:tc>
          <w:tcPr>
            <w:tcW w:w="3096"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Noise</w:t>
            </w:r>
          </w:p>
        </w:tc>
        <w:tc>
          <w:tcPr>
            <w:tcW w:w="531"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shd w:val="clear" w:color="auto" w:fill="CCCCCC"/>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Noise attenuation structure (e.g. walls, barriers or fences):</w:t>
            </w:r>
          </w:p>
          <w:p w:rsidR="00406D9C" w:rsidRPr="00406D9C" w:rsidRDefault="00406D9C" w:rsidP="00406D9C">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contribute to safe and usable public spaces, through maintaining high levels of surveillance of parks, streets and roads that serve active </w:t>
            </w:r>
            <w:r w:rsidRPr="00406D9C">
              <w:rPr>
                <w:rFonts w:ascii="Arial" w:eastAsia="Times New Roman" w:hAnsi="Arial" w:cs="Arial"/>
                <w:sz w:val="20"/>
                <w:szCs w:val="20"/>
                <w:lang w:eastAsia="en-AU"/>
              </w:rPr>
              <w:lastRenderedPageBreak/>
              <w:t xml:space="preserve">transport purposes (e.g. existing or future pedestrian paths or cycle lanes </w:t>
            </w:r>
            <w:proofErr w:type="spellStart"/>
            <w:r w:rsidRPr="00406D9C">
              <w:rPr>
                <w:rFonts w:ascii="Arial" w:eastAsia="Times New Roman" w:hAnsi="Arial" w:cs="Arial"/>
                <w:sz w:val="20"/>
                <w:szCs w:val="20"/>
                <w:lang w:eastAsia="en-AU"/>
              </w:rPr>
              <w:t>etc</w:t>
            </w:r>
            <w:proofErr w:type="spellEnd"/>
            <w:r w:rsidRPr="00406D9C">
              <w:rPr>
                <w:rFonts w:ascii="Arial" w:eastAsia="Times New Roman" w:hAnsi="Arial" w:cs="Arial"/>
                <w:sz w:val="20"/>
                <w:szCs w:val="20"/>
                <w:lang w:eastAsia="en-AU"/>
              </w:rPr>
              <w:t xml:space="preserve">); </w:t>
            </w:r>
          </w:p>
          <w:p w:rsidR="00406D9C" w:rsidRPr="00406D9C" w:rsidRDefault="00406D9C" w:rsidP="00406D9C">
            <w:pPr>
              <w:numPr>
                <w:ilvl w:val="0"/>
                <w:numId w:val="35"/>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maintain</w:t>
            </w:r>
            <w:proofErr w:type="gramEnd"/>
            <w:r w:rsidRPr="00406D9C">
              <w:rPr>
                <w:rFonts w:ascii="Arial" w:eastAsia="Times New Roman" w:hAnsi="Arial" w:cs="Arial"/>
                <w:sz w:val="20"/>
                <w:szCs w:val="20"/>
                <w:lang w:eastAsia="en-AU"/>
              </w:rPr>
              <w:t xml:space="preserve"> the amenity of the streetscape.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A noise impact assessment may be required to demonstrate compliance with this PO.  Noise impact assessments are to be prepared in accordance with Planning scheme policy - Noise. </w:t>
                  </w:r>
                </w:p>
              </w:tc>
            </w:tr>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details and examples of noise attenuation structures.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E58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Noise attenuation structures (e.g. walls, barriers or fences):</w:t>
            </w:r>
          </w:p>
          <w:p w:rsidR="00406D9C" w:rsidRPr="00406D9C" w:rsidRDefault="00406D9C" w:rsidP="00406D9C">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are not visible from an adjoining road or public area unless;</w:t>
            </w:r>
          </w:p>
          <w:p w:rsidR="00406D9C" w:rsidRPr="00406D9C" w:rsidRDefault="00406D9C" w:rsidP="003A348B">
            <w:pPr>
              <w:numPr>
                <w:ilvl w:val="0"/>
                <w:numId w:val="37"/>
              </w:numPr>
              <w:spacing w:before="100" w:beforeAutospacing="1" w:after="100" w:afterAutospacing="1" w:line="240" w:lineRule="auto"/>
              <w:ind w:left="734"/>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adjoining a motorway or rail line; or</w:t>
            </w:r>
          </w:p>
          <w:p w:rsidR="00406D9C" w:rsidRPr="00406D9C" w:rsidRDefault="00406D9C" w:rsidP="003A348B">
            <w:pPr>
              <w:numPr>
                <w:ilvl w:val="0"/>
                <w:numId w:val="37"/>
              </w:numPr>
              <w:spacing w:before="100" w:beforeAutospacing="1" w:after="100" w:afterAutospacing="1" w:line="240" w:lineRule="auto"/>
              <w:ind w:left="734"/>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adjoining</w:t>
            </w:r>
            <w:proofErr w:type="gramEnd"/>
            <w:r w:rsidRPr="00406D9C">
              <w:rPr>
                <w:rFonts w:ascii="Arial" w:eastAsia="Times New Roman" w:hAnsi="Arial" w:cs="Arial"/>
                <w:sz w:val="20"/>
                <w:szCs w:val="20"/>
                <w:lang w:eastAsia="en-AU"/>
              </w:rPr>
              <w:t xml:space="preserve"> part of an arterial road that does not serve an existing or future active transport purpose (e.g. pedestrian paths or cycle lanes) or where attenuation through building location and materials is not possible.  </w:t>
            </w:r>
          </w:p>
          <w:p w:rsidR="00406D9C" w:rsidRPr="00406D9C" w:rsidRDefault="00406D9C" w:rsidP="00406D9C">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do not remove existing or prevent future active transport routes or connections to the street network;</w:t>
            </w:r>
          </w:p>
          <w:p w:rsidR="00406D9C" w:rsidRPr="00406D9C" w:rsidRDefault="00406D9C" w:rsidP="00406D9C">
            <w:pPr>
              <w:numPr>
                <w:ilvl w:val="0"/>
                <w:numId w:val="38"/>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are</w:t>
            </w:r>
            <w:proofErr w:type="gramEnd"/>
            <w:r w:rsidRPr="00406D9C">
              <w:rPr>
                <w:rFonts w:ascii="Arial" w:eastAsia="Times New Roman" w:hAnsi="Arial" w:cs="Arial"/>
                <w:sz w:val="20"/>
                <w:szCs w:val="20"/>
                <w:lang w:eastAsia="en-AU"/>
              </w:rPr>
              <w:t xml:space="preserve"> located, constructed and landscaped in accordance with Planning scheme policy - Integrated design.</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details and examples of noise attenuation structures.</w:t>
                  </w:r>
                </w:p>
              </w:tc>
            </w:tr>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Overlay map – Active transport for future active transport routes.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D775F2" w:rsidRDefault="00D775F2"/>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08"/>
        <w:gridCol w:w="4732"/>
        <w:gridCol w:w="1653"/>
        <w:gridCol w:w="4180"/>
      </w:tblGrid>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B5857" w:rsidRPr="00406D9C" w:rsidTr="00AE02EE">
              <w:trPr>
                <w:tblCellSpacing w:w="15" w:type="dxa"/>
              </w:trPr>
              <w:tc>
                <w:tcPr>
                  <w:tcW w:w="15100" w:type="dxa"/>
                  <w:shd w:val="clear" w:color="auto" w:fill="CCCCCC"/>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2B5857" w:rsidRPr="00406D9C" w:rsidRDefault="002B5857" w:rsidP="00406D9C">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0"/>
            </w:tblGrid>
            <w:tr w:rsidR="002B5857" w:rsidRPr="00406D9C" w:rsidTr="00AE02EE">
              <w:trPr>
                <w:tblCellSpacing w:w="15" w:type="dxa"/>
              </w:trPr>
              <w:tc>
                <w:tcPr>
                  <w:tcW w:w="15100" w:type="dxa"/>
                  <w:shd w:val="clear" w:color="auto" w:fill="CCCCCC"/>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PO59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designed to:</w:t>
            </w:r>
          </w:p>
          <w:p w:rsidR="00406D9C" w:rsidRPr="00406D9C" w:rsidRDefault="00406D9C" w:rsidP="00406D9C">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 the risk from bushfire hazard to each lot and provide the safest possible siting for buildings and structures;</w:t>
            </w:r>
          </w:p>
          <w:p w:rsidR="00406D9C" w:rsidRPr="00406D9C" w:rsidRDefault="00406D9C" w:rsidP="00406D9C">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limit the possible spread paths of bushfire within the reconfiguring;</w:t>
            </w:r>
          </w:p>
          <w:p w:rsidR="00406D9C" w:rsidRPr="00406D9C" w:rsidRDefault="00406D9C" w:rsidP="00406D9C">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achieve sufficient separation distance between development and hazardous vegetation to minimise the risk to future buildings and structures during bushfire events; </w:t>
            </w:r>
          </w:p>
          <w:p w:rsidR="00406D9C" w:rsidRPr="00406D9C" w:rsidRDefault="00406D9C" w:rsidP="00406D9C">
            <w:pPr>
              <w:numPr>
                <w:ilvl w:val="0"/>
                <w:numId w:val="3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maintain</w:t>
            </w:r>
            <w:proofErr w:type="gramEnd"/>
            <w:r w:rsidRPr="00406D9C">
              <w:rPr>
                <w:rFonts w:ascii="Arial" w:eastAsia="Times New Roman" w:hAnsi="Arial" w:cs="Arial"/>
                <w:sz w:val="20"/>
                <w:szCs w:val="20"/>
                <w:lang w:eastAsia="en-AU"/>
              </w:rPr>
              <w:t xml:space="preserve"> the required level of functionality for emergency services and uses during and immediately after a natural hazard event.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E59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Reconfiguring a lot ensures that all new lots are of an appropriate size, shape and layout to allow for the siting of future buildings being located: </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within an appropriate development footprint;</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within the lowest hazard locations on a lot;</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to achieve minimum separation between development or development footprint and any source of bushfire hazard of 20m or the distance required to achieve a Bushfire Attack Level BAL (as identified under AS3959-2009), whichever is the greater; </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to achieve a minimum separation between development or development footprint and any retained vegetation strips or small areas of vegetation of 10m or the distance required to achieve a Bushfire Attack Level BAL (as identified under AS3959-2009), whichever is the greater; </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away from ridgelines and hilltops;</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on land with a slope of less than 15%;</w:t>
            </w:r>
          </w:p>
          <w:p w:rsidR="00406D9C" w:rsidRPr="00406D9C" w:rsidRDefault="00406D9C" w:rsidP="00406D9C">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away</w:t>
            </w:r>
            <w:proofErr w:type="gramEnd"/>
            <w:r w:rsidRPr="00406D9C">
              <w:rPr>
                <w:rFonts w:ascii="Arial" w:eastAsia="Times New Roman" w:hAnsi="Arial" w:cs="Arial"/>
                <w:sz w:val="20"/>
                <w:szCs w:val="20"/>
                <w:lang w:eastAsia="en-AU"/>
              </w:rPr>
              <w:t xml:space="preserve"> from north to west facing slopes.</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PO60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provide adequate water supply and infrastructure to support fire-fighting.</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E60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For water supply purposes, reconfiguring a lot ensures that:</w:t>
            </w:r>
          </w:p>
          <w:p w:rsidR="00406D9C" w:rsidRPr="00406D9C" w:rsidRDefault="00406D9C" w:rsidP="00406D9C">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have access to a reticulated water supply  provided by a distributer retailer for the area; or</w:t>
            </w:r>
          </w:p>
          <w:p w:rsidR="00406D9C" w:rsidRPr="00406D9C" w:rsidRDefault="00406D9C" w:rsidP="00406D9C">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where</w:t>
            </w:r>
            <w:proofErr w:type="gramEnd"/>
            <w:r w:rsidRPr="00406D9C">
              <w:rPr>
                <w:rFonts w:ascii="Arial" w:eastAsia="Times New Roman" w:hAnsi="Arial" w:cs="Arial"/>
                <w:sz w:val="20"/>
                <w:szCs w:val="20"/>
                <w:lang w:eastAsia="en-AU"/>
              </w:rPr>
              <w:t xml:space="preserve"> no reticulated water supply is available, on-site fire fighting water storage containing not less than 10000 litres and located within a development footprint. </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rHeight w:val="2460"/>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PO61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designed to achieve:</w:t>
            </w:r>
          </w:p>
          <w:p w:rsidR="00406D9C" w:rsidRPr="00406D9C" w:rsidRDefault="00406D9C" w:rsidP="00406D9C">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safe site access by avoiding potential entrapment situations;</w:t>
            </w:r>
          </w:p>
          <w:p w:rsidR="00406D9C" w:rsidRPr="00406D9C" w:rsidRDefault="00406D9C" w:rsidP="00406D9C">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accessibility</w:t>
            </w:r>
            <w:proofErr w:type="gramEnd"/>
            <w:r w:rsidRPr="00406D9C">
              <w:rPr>
                <w:rFonts w:ascii="Arial" w:eastAsia="Times New Roman" w:hAnsi="Arial" w:cs="Arial"/>
                <w:sz w:val="20"/>
                <w:szCs w:val="20"/>
                <w:lang w:eastAsia="en-AU"/>
              </w:rPr>
              <w:t xml:space="preserve"> and manoeuvring for fire-fighting during bushfire.</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E61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ensures a new lot is provided with:</w:t>
            </w:r>
          </w:p>
          <w:p w:rsidR="00406D9C" w:rsidRPr="00406D9C" w:rsidRDefault="00406D9C" w:rsidP="00406D9C">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direct road access and egress to public roads;</w:t>
            </w:r>
          </w:p>
          <w:p w:rsidR="00406D9C" w:rsidRPr="00406D9C" w:rsidRDefault="00406D9C" w:rsidP="00406D9C">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an alternative access where the private driveway is longer than 100m to reach a public road;</w:t>
            </w:r>
          </w:p>
          <w:p w:rsidR="00406D9C" w:rsidRPr="00406D9C" w:rsidRDefault="00406D9C" w:rsidP="00406D9C">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driveway access to a public road that has a gradient no greater than 12.5%;</w:t>
            </w:r>
          </w:p>
          <w:p w:rsidR="00406D9C" w:rsidRPr="00406D9C" w:rsidRDefault="00406D9C" w:rsidP="00406D9C">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minimum</w:t>
            </w:r>
            <w:proofErr w:type="gramEnd"/>
            <w:r w:rsidRPr="00406D9C">
              <w:rPr>
                <w:rFonts w:ascii="Arial" w:eastAsia="Times New Roman" w:hAnsi="Arial" w:cs="Arial"/>
                <w:sz w:val="20"/>
                <w:szCs w:val="20"/>
                <w:lang w:eastAsia="en-AU"/>
              </w:rPr>
              <w:t xml:space="preserve"> width of 3.5m.</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 road layout and design supports:</w:t>
            </w:r>
          </w:p>
          <w:p w:rsidR="00406D9C" w:rsidRPr="00406D9C" w:rsidRDefault="00406D9C" w:rsidP="00406D9C">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safe and efficient emergency services access to all lots; and manoeuvring within the subdivision;</w:t>
            </w:r>
          </w:p>
          <w:p w:rsidR="00406D9C" w:rsidRPr="00406D9C" w:rsidRDefault="00406D9C" w:rsidP="00406D9C">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availability</w:t>
            </w:r>
            <w:proofErr w:type="gramEnd"/>
            <w:r w:rsidRPr="00406D9C">
              <w:rPr>
                <w:rFonts w:ascii="Arial" w:eastAsia="Times New Roman" w:hAnsi="Arial" w:cs="Arial"/>
                <w:sz w:val="20"/>
                <w:szCs w:val="20"/>
                <w:lang w:eastAsia="en-AU"/>
              </w:rPr>
              <w:t xml:space="preserve"> and maintenance of access routes for the purpose of safe evacuation.</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E62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provides a road layout which:</w:t>
            </w:r>
          </w:p>
          <w:p w:rsidR="00406D9C" w:rsidRPr="00406D9C" w:rsidRDefault="00406D9C" w:rsidP="00406D9C">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includes a perimeter road that separating the new lots from hazardous vegetation on adjacent lots incorporating by:</w:t>
            </w:r>
          </w:p>
          <w:p w:rsidR="00406D9C" w:rsidRPr="00406D9C" w:rsidRDefault="00406D9C" w:rsidP="00406D9C">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cleared width of 20m;</w:t>
            </w:r>
          </w:p>
          <w:p w:rsidR="00406D9C" w:rsidRPr="00406D9C" w:rsidRDefault="00406D9C" w:rsidP="00406D9C">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road gradients not exceeding 12.5%;</w:t>
            </w:r>
          </w:p>
          <w:p w:rsidR="00406D9C" w:rsidRPr="00406D9C" w:rsidRDefault="00406D9C" w:rsidP="00406D9C">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pavement and surface treatment capable of being used by emergency vehicles;</w:t>
            </w:r>
          </w:p>
          <w:p w:rsidR="00406D9C" w:rsidRPr="00406D9C" w:rsidRDefault="00406D9C" w:rsidP="00406D9C">
            <w:pPr>
              <w:numPr>
                <w:ilvl w:val="1"/>
                <w:numId w:val="45"/>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Turning areas for </w:t>
            </w:r>
            <w:proofErr w:type="spellStart"/>
            <w:r w:rsidRPr="00406D9C">
              <w:rPr>
                <w:rFonts w:ascii="Arial" w:eastAsia="Times New Roman" w:hAnsi="Arial" w:cs="Arial"/>
                <w:sz w:val="20"/>
                <w:szCs w:val="20"/>
                <w:lang w:eastAsia="en-AU"/>
              </w:rPr>
              <w:t>fire fighting</w:t>
            </w:r>
            <w:proofErr w:type="spellEnd"/>
            <w:r w:rsidRPr="00406D9C">
              <w:rPr>
                <w:rFonts w:ascii="Arial" w:eastAsia="Times New Roman" w:hAnsi="Arial" w:cs="Arial"/>
                <w:sz w:val="20"/>
                <w:szCs w:val="20"/>
                <w:lang w:eastAsia="en-AU"/>
              </w:rPr>
              <w:t xml:space="preserve"> appliances in accordance with Qld Fire and Emergency Services' Fire Hydrant and Vehicle Access Guidelines. </w:t>
            </w:r>
          </w:p>
          <w:p w:rsidR="00406D9C" w:rsidRPr="00406D9C" w:rsidRDefault="00406D9C" w:rsidP="00406D9C">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Or if the above is not practicable, a fire maintenance trail separates the lots from hazardous vegetation on adjacent lots incorporating: </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minimum cleared width of 6m and minimum formed width of 4m;</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gradient not exceeding 12.5%;</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cross slope not exceeding 10%;</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a formed width and erosion control devices to the standards specified in </w:t>
            </w:r>
            <w:r w:rsidRPr="00406D9C">
              <w:rPr>
                <w:rFonts w:ascii="Arial" w:eastAsia="Times New Roman" w:hAnsi="Arial" w:cs="Arial"/>
                <w:sz w:val="20"/>
                <w:szCs w:val="20"/>
                <w:lang w:eastAsia="en-AU"/>
              </w:rPr>
              <w:lastRenderedPageBreak/>
              <w:t>Planning scheme policy - Integrated design;</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turning circle or turnaround area at the end of the trail to allow fire fighting vehicles to manoeuvre;</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passing bays and turning/reversing bays every 200m;</w:t>
            </w:r>
          </w:p>
          <w:p w:rsidR="00406D9C" w:rsidRPr="00406D9C" w:rsidRDefault="00406D9C" w:rsidP="00406D9C">
            <w:pPr>
              <w:numPr>
                <w:ilvl w:val="1"/>
                <w:numId w:val="46"/>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w:t>
            </w:r>
            <w:proofErr w:type="gramStart"/>
            <w:r w:rsidRPr="00406D9C">
              <w:rPr>
                <w:rFonts w:ascii="Arial" w:eastAsia="Times New Roman" w:hAnsi="Arial" w:cs="Arial"/>
                <w:sz w:val="20"/>
                <w:szCs w:val="20"/>
                <w:lang w:eastAsia="en-AU"/>
              </w:rPr>
              <w:t>an</w:t>
            </w:r>
            <w:proofErr w:type="gramEnd"/>
            <w:r w:rsidRPr="00406D9C">
              <w:rPr>
                <w:rFonts w:ascii="Arial" w:eastAsia="Times New Roman" w:hAnsi="Arial" w:cs="Arial"/>
                <w:sz w:val="20"/>
                <w:szCs w:val="20"/>
                <w:lang w:eastAsia="en-AU"/>
              </w:rPr>
              <w:t xml:space="preserve"> access easement that is granted in favour of the Council and the Queensland Fire and Rescue Service or located on public land. </w:t>
            </w:r>
          </w:p>
          <w:p w:rsidR="00406D9C" w:rsidRPr="00406D9C" w:rsidRDefault="00406D9C" w:rsidP="00406D9C">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excludes cul-de-sacs, except where a perimeter road with a cleared width of 20m isolates the lots from hazardous vegetation on adjacent lots; and </w:t>
            </w:r>
          </w:p>
          <w:p w:rsidR="00406D9C" w:rsidRPr="00406D9C" w:rsidRDefault="00406D9C" w:rsidP="00406D9C">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excludes</w:t>
            </w:r>
            <w:proofErr w:type="gramEnd"/>
            <w:r w:rsidRPr="00406D9C">
              <w:rPr>
                <w:rFonts w:ascii="Arial" w:eastAsia="Times New Roman" w:hAnsi="Arial" w:cs="Arial"/>
                <w:sz w:val="20"/>
                <w:szCs w:val="20"/>
                <w:lang w:eastAsia="en-AU"/>
              </w:rPr>
              <w:t xml:space="preserve"> dead-end roads.</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0"/>
            </w:tblGrid>
            <w:tr w:rsidR="002B5857" w:rsidRPr="00406D9C" w:rsidTr="00AE02EE">
              <w:trPr>
                <w:tblCellSpacing w:w="15" w:type="dxa"/>
              </w:trPr>
              <w:tc>
                <w:tcPr>
                  <w:tcW w:w="15100" w:type="dxa"/>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new boundaries are to be located within 2m of a High Value Area;</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designed to:</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minimise the extent of encroachment into the MLES waterway buffer or a MLES wetland buffer;</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ensure quality and integrity of biodiversity and ecological values is not adversely impacted upon but are maintained and protected;</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incorporate native vegetation and habitat trees into the overall subdivision design, development </w:t>
            </w:r>
            <w:r w:rsidRPr="00406D9C">
              <w:rPr>
                <w:rFonts w:ascii="Arial" w:eastAsia="Times New Roman" w:hAnsi="Arial" w:cs="Arial"/>
                <w:sz w:val="20"/>
                <w:szCs w:val="20"/>
                <w:lang w:eastAsia="en-AU"/>
              </w:rPr>
              <w:lastRenderedPageBreak/>
              <w:t xml:space="preserve">layout, on-street amenity and landscaping where practicable; </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provide safe, unimpeded, convenient and ongoing wildlife movement;</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avoid creating fragmented and isolated patches of native vegetation;</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ensuring that soil erosion and land degradation does not occur;</w:t>
            </w:r>
          </w:p>
          <w:p w:rsidR="00406D9C" w:rsidRPr="00406D9C" w:rsidRDefault="00406D9C" w:rsidP="00406D9C">
            <w:pPr>
              <w:numPr>
                <w:ilvl w:val="0"/>
                <w:numId w:val="47"/>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ensuring</w:t>
            </w:r>
            <w:proofErr w:type="gramEnd"/>
            <w:r w:rsidRPr="00406D9C">
              <w:rPr>
                <w:rFonts w:ascii="Arial" w:eastAsia="Times New Roman" w:hAnsi="Arial" w:cs="Arial"/>
                <w:sz w:val="20"/>
                <w:szCs w:val="20"/>
                <w:lang w:eastAsia="en-AU"/>
              </w:rPr>
              <w:t xml:space="preserve"> that quality of surface water is not adversely impacted upon by providing effective vegetated buffers to water bodies.</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AND</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Where development results in the unavoidable loss of native vegetation within a MLES waterway buffer or a MLES wetland buffer, an environmental offset is required in accordance with the environmental offset requirements identified in Planning scheme policy - Environmental areas.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E64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ensures that no additional lots are created within a Value Offset Area.</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26"/>
            </w:tblGrid>
            <w:tr w:rsidR="002B5857" w:rsidRPr="00406D9C" w:rsidTr="00AE02EE">
              <w:trPr>
                <w:tblCellSpacing w:w="15" w:type="dxa"/>
              </w:trPr>
              <w:tc>
                <w:tcPr>
                  <w:tcW w:w="11866" w:type="dxa"/>
                  <w:vAlign w:val="center"/>
                  <w:hideMark/>
                </w:tcPr>
                <w:p w:rsidR="002B5857" w:rsidRPr="00406D9C" w:rsidRDefault="002B5857" w:rsidP="003A348B">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provide a development footprint outside of the buffer.</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Access to a lot is not from an identified extractive industry transportation route, but to an alternative public road.</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Extractive resources separation area</w:t>
            </w:r>
            <w:r w:rsidRPr="00406D9C">
              <w:rPr>
                <w:rFonts w:ascii="Arial" w:eastAsia="Times New Roman" w:hAnsi="Arial" w:cs="Arial"/>
                <w:sz w:val="20"/>
                <w:szCs w:val="20"/>
                <w:lang w:eastAsia="en-AU"/>
              </w:rPr>
              <w:t xml:space="preserve"> </w:t>
            </w:r>
            <w:r w:rsidRPr="00406D9C">
              <w:rPr>
                <w:rFonts w:ascii="Arial" w:eastAsia="Times New Roman" w:hAnsi="Arial" w:cs="Arial"/>
                <w:b/>
                <w:bCs/>
                <w:sz w:val="20"/>
                <w:szCs w:val="20"/>
                <w:lang w:eastAsia="en-AU"/>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2B5857" w:rsidRPr="00406D9C" w:rsidTr="00AE02EE">
              <w:trPr>
                <w:tblCellSpacing w:w="15" w:type="dxa"/>
              </w:trPr>
              <w:tc>
                <w:tcPr>
                  <w:tcW w:w="11810" w:type="dxa"/>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Lots provide a development footprint outside of the separation area.</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2B5857" w:rsidRPr="00406D9C" w:rsidTr="002B585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870"/>
            </w:tblGrid>
            <w:tr w:rsidR="002B5857" w:rsidRPr="00406D9C" w:rsidTr="00AE02EE">
              <w:trPr>
                <w:trHeight w:val="270"/>
                <w:tblCellSpacing w:w="15" w:type="dxa"/>
              </w:trPr>
              <w:tc>
                <w:tcPr>
                  <w:tcW w:w="11810" w:type="dxa"/>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do not:</w:t>
            </w:r>
          </w:p>
          <w:p w:rsidR="00406D9C" w:rsidRPr="00406D9C" w:rsidRDefault="00406D9C" w:rsidP="00406D9C">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reduce public access to a heritage place, building, item or object;</w:t>
            </w:r>
          </w:p>
          <w:p w:rsidR="00406D9C" w:rsidRPr="00406D9C" w:rsidRDefault="00406D9C" w:rsidP="00406D9C">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create the potential to adversely affect views to and from the heritage place, building, item or object;</w:t>
            </w:r>
          </w:p>
          <w:p w:rsidR="00406D9C" w:rsidRPr="00406D9C" w:rsidRDefault="00406D9C" w:rsidP="00406D9C">
            <w:pPr>
              <w:numPr>
                <w:ilvl w:val="0"/>
                <w:numId w:val="4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obscure</w:t>
            </w:r>
            <w:proofErr w:type="gramEnd"/>
            <w:r w:rsidRPr="00406D9C">
              <w:rPr>
                <w:rFonts w:ascii="Arial" w:eastAsia="Times New Roman" w:hAnsi="Arial" w:cs="Arial"/>
                <w:sz w:val="20"/>
                <w:szCs w:val="20"/>
                <w:lang w:eastAsia="en-AU"/>
              </w:rPr>
              <w:t xml:space="preserve"> or destroy any pattern of historic subdivision, historical context, landscape setting or the scale and consistency of the urban fabric relating to the local heritage place.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PO69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Reconfiguring a lot retains significant trees and incorporates them into the subdivision design, development layout and provision of infrastructure.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2B5857" w:rsidRPr="00406D9C" w:rsidTr="002B5857">
        <w:trPr>
          <w:trHeight w:val="780"/>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2B5857" w:rsidRPr="00406D9C" w:rsidTr="00AE02EE">
              <w:trPr>
                <w:tblCellSpacing w:w="15" w:type="dxa"/>
              </w:trPr>
              <w:tc>
                <w:tcPr>
                  <w:tcW w:w="15100" w:type="dxa"/>
                  <w:vAlign w:val="center"/>
                  <w:hideMark/>
                </w:tcPr>
                <w:p w:rsidR="002B5857" w:rsidRPr="00406D9C" w:rsidRDefault="002B5857"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identification of a development footprint will assist in demonstrating compliance with the following performance criteria. </w:t>
                  </w:r>
                </w:p>
              </w:tc>
            </w:tr>
          </w:tbl>
          <w:p w:rsidR="002B5857" w:rsidRPr="00406D9C" w:rsidRDefault="002B5857"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02EE" w:rsidRPr="00406D9C" w:rsidTr="00D775F2">
        <w:trPr>
          <w:tblCellSpacing w:w="15" w:type="dxa"/>
        </w:trPr>
        <w:tc>
          <w:tcPr>
            <w:tcW w:w="3096" w:type="pct"/>
            <w:gridSpan w:val="2"/>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Bulk water supply infrastructure</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Reconfiguration of lots does not compromise or adversely impact upon the efficiency and integrity of Bulk water supply infrastructure.</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Reconfiguring of lots ensures that access requirements of Bulk water supply infrastructure are maintained.</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E71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Bulk water supply infrastructure traversing or within private land are protected by easement in favour of the service provider for access and maintenance. </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PO72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within a Bulk water supply infrastructure buffer:</w:t>
            </w:r>
          </w:p>
          <w:p w:rsidR="00406D9C" w:rsidRPr="00406D9C" w:rsidRDefault="00406D9C" w:rsidP="00406D9C">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is located, designed and constructed to protect the integrity of the water supply pipeline;</w:t>
            </w:r>
          </w:p>
          <w:p w:rsidR="00406D9C" w:rsidRPr="00406D9C" w:rsidRDefault="00406D9C" w:rsidP="00406D9C">
            <w:pPr>
              <w:numPr>
                <w:ilvl w:val="0"/>
                <w:numId w:val="49"/>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maintains</w:t>
            </w:r>
            <w:proofErr w:type="gramEnd"/>
            <w:r w:rsidRPr="00406D9C">
              <w:rPr>
                <w:rFonts w:ascii="Arial" w:eastAsia="Times New Roman" w:hAnsi="Arial" w:cs="Arial"/>
                <w:sz w:val="20"/>
                <w:szCs w:val="20"/>
                <w:lang w:eastAsia="en-AU"/>
              </w:rPr>
              <w:t xml:space="preserve"> adequate access for any required maintenance or upgrading work to the water supply pipeline.</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New lots provide a development footprint outside the Bulk water supply infrastructure buffer.</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Boundary realignments:</w:t>
            </w:r>
          </w:p>
          <w:p w:rsidR="00406D9C" w:rsidRPr="00406D9C" w:rsidRDefault="00406D9C" w:rsidP="00406D9C">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do not result in the creation of additional building development opportunities within the buffer;</w:t>
            </w:r>
          </w:p>
          <w:p w:rsidR="00406D9C" w:rsidRPr="00406D9C" w:rsidRDefault="00406D9C" w:rsidP="00406D9C">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results</w:t>
            </w:r>
            <w:proofErr w:type="gramEnd"/>
            <w:r w:rsidRPr="00406D9C">
              <w:rPr>
                <w:rFonts w:ascii="Arial" w:eastAsia="Times New Roman" w:hAnsi="Arial" w:cs="Arial"/>
                <w:sz w:val="20"/>
                <w:szCs w:val="20"/>
                <w:lang w:eastAsia="en-AU"/>
              </w:rPr>
              <w:t xml:space="preserve"> in the reduction of building development opportunities within the buffer.</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096" w:type="pct"/>
            <w:gridSpan w:val="2"/>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High voltage electricity line buffer</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provide a development footprint outside of the buffer.</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Adequate buffers are provided between utilities and dwellings to protect residential amenity and health.</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New lots provide a development footprint for utilities and dwellings outside of the buffer.</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The creation of new lots does not compromise or adversely impact upon the efficiency and integrity of supply.</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E76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new lots are created within the buffer area.</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PO77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creation of new lots does not compromise or adversely impact upon access to the supply line for any required maintenance or upgrading work.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new lots are created within the buffer area.</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PO78</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Boundary realignments:</w:t>
            </w:r>
          </w:p>
          <w:p w:rsidR="00406D9C" w:rsidRPr="00406D9C" w:rsidRDefault="00406D9C" w:rsidP="00406D9C">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do not result in the creation of additional building development opportunities within the buffer;</w:t>
            </w:r>
          </w:p>
          <w:p w:rsidR="00406D9C" w:rsidRPr="00406D9C" w:rsidRDefault="00406D9C" w:rsidP="00406D9C">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result</w:t>
            </w:r>
            <w:proofErr w:type="gramEnd"/>
            <w:r w:rsidRPr="00406D9C">
              <w:rPr>
                <w:rFonts w:ascii="Arial" w:eastAsia="Times New Roman" w:hAnsi="Arial" w:cs="Arial"/>
                <w:sz w:val="20"/>
                <w:szCs w:val="20"/>
                <w:lang w:eastAsia="en-AU"/>
              </w:rPr>
              <w:t xml:space="preserve"> in the reduction of building development opportunities within the buffer.</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3A348B" w:rsidRPr="00406D9C" w:rsidTr="003A348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348B" w:rsidRPr="00406D9C" w:rsidRDefault="003A348B"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0"/>
            </w:tblGrid>
            <w:tr w:rsidR="003A348B" w:rsidRPr="00406D9C" w:rsidTr="00AE02EE">
              <w:trPr>
                <w:tblCellSpacing w:w="15" w:type="dxa"/>
              </w:trPr>
              <w:tc>
                <w:tcPr>
                  <w:tcW w:w="15100" w:type="dxa"/>
                  <w:shd w:val="clear" w:color="auto" w:fill="CCCCCC"/>
                  <w:vAlign w:val="center"/>
                  <w:hideMark/>
                </w:tcPr>
                <w:p w:rsidR="003A348B" w:rsidRPr="00406D9C" w:rsidRDefault="003A348B"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 </w:t>
                  </w:r>
                </w:p>
              </w:tc>
            </w:tr>
          </w:tbl>
          <w:p w:rsidR="003A348B" w:rsidRPr="00406D9C" w:rsidRDefault="003A348B"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PO79</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ensure that:</w:t>
            </w:r>
          </w:p>
          <w:p w:rsidR="00406D9C" w:rsidRPr="00406D9C" w:rsidRDefault="00406D9C" w:rsidP="00406D9C">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future building location is located in part of a site not subject to landslide risk;</w:t>
            </w:r>
          </w:p>
          <w:p w:rsidR="00406D9C" w:rsidRPr="00406D9C" w:rsidRDefault="00406D9C" w:rsidP="00406D9C">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the need for excessive on-site works, change to finished landform, or excessive vegetation clearance to provide for future development is avoided; </w:t>
            </w:r>
          </w:p>
          <w:p w:rsidR="00406D9C" w:rsidRPr="00406D9C" w:rsidRDefault="00406D9C" w:rsidP="00406D9C">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there is minimal disturbance to natural drainage patterns;</w:t>
            </w:r>
          </w:p>
          <w:p w:rsidR="00406D9C" w:rsidRPr="00406D9C" w:rsidRDefault="00406D9C" w:rsidP="00406D9C">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earthworks does not:</w:t>
            </w:r>
          </w:p>
          <w:p w:rsidR="00406D9C" w:rsidRPr="00406D9C" w:rsidRDefault="00406D9C" w:rsidP="00406D9C">
            <w:pPr>
              <w:numPr>
                <w:ilvl w:val="1"/>
                <w:numId w:val="5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involve cut and filling having a height greater than 1.5m;</w:t>
            </w:r>
          </w:p>
          <w:p w:rsidR="00406D9C" w:rsidRPr="00406D9C" w:rsidRDefault="00406D9C" w:rsidP="00406D9C">
            <w:pPr>
              <w:numPr>
                <w:ilvl w:val="1"/>
                <w:numId w:val="5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involve any retaining wall having a height greater than 1.5m;</w:t>
            </w:r>
          </w:p>
          <w:p w:rsidR="00406D9C" w:rsidRPr="00406D9C" w:rsidRDefault="00406D9C" w:rsidP="00406D9C">
            <w:pPr>
              <w:numPr>
                <w:ilvl w:val="1"/>
                <w:numId w:val="52"/>
              </w:numPr>
              <w:spacing w:before="100" w:beforeAutospacing="1" w:after="100" w:afterAutospacing="1" w:line="240" w:lineRule="auto"/>
              <w:ind w:left="10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involve earthworks exceeding 50m</w:t>
            </w:r>
            <w:r w:rsidRPr="00406D9C">
              <w:rPr>
                <w:rFonts w:ascii="Arial" w:eastAsia="Times New Roman" w:hAnsi="Arial" w:cs="Arial"/>
                <w:sz w:val="20"/>
                <w:szCs w:val="20"/>
                <w:vertAlign w:val="superscript"/>
                <w:lang w:eastAsia="en-AU"/>
              </w:rPr>
              <w:t>3</w:t>
            </w:r>
            <w:r w:rsidRPr="00406D9C">
              <w:rPr>
                <w:rFonts w:ascii="Arial" w:eastAsia="Times New Roman" w:hAnsi="Arial" w:cs="Arial"/>
                <w:sz w:val="20"/>
                <w:szCs w:val="20"/>
                <w:lang w:eastAsia="en-AU"/>
              </w:rPr>
              <w:t xml:space="preserve">, and </w:t>
            </w:r>
          </w:p>
          <w:p w:rsidR="00406D9C" w:rsidRPr="00406D9C" w:rsidRDefault="00406D9C" w:rsidP="00406D9C">
            <w:pPr>
              <w:numPr>
                <w:ilvl w:val="1"/>
                <w:numId w:val="52"/>
              </w:numPr>
              <w:spacing w:before="100" w:beforeAutospacing="1" w:after="100" w:afterAutospacing="1" w:line="240" w:lineRule="auto"/>
              <w:ind w:left="105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redirect</w:t>
            </w:r>
            <w:proofErr w:type="gramEnd"/>
            <w:r w:rsidRPr="00406D9C">
              <w:rPr>
                <w:rFonts w:ascii="Arial" w:eastAsia="Times New Roman" w:hAnsi="Arial" w:cs="Arial"/>
                <w:sz w:val="20"/>
                <w:szCs w:val="20"/>
                <w:lang w:eastAsia="en-AU"/>
              </w:rPr>
              <w:t xml:space="preserve"> or alter the existing flows of surface or groundwater.</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E79.1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provides development footprint for all lots free from risk of landslide.</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E79.2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footprints and driveways for lot does not exceed 15% slope.</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3A348B" w:rsidRPr="00406D9C" w:rsidTr="003A348B">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3A348B" w:rsidRPr="00406D9C" w:rsidRDefault="003A348B"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A348B" w:rsidRPr="00406D9C" w:rsidTr="00AE02EE">
              <w:trPr>
                <w:tblCellSpacing w:w="15" w:type="dxa"/>
              </w:trPr>
              <w:tc>
                <w:tcPr>
                  <w:tcW w:w="15100" w:type="dxa"/>
                  <w:vAlign w:val="center"/>
                  <w:hideMark/>
                </w:tcPr>
                <w:p w:rsidR="003A348B" w:rsidRPr="00406D9C" w:rsidRDefault="003A348B"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3A348B" w:rsidRPr="00406D9C" w:rsidRDefault="003A348B"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PO80</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w:t>
            </w:r>
          </w:p>
          <w:p w:rsidR="00406D9C" w:rsidRPr="00406D9C" w:rsidRDefault="00406D9C" w:rsidP="00406D9C">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minimises the risk to persons from overland flow;</w:t>
            </w:r>
          </w:p>
          <w:p w:rsidR="00406D9C" w:rsidRPr="00406D9C" w:rsidRDefault="00406D9C" w:rsidP="00406D9C">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does</w:t>
            </w:r>
            <w:proofErr w:type="gramEnd"/>
            <w:r w:rsidRPr="00406D9C">
              <w:rPr>
                <w:rFonts w:ascii="Arial" w:eastAsia="Times New Roman" w:hAnsi="Arial" w:cs="Arial"/>
                <w:sz w:val="20"/>
                <w:szCs w:val="20"/>
                <w:lang w:eastAsia="en-AU"/>
              </w:rPr>
              <w:t xml:space="preserve"> not increase the potential for damage from overland flow either on the premises or on a surrounding property, public land, road or infrastructure.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w:t>
            </w:r>
          </w:p>
          <w:p w:rsidR="00406D9C" w:rsidRPr="00406D9C" w:rsidRDefault="00406D9C" w:rsidP="00406D9C">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406D9C" w:rsidRPr="00406D9C" w:rsidRDefault="00406D9C" w:rsidP="00406D9C">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does</w:t>
            </w:r>
            <w:proofErr w:type="gramEnd"/>
            <w:r w:rsidRPr="00406D9C">
              <w:rPr>
                <w:rFonts w:ascii="Arial" w:eastAsia="Times New Roman" w:hAnsi="Arial" w:cs="Arial"/>
                <w:sz w:val="20"/>
                <w:szCs w:val="20"/>
                <w:lang w:eastAsia="en-AU"/>
              </w:rPr>
              <w:t xml:space="preserve">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Reporting to be prepared in accordance with Planning scheme policy – Flood hazard, Co</w:t>
                  </w:r>
                  <w:r w:rsidR="003A348B">
                    <w:rPr>
                      <w:rFonts w:ascii="Arial" w:eastAsia="Times New Roman" w:hAnsi="Arial" w:cs="Arial"/>
                      <w:sz w:val="20"/>
                      <w:szCs w:val="20"/>
                      <w:lang w:eastAsia="en-AU"/>
                    </w:rPr>
                    <w:t>astal hazard and Overland flow.</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E81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ensures that any buildings are not located in an Overland flow path area.</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61"/>
            </w:tblGrid>
            <w:tr w:rsidR="00406D9C" w:rsidRPr="00406D9C" w:rsidTr="00AE02EE">
              <w:trPr>
                <w:tblCellSpacing w:w="15" w:type="dxa"/>
              </w:trPr>
              <w:tc>
                <w:tcPr>
                  <w:tcW w:w="6101"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A report from a suitably qualified Registered Professional Engineer Queensland is required certifying that the development does not increase the potential for significant adverse impacts on an upstream, downstream or surrounding property. </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PO82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does not:</w:t>
            </w:r>
          </w:p>
          <w:p w:rsidR="00406D9C" w:rsidRPr="00406D9C" w:rsidRDefault="00406D9C" w:rsidP="00406D9C">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directly, indirectly or cumulatively cause any increase in overland flow velocity or level;</w:t>
            </w:r>
          </w:p>
          <w:p w:rsidR="00406D9C" w:rsidRPr="00406D9C" w:rsidRDefault="00406D9C" w:rsidP="00406D9C">
            <w:pPr>
              <w:numPr>
                <w:ilvl w:val="0"/>
                <w:numId w:val="55"/>
              </w:numPr>
              <w:spacing w:before="100" w:beforeAutospacing="1" w:after="100" w:afterAutospacing="1" w:line="240" w:lineRule="auto"/>
              <w:ind w:left="4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increase</w:t>
            </w:r>
            <w:proofErr w:type="gramEnd"/>
            <w:r w:rsidRPr="00406D9C">
              <w:rPr>
                <w:rFonts w:ascii="Arial" w:eastAsia="Times New Roman" w:hAnsi="Arial" w:cs="Arial"/>
                <w:sz w:val="20"/>
                <w:szCs w:val="20"/>
                <w:lang w:eastAsia="en-AU"/>
              </w:rPr>
              <w:t xml:space="preserve"> the potential for flood damage from overland flow either on the premises or on a surrounding property, public land, road or infrastructure. </w:t>
            </w:r>
          </w:p>
          <w:tbl>
            <w:tblPr>
              <w:tblW w:w="490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01"/>
            </w:tblGrid>
            <w:tr w:rsidR="00406D9C" w:rsidRPr="00406D9C" w:rsidTr="003A348B">
              <w:trPr>
                <w:tblCellSpacing w:w="15" w:type="dxa"/>
              </w:trPr>
              <w:tc>
                <w:tcPr>
                  <w:tcW w:w="4841"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Open concrete drains greater than 1m in width are not an acceptable outcome, nor are any other design options that may increase scouring. </w:t>
                  </w:r>
                </w:p>
              </w:tc>
            </w:tr>
            <w:tr w:rsidR="00406D9C" w:rsidRPr="00406D9C" w:rsidTr="003A348B">
              <w:trPr>
                <w:tblCellSpacing w:w="15" w:type="dxa"/>
              </w:trPr>
              <w:tc>
                <w:tcPr>
                  <w:tcW w:w="4841"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bl>
          <w:p w:rsidR="00406D9C" w:rsidRPr="00406D9C" w:rsidRDefault="00406D9C" w:rsidP="00406D9C">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Reporting to be prepared in accordance with Planning scheme policy – Flood hazard, Coastal hazard and Overland flow</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Development ensures that overland flow is not conveyed from a road or public open space onto a private lot, unless the development is in a Rural zone. </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E83</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Development ensures that overland flow paths and drainage infrastructure is provided to convey overland flow from a road or public open space area away from a private lot, unless the development is in the Rural zone. </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vMerge w:val="restar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PO84</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Development ensures that Council and inter-allotment drainage infrastructure, overland flow paths and open drains through private property cater for overland flows for a fully developed upstream catchment flows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33"/>
            </w:tblGrid>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406D9C" w:rsidRPr="00406D9C" w:rsidTr="00AE02EE">
              <w:trPr>
                <w:tblCellSpacing w:w="15" w:type="dxa"/>
              </w:trPr>
              <w:tc>
                <w:tcPr>
                  <w:tcW w:w="8879"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Reporting to be prepared in accordance with Planning scheme policy – Flood hazard, Coastal hazard and Overland flow</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E84.1</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406D9C" w:rsidRPr="00406D9C" w:rsidRDefault="00406D9C" w:rsidP="00406D9C">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Urban area – Level III;</w:t>
            </w:r>
          </w:p>
          <w:p w:rsidR="00406D9C" w:rsidRPr="00406D9C" w:rsidRDefault="00406D9C" w:rsidP="00406D9C">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Rural area – N/A;</w:t>
            </w:r>
          </w:p>
          <w:p w:rsidR="00406D9C" w:rsidRPr="00406D9C" w:rsidRDefault="00406D9C" w:rsidP="00406D9C">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t>Industrial area – Level V;</w:t>
            </w:r>
          </w:p>
          <w:p w:rsidR="00406D9C" w:rsidRPr="00406D9C" w:rsidRDefault="00406D9C" w:rsidP="00406D9C">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406D9C">
              <w:rPr>
                <w:rFonts w:ascii="Arial" w:eastAsia="Times New Roman" w:hAnsi="Arial" w:cs="Arial"/>
                <w:sz w:val="20"/>
                <w:szCs w:val="20"/>
                <w:lang w:eastAsia="en-AU"/>
              </w:rPr>
              <w:lastRenderedPageBreak/>
              <w:t>Commercial area – Level V.</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vMerge/>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E84.2</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Development ensures that all Council and allotment drainage infrastructure is designed to accommodate any event up to and including the 1% AEP for the fully developed upstream catchment. </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PO85</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protects the conveyance of overland flow such that easements for drainage purposes are provided over:</w:t>
            </w:r>
          </w:p>
          <w:p w:rsidR="00406D9C" w:rsidRPr="00406D9C" w:rsidRDefault="00406D9C" w:rsidP="00406D9C">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 stormwater pipe if the nominal pipe diameter exceeds 300mm;</w:t>
            </w:r>
          </w:p>
          <w:p w:rsidR="00406D9C" w:rsidRPr="00406D9C" w:rsidRDefault="00406D9C" w:rsidP="00406D9C">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an overland flow path where it crosses more than one property; and</w:t>
            </w:r>
          </w:p>
          <w:p w:rsidR="00406D9C" w:rsidRPr="00406D9C" w:rsidRDefault="00406D9C" w:rsidP="00406D9C">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inter-allotment</w:t>
            </w:r>
            <w:proofErr w:type="gramEnd"/>
            <w:r w:rsidRPr="00406D9C">
              <w:rPr>
                <w:rFonts w:ascii="Arial" w:eastAsia="Times New Roman" w:hAnsi="Arial" w:cs="Arial"/>
                <w:sz w:val="20"/>
                <w:szCs w:val="20"/>
                <w:lang w:eastAsia="en-AU"/>
              </w:rPr>
              <w:t xml:space="preserve"> drainage infrastructure.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Refer to Planning scheme policy - Integrated design for details and examples.</w:t>
                  </w:r>
                </w:p>
              </w:tc>
            </w:tr>
            <w:tr w:rsidR="00406D9C" w:rsidRPr="00406D9C" w:rsidTr="00D775F2">
              <w:trPr>
                <w:tblCellSpacing w:w="15" w:type="dxa"/>
              </w:trPr>
              <w:tc>
                <w:tcPr>
                  <w:tcW w:w="4557" w:type="dxa"/>
                  <w:vAlign w:val="center"/>
                  <w:hideMark/>
                </w:tcPr>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Note - Stormwater drainage easement dimensions are provided in accordance with Section 3.8.5 of QUDM.</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example provided</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p>
        </w:tc>
      </w:tr>
      <w:tr w:rsidR="00AE02EE" w:rsidRPr="00406D9C" w:rsidTr="00D775F2">
        <w:trPr>
          <w:tblCellSpacing w:w="15" w:type="dxa"/>
        </w:trPr>
        <w:tc>
          <w:tcPr>
            <w:tcW w:w="3096" w:type="pct"/>
            <w:gridSpan w:val="2"/>
            <w:tcBorders>
              <w:top w:val="outset" w:sz="6" w:space="0" w:color="auto"/>
              <w:left w:val="outset" w:sz="6" w:space="0" w:color="auto"/>
              <w:bottom w:val="outset" w:sz="6" w:space="0" w:color="auto"/>
              <w:right w:val="outset" w:sz="6" w:space="0" w:color="auto"/>
            </w:tcBorders>
            <w:vAlign w:val="center"/>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Additional criteria for development for a Park</w:t>
            </w:r>
            <w:r w:rsidRPr="00406D9C">
              <w:rPr>
                <w:rFonts w:ascii="Arial" w:eastAsia="Times New Roman" w:hAnsi="Arial" w:cs="Arial"/>
                <w:b/>
                <w:bCs/>
                <w:sz w:val="20"/>
                <w:szCs w:val="20"/>
                <w:vertAlign w:val="superscript"/>
                <w:lang w:eastAsia="en-AU"/>
              </w:rPr>
              <w:t>(</w:t>
            </w:r>
            <w:hyperlink r:id="rId6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b/>
                <w:bCs/>
                <w:sz w:val="20"/>
                <w:szCs w:val="20"/>
                <w:vertAlign w:val="superscript"/>
                <w:lang w:eastAsia="en-AU"/>
              </w:rPr>
              <w:t>)</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for a Park</w:t>
            </w:r>
            <w:r w:rsidRPr="00406D9C">
              <w:rPr>
                <w:rFonts w:ascii="Arial" w:eastAsia="Times New Roman" w:hAnsi="Arial" w:cs="Arial"/>
                <w:sz w:val="20"/>
                <w:szCs w:val="20"/>
                <w:vertAlign w:val="superscript"/>
                <w:lang w:eastAsia="en-AU"/>
              </w:rPr>
              <w:t>(</w:t>
            </w:r>
            <w:hyperlink r:id="rId61"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ensures that the design and layout responds to the nature of the overland flow affecting the premises such that: </w:t>
            </w:r>
          </w:p>
          <w:p w:rsidR="00406D9C" w:rsidRPr="00406D9C" w:rsidRDefault="00406D9C" w:rsidP="00406D9C">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public benefit and enjoyment is maximised;</w:t>
            </w:r>
          </w:p>
          <w:p w:rsidR="00406D9C" w:rsidRPr="00406D9C" w:rsidRDefault="00406D9C" w:rsidP="00406D9C">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impacts on the asset life and integrity of park structures is minimised;</w:t>
            </w:r>
          </w:p>
          <w:p w:rsidR="00406D9C" w:rsidRPr="00406D9C" w:rsidRDefault="00406D9C" w:rsidP="00406D9C">
            <w:pPr>
              <w:numPr>
                <w:ilvl w:val="0"/>
                <w:numId w:val="58"/>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maintenance</w:t>
            </w:r>
            <w:proofErr w:type="gramEnd"/>
            <w:r w:rsidRPr="00406D9C">
              <w:rPr>
                <w:rFonts w:ascii="Arial" w:eastAsia="Times New Roman" w:hAnsi="Arial" w:cs="Arial"/>
                <w:sz w:val="20"/>
                <w:szCs w:val="20"/>
                <w:lang w:eastAsia="en-AU"/>
              </w:rPr>
              <w:t xml:space="preserve"> and replacement costs are minimised.</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E86</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Development for a Park</w:t>
            </w:r>
            <w:r w:rsidRPr="00406D9C">
              <w:rPr>
                <w:rFonts w:ascii="Arial" w:eastAsia="Times New Roman" w:hAnsi="Arial" w:cs="Arial"/>
                <w:sz w:val="20"/>
                <w:szCs w:val="20"/>
                <w:vertAlign w:val="superscript"/>
                <w:lang w:eastAsia="en-AU"/>
              </w:rPr>
              <w:t>(</w:t>
            </w:r>
            <w:hyperlink r:id="rId62"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406D9C">
                <w:rPr>
                  <w:rFonts w:ascii="Arial" w:eastAsia="Times New Roman" w:hAnsi="Arial" w:cs="Arial"/>
                  <w:color w:val="0000FF"/>
                  <w:sz w:val="20"/>
                  <w:szCs w:val="20"/>
                  <w:vertAlign w:val="superscript"/>
                  <w:lang w:eastAsia="en-AU"/>
                </w:rPr>
                <w:t>57</w:t>
              </w:r>
            </w:hyperlink>
            <w:r w:rsidRPr="00406D9C">
              <w:rPr>
                <w:rFonts w:ascii="Arial" w:eastAsia="Times New Roman" w:hAnsi="Arial" w:cs="Arial"/>
                <w:sz w:val="20"/>
                <w:szCs w:val="20"/>
                <w:vertAlign w:val="superscript"/>
                <w:lang w:eastAsia="en-AU"/>
              </w:rPr>
              <w:t>)</w:t>
            </w:r>
            <w:r w:rsidRPr="00406D9C">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3A348B" w:rsidRPr="00406D9C" w:rsidTr="003A348B">
        <w:trPr>
          <w:trHeight w:val="345"/>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348B" w:rsidRPr="00406D9C" w:rsidRDefault="003A348B"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A348B" w:rsidRPr="00406D9C" w:rsidTr="00AE02EE">
              <w:trPr>
                <w:tblCellSpacing w:w="15" w:type="dxa"/>
              </w:trPr>
              <w:tc>
                <w:tcPr>
                  <w:tcW w:w="15100" w:type="dxa"/>
                  <w:vAlign w:val="center"/>
                  <w:hideMark/>
                </w:tcPr>
                <w:p w:rsidR="003A348B" w:rsidRPr="00406D9C" w:rsidRDefault="003A348B" w:rsidP="00406D9C">
                  <w:pPr>
                    <w:spacing w:before="100" w:beforeAutospacing="1" w:after="100" w:afterAutospacing="1" w:line="240" w:lineRule="auto"/>
                    <w:rPr>
                      <w:rFonts w:ascii="Arial" w:eastAsia="Times New Roman" w:hAnsi="Arial" w:cs="Arial"/>
                      <w:sz w:val="20"/>
                      <w:szCs w:val="20"/>
                      <w:lang w:eastAsia="en-AU"/>
                    </w:rPr>
                  </w:pPr>
                  <w:r w:rsidRPr="00406D9C">
                    <w:rPr>
                      <w:rFonts w:ascii="Arial" w:eastAsia="Times New Roman" w:hAnsi="Arial" w:cs="Arial"/>
                      <w:sz w:val="20"/>
                      <w:szCs w:val="20"/>
                      <w:lang w:eastAsia="en-AU"/>
                    </w:rPr>
                    <w:t xml:space="preserve">Note - - W1, W2 and W3 waterway and drainage lines, and wetlands are mapped on Schedule 2, Section 2.5 Overlay Maps – Riparian and wetland setbacks. </w:t>
                  </w:r>
                </w:p>
              </w:tc>
            </w:tr>
          </w:tbl>
          <w:p w:rsidR="003A348B" w:rsidRPr="00406D9C" w:rsidRDefault="003A348B"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r w:rsidR="006B424B" w:rsidRPr="00406D9C" w:rsidTr="00D775F2">
        <w:trPr>
          <w:tblCellSpacing w:w="15" w:type="dxa"/>
        </w:trPr>
        <w:tc>
          <w:tcPr>
            <w:tcW w:w="155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PO87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Lots are designed to:</w:t>
            </w:r>
          </w:p>
          <w:p w:rsidR="00406D9C" w:rsidRPr="00406D9C" w:rsidRDefault="00406D9C" w:rsidP="00406D9C">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 the extent of encroachment into the riparian and wetland setback;</w:t>
            </w:r>
          </w:p>
          <w:p w:rsidR="00406D9C" w:rsidRPr="00406D9C" w:rsidRDefault="00406D9C" w:rsidP="00406D9C">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ensure the protection of wildlife corridors and connectivity;</w:t>
            </w:r>
          </w:p>
          <w:p w:rsidR="00406D9C" w:rsidRPr="00406D9C" w:rsidRDefault="00406D9C" w:rsidP="00406D9C">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reduce the impact on fauna habitats;</w:t>
            </w:r>
          </w:p>
          <w:p w:rsidR="00406D9C" w:rsidRPr="00406D9C" w:rsidRDefault="00406D9C" w:rsidP="00406D9C">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minimise edge effects;</w:t>
            </w:r>
          </w:p>
          <w:p w:rsidR="00406D9C" w:rsidRPr="00406D9C" w:rsidRDefault="00406D9C" w:rsidP="00406D9C">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ensure</w:t>
            </w:r>
            <w:proofErr w:type="gramEnd"/>
            <w:r w:rsidRPr="00406D9C">
              <w:rPr>
                <w:rFonts w:ascii="Arial" w:eastAsia="Times New Roman" w:hAnsi="Arial" w:cs="Arial"/>
                <w:sz w:val="20"/>
                <w:szCs w:val="20"/>
                <w:lang w:eastAsia="en-AU"/>
              </w:rPr>
              <w:t xml:space="preserve"> an appropriate extent of public access to waterways and wetlands.</w:t>
            </w:r>
          </w:p>
        </w:tc>
        <w:tc>
          <w:tcPr>
            <w:tcW w:w="1528" w:type="pct"/>
            <w:tcBorders>
              <w:top w:val="outset" w:sz="6" w:space="0" w:color="auto"/>
              <w:left w:val="outset" w:sz="6" w:space="0" w:color="auto"/>
              <w:bottom w:val="outset" w:sz="6" w:space="0" w:color="auto"/>
              <w:right w:val="outset" w:sz="6" w:space="0" w:color="auto"/>
            </w:tcBorders>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b/>
                <w:bCs/>
                <w:sz w:val="20"/>
                <w:szCs w:val="20"/>
                <w:lang w:eastAsia="en-AU"/>
              </w:rPr>
              <w:t>E87</w:t>
            </w:r>
          </w:p>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Reconfiguring a lot ensures that:</w:t>
            </w:r>
          </w:p>
          <w:p w:rsidR="00406D9C" w:rsidRPr="00406D9C" w:rsidRDefault="00406D9C" w:rsidP="00406D9C">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 new lots are created within a riparian and wetland setback;</w:t>
            </w:r>
          </w:p>
          <w:p w:rsidR="00406D9C" w:rsidRPr="00406D9C" w:rsidRDefault="00406D9C" w:rsidP="00406D9C">
            <w:pPr>
              <w:numPr>
                <w:ilvl w:val="0"/>
                <w:numId w:val="6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406D9C">
              <w:rPr>
                <w:rFonts w:ascii="Arial" w:eastAsia="Times New Roman" w:hAnsi="Arial" w:cs="Arial"/>
                <w:sz w:val="20"/>
                <w:szCs w:val="20"/>
                <w:lang w:eastAsia="en-AU"/>
              </w:rPr>
              <w:t>new</w:t>
            </w:r>
            <w:proofErr w:type="gramEnd"/>
            <w:r w:rsidRPr="00406D9C">
              <w:rPr>
                <w:rFonts w:ascii="Arial" w:eastAsia="Times New Roman" w:hAnsi="Arial" w:cs="Arial"/>
                <w:sz w:val="20"/>
                <w:szCs w:val="20"/>
                <w:lang w:eastAsia="en-AU"/>
              </w:rPr>
              <w:t xml:space="preserve">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2"/>
            </w:tblGrid>
            <w:tr w:rsidR="00406D9C" w:rsidRPr="00406D9C" w:rsidTr="00AE02EE">
              <w:trPr>
                <w:tblCellSpacing w:w="15" w:type="dxa"/>
              </w:trPr>
              <w:tc>
                <w:tcPr>
                  <w:tcW w:w="6101" w:type="dxa"/>
                  <w:hideMark/>
                </w:tcPr>
                <w:p w:rsidR="00406D9C" w:rsidRPr="00406D9C" w:rsidRDefault="00406D9C" w:rsidP="00406D9C">
                  <w:pPr>
                    <w:spacing w:before="100" w:beforeAutospacing="1" w:after="100" w:afterAutospacing="1" w:line="240" w:lineRule="auto"/>
                    <w:ind w:left="150" w:right="150"/>
                    <w:rPr>
                      <w:rFonts w:ascii="Arial" w:eastAsia="Times New Roman" w:hAnsi="Arial" w:cs="Arial"/>
                      <w:sz w:val="20"/>
                      <w:szCs w:val="20"/>
                      <w:lang w:eastAsia="en-AU"/>
                    </w:rPr>
                  </w:pPr>
                  <w:r w:rsidRPr="00406D9C">
                    <w:rPr>
                      <w:rFonts w:ascii="Arial" w:eastAsia="Times New Roman" w:hAnsi="Arial" w:cs="Arial"/>
                      <w:sz w:val="20"/>
                      <w:szCs w:val="20"/>
                      <w:lang w:eastAsia="en-AU"/>
                    </w:rPr>
                    <w:t>Note - Riparian and wetlands are mapped on Schedule 2, Section 2.5 Overlay Maps – Riparian and wetland setbacks.</w:t>
                  </w:r>
                </w:p>
              </w:tc>
            </w:tr>
          </w:tbl>
          <w:p w:rsidR="00406D9C" w:rsidRPr="00406D9C" w:rsidRDefault="00406D9C" w:rsidP="00406D9C">
            <w:pPr>
              <w:spacing w:before="100" w:beforeAutospacing="1" w:after="100" w:afterAutospacing="1" w:line="240" w:lineRule="auto"/>
              <w:rPr>
                <w:rFonts w:ascii="Arial" w:eastAsia="Times New Roman" w:hAnsi="Arial" w:cs="Arial"/>
                <w:sz w:val="20"/>
                <w:szCs w:val="20"/>
                <w:lang w:eastAsia="en-AU"/>
              </w:rPr>
            </w:pPr>
          </w:p>
        </w:tc>
        <w:tc>
          <w:tcPr>
            <w:tcW w:w="531"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34" w:type="pct"/>
            <w:tcBorders>
              <w:top w:val="outset" w:sz="6" w:space="0" w:color="auto"/>
              <w:left w:val="outset" w:sz="6" w:space="0" w:color="auto"/>
              <w:bottom w:val="outset" w:sz="6" w:space="0" w:color="auto"/>
              <w:right w:val="outset" w:sz="6" w:space="0" w:color="auto"/>
            </w:tcBorders>
          </w:tcPr>
          <w:p w:rsidR="00406D9C" w:rsidRPr="00406D9C" w:rsidRDefault="00406D9C" w:rsidP="00406D9C">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3A348B" w:rsidRDefault="003A348B" w:rsidP="00406D9C">
      <w:pPr>
        <w:shd w:val="clear" w:color="auto" w:fill="FFFFFF"/>
        <w:spacing w:before="100" w:beforeAutospacing="1" w:after="100" w:afterAutospacing="1" w:line="240" w:lineRule="auto"/>
        <w:rPr>
          <w:rFonts w:ascii="Arial" w:eastAsia="Times New Roman" w:hAnsi="Arial" w:cs="Arial"/>
          <w:b/>
          <w:bCs/>
          <w:sz w:val="20"/>
          <w:szCs w:val="20"/>
          <w:lang w:eastAsia="en-AU"/>
        </w:rPr>
      </w:pPr>
    </w:p>
    <w:p w:rsidR="003A348B" w:rsidRDefault="003A348B">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406D9C" w:rsidRP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Table 9.4.1.3.2.3: Lot Types</w:t>
      </w:r>
      <w:r w:rsidRPr="00406D9C">
        <w:rPr>
          <w:rFonts w:ascii="Arial" w:eastAsia="Times New Roman" w:hAnsi="Arial" w:cs="Arial"/>
          <w:sz w:val="20"/>
          <w:szCs w:val="20"/>
          <w:lang w:eastAsia="en-AU"/>
        </w:rPr>
        <w:t xml:space="preserve"> </w:t>
      </w:r>
      <w:hyperlink r:id="rId63"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extent cx="7200900" cy="2438400"/>
            <wp:effectExtent l="0" t="0" r="0" b="0"/>
            <wp:docPr id="3" name="Picture 3" descr="Lot Typ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t Type Tab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00900" cy="2438400"/>
                    </a:xfrm>
                    <a:prstGeom prst="rect">
                      <a:avLst/>
                    </a:prstGeom>
                    <a:noFill/>
                    <a:ln>
                      <a:noFill/>
                    </a:ln>
                  </pic:spPr>
                </pic:pic>
              </a:graphicData>
            </a:graphic>
          </wp:inline>
        </w:drawing>
      </w:r>
    </w:p>
    <w:p w:rsidR="00406D9C" w:rsidRPr="00406D9C" w:rsidRDefault="00406D9C" w:rsidP="00406D9C">
      <w:pPr>
        <w:shd w:val="clear" w:color="auto" w:fill="FFFFFF"/>
        <w:spacing w:before="100" w:beforeAutospacing="1" w:after="100" w:afterAutospacing="1" w:line="240" w:lineRule="auto"/>
        <w:rPr>
          <w:rFonts w:ascii="Arial" w:eastAsia="Times New Roman" w:hAnsi="Arial" w:cs="Arial"/>
          <w:sz w:val="20"/>
          <w:szCs w:val="20"/>
          <w:lang w:eastAsia="en-AU"/>
        </w:rPr>
      </w:pPr>
    </w:p>
    <w:p w:rsidR="003A348B" w:rsidRDefault="003A348B">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406D9C" w:rsidRP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Figure 1 - Morayfield South</w:t>
      </w:r>
      <w:r w:rsidRPr="00406D9C">
        <w:rPr>
          <w:rFonts w:ascii="Arial" w:eastAsia="Times New Roman" w:hAnsi="Arial" w:cs="Arial"/>
          <w:sz w:val="20"/>
          <w:szCs w:val="20"/>
          <w:lang w:eastAsia="en-AU"/>
        </w:rPr>
        <w:t xml:space="preserve"> </w:t>
      </w:r>
      <w:hyperlink r:id="rId65" w:tgtFrame="_blank" w:tooltip="Link to larger image (popup)" w:history="1">
        <w:r w:rsidRPr="00406D9C">
          <w:rPr>
            <w:rFonts w:ascii="Arial" w:eastAsia="Times New Roman" w:hAnsi="Arial" w:cs="Arial"/>
            <w:color w:val="0000FF"/>
            <w:sz w:val="20"/>
            <w:szCs w:val="20"/>
            <w:lang w:eastAsia="en-AU"/>
          </w:rPr>
          <w:t> </w:t>
        </w:r>
      </w:hyperlink>
    </w:p>
    <w:p w:rsidR="00406D9C" w:rsidRP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extent cx="7200900" cy="5086350"/>
            <wp:effectExtent l="0" t="0" r="0" b="0"/>
            <wp:docPr id="2" name="Picture 2" descr="Morayfiel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rayfield Sout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00900" cy="5086350"/>
                    </a:xfrm>
                    <a:prstGeom prst="rect">
                      <a:avLst/>
                    </a:prstGeom>
                    <a:noFill/>
                    <a:ln>
                      <a:noFill/>
                    </a:ln>
                  </pic:spPr>
                </pic:pic>
              </a:graphicData>
            </a:graphic>
          </wp:inline>
        </w:drawing>
      </w:r>
    </w:p>
    <w:p w:rsidR="00406D9C" w:rsidRPr="00406D9C" w:rsidRDefault="00406D9C" w:rsidP="00406D9C">
      <w:pPr>
        <w:shd w:val="clear" w:color="auto" w:fill="FFFFFF"/>
        <w:spacing w:before="100" w:beforeAutospacing="1" w:after="100" w:afterAutospacing="1" w:line="240" w:lineRule="auto"/>
        <w:rPr>
          <w:rFonts w:ascii="Arial" w:eastAsia="Times New Roman" w:hAnsi="Arial" w:cs="Arial"/>
          <w:sz w:val="20"/>
          <w:szCs w:val="20"/>
          <w:lang w:eastAsia="en-AU"/>
        </w:rPr>
      </w:pPr>
    </w:p>
    <w:p w:rsidR="003A348B" w:rsidRDefault="003A348B">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406D9C" w:rsidRP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b/>
          <w:bCs/>
          <w:sz w:val="20"/>
          <w:szCs w:val="20"/>
          <w:lang w:eastAsia="en-AU"/>
        </w:rPr>
        <w:lastRenderedPageBreak/>
        <w:t>Figure 2 - Narangba East</w:t>
      </w:r>
      <w:r w:rsidRPr="00406D9C">
        <w:rPr>
          <w:rFonts w:ascii="Arial" w:eastAsia="Times New Roman" w:hAnsi="Arial" w:cs="Arial"/>
          <w:sz w:val="20"/>
          <w:szCs w:val="20"/>
          <w:lang w:eastAsia="en-AU"/>
        </w:rPr>
        <w:t xml:space="preserve"> </w:t>
      </w:r>
      <w:hyperlink r:id="rId67" w:tgtFrame="_blank" w:tooltip="Link to larger image (popup)" w:history="1">
        <w:r w:rsidRPr="00406D9C">
          <w:rPr>
            <w:rFonts w:ascii="Arial" w:eastAsia="Times New Roman" w:hAnsi="Arial" w:cs="Arial"/>
            <w:color w:val="0000FF"/>
            <w:sz w:val="20"/>
            <w:szCs w:val="20"/>
            <w:lang w:eastAsia="en-AU"/>
          </w:rPr>
          <w:t> </w:t>
        </w:r>
      </w:hyperlink>
    </w:p>
    <w:p w:rsidR="00406D9C" w:rsidRDefault="00406D9C" w:rsidP="003A348B">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406D9C">
        <w:rPr>
          <w:rFonts w:ascii="Arial" w:eastAsia="Times New Roman" w:hAnsi="Arial" w:cs="Arial"/>
          <w:noProof/>
          <w:sz w:val="20"/>
          <w:szCs w:val="20"/>
          <w:lang w:eastAsia="en-AU"/>
        </w:rPr>
        <w:drawing>
          <wp:inline distT="0" distB="0" distL="0" distR="0">
            <wp:extent cx="4604708" cy="5895975"/>
            <wp:effectExtent l="0" t="0" r="5715" b="0"/>
            <wp:docPr id="1" name="Picture 1" descr="Narangba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rangba eas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769" cy="5901175"/>
                    </a:xfrm>
                    <a:prstGeom prst="rect">
                      <a:avLst/>
                    </a:prstGeom>
                    <a:noFill/>
                    <a:ln>
                      <a:noFill/>
                    </a:ln>
                  </pic:spPr>
                </pic:pic>
              </a:graphicData>
            </a:graphic>
          </wp:inline>
        </w:drawing>
      </w:r>
    </w:p>
    <w:sectPr w:rsidR="00406D9C" w:rsidSect="00406D9C">
      <w:footerReference w:type="default" r:id="rId6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EF0" w:rsidRDefault="002F0EF0" w:rsidP="00F61D96">
      <w:pPr>
        <w:spacing w:after="0" w:line="240" w:lineRule="auto"/>
      </w:pPr>
      <w:r>
        <w:separator/>
      </w:r>
    </w:p>
  </w:endnote>
  <w:endnote w:type="continuationSeparator" w:id="0">
    <w:p w:rsidR="002F0EF0" w:rsidRDefault="002F0EF0" w:rsidP="00F61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24B" w:rsidRPr="006A37C2" w:rsidRDefault="006B424B" w:rsidP="00F61D96">
    <w:pPr>
      <w:pStyle w:val="Footer"/>
      <w:jc w:val="center"/>
      <w:rPr>
        <w:rFonts w:ascii="Arial" w:hAnsi="Arial" w:cs="Arial"/>
        <w:i/>
        <w:sz w:val="20"/>
        <w:szCs w:val="20"/>
      </w:rPr>
    </w:pPr>
    <w:r w:rsidRPr="002C7A6D">
      <w:rPr>
        <w:rFonts w:ascii="Arial" w:hAnsi="Arial" w:cs="Arial"/>
        <w:i/>
        <w:sz w:val="20"/>
        <w:szCs w:val="20"/>
      </w:rPr>
      <w:t xml:space="preserve">MBRC Planning Scheme - Other development codes - Reconfiguring a lot code - </w:t>
    </w:r>
    <w:r>
      <w:rPr>
        <w:rFonts w:ascii="Arial" w:hAnsi="Arial" w:cs="Arial"/>
        <w:i/>
        <w:sz w:val="20"/>
        <w:szCs w:val="20"/>
      </w:rPr>
      <w:t xml:space="preserve">Emerging community zone - </w:t>
    </w:r>
    <w:r w:rsidR="009F4C1C">
      <w:rPr>
        <w:rFonts w:ascii="Arial" w:hAnsi="Arial" w:cs="Arial"/>
        <w:i/>
        <w:sz w:val="20"/>
        <w:szCs w:val="20"/>
      </w:rPr>
      <w:t>Transition</w:t>
    </w:r>
    <w:r>
      <w:rPr>
        <w:rFonts w:ascii="Arial" w:hAnsi="Arial" w:cs="Arial"/>
        <w:i/>
        <w:sz w:val="20"/>
        <w:szCs w:val="20"/>
      </w:rPr>
      <w:t xml:space="preserve"> precinct </w:t>
    </w:r>
    <w:r w:rsidRPr="002C7A6D">
      <w:rPr>
        <w:rFonts w:ascii="Arial" w:hAnsi="Arial" w:cs="Arial"/>
        <w:i/>
        <w:sz w:val="20"/>
        <w:szCs w:val="20"/>
      </w:rPr>
      <w:t xml:space="preserve">- Assessable - </w:t>
    </w:r>
    <w:r>
      <w:rPr>
        <w:rFonts w:ascii="Arial" w:hAnsi="Arial" w:cs="Arial"/>
        <w:i/>
        <w:sz w:val="20"/>
        <w:szCs w:val="20"/>
      </w:rPr>
      <w:t>3 July 2017</w:t>
    </w:r>
    <w:r w:rsidRPr="002C7A6D">
      <w:rPr>
        <w:rFonts w:ascii="Arial" w:hAnsi="Arial" w:cs="Arial"/>
        <w:i/>
        <w:sz w:val="20"/>
        <w:szCs w:val="20"/>
      </w:rPr>
      <w:tab/>
    </w:r>
    <w:r w:rsidRPr="002C7A6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2C7A6D">
          <w:rPr>
            <w:rFonts w:ascii="Arial" w:hAnsi="Arial" w:cs="Arial"/>
            <w:sz w:val="20"/>
            <w:szCs w:val="20"/>
          </w:rPr>
          <w:fldChar w:fldCharType="begin"/>
        </w:r>
        <w:r w:rsidRPr="002C7A6D">
          <w:rPr>
            <w:rFonts w:ascii="Arial" w:hAnsi="Arial" w:cs="Arial"/>
            <w:sz w:val="20"/>
            <w:szCs w:val="20"/>
          </w:rPr>
          <w:instrText xml:space="preserve"> PAGE   \* MERGEFORMAT </w:instrText>
        </w:r>
        <w:r w:rsidRPr="002C7A6D">
          <w:rPr>
            <w:rFonts w:ascii="Arial" w:hAnsi="Arial" w:cs="Arial"/>
            <w:sz w:val="20"/>
            <w:szCs w:val="20"/>
          </w:rPr>
          <w:fldChar w:fldCharType="separate"/>
        </w:r>
        <w:r w:rsidR="009F4C1C">
          <w:rPr>
            <w:rFonts w:ascii="Arial" w:hAnsi="Arial" w:cs="Arial"/>
            <w:noProof/>
            <w:sz w:val="20"/>
            <w:szCs w:val="20"/>
          </w:rPr>
          <w:t>12</w:t>
        </w:r>
        <w:r w:rsidRPr="002C7A6D">
          <w:rPr>
            <w:rFonts w:ascii="Arial" w:hAnsi="Arial" w:cs="Arial"/>
            <w:noProof/>
            <w:sz w:val="20"/>
            <w:szCs w:val="20"/>
          </w:rPr>
          <w:fldChar w:fldCharType="end"/>
        </w:r>
      </w:sdtContent>
    </w:sdt>
  </w:p>
  <w:p w:rsidR="006B424B" w:rsidRPr="00F61D96" w:rsidRDefault="006B424B" w:rsidP="00F61D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EF0" w:rsidRDefault="002F0EF0" w:rsidP="00F61D96">
      <w:pPr>
        <w:spacing w:after="0" w:line="240" w:lineRule="auto"/>
      </w:pPr>
      <w:r>
        <w:separator/>
      </w:r>
    </w:p>
  </w:footnote>
  <w:footnote w:type="continuationSeparator" w:id="0">
    <w:p w:rsidR="002F0EF0" w:rsidRDefault="002F0EF0" w:rsidP="00F61D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2D31"/>
    <w:multiLevelType w:val="multilevel"/>
    <w:tmpl w:val="E2EAC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4A97E8A"/>
    <w:multiLevelType w:val="multilevel"/>
    <w:tmpl w:val="8034D1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74171A5"/>
    <w:multiLevelType w:val="multilevel"/>
    <w:tmpl w:val="2982C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7CA0B90"/>
    <w:multiLevelType w:val="multilevel"/>
    <w:tmpl w:val="8B50F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7F90421"/>
    <w:multiLevelType w:val="multilevel"/>
    <w:tmpl w:val="484C20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D385D02"/>
    <w:multiLevelType w:val="multilevel"/>
    <w:tmpl w:val="B3485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0D7D28D0"/>
    <w:multiLevelType w:val="multilevel"/>
    <w:tmpl w:val="024A2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2335355"/>
    <w:multiLevelType w:val="multilevel"/>
    <w:tmpl w:val="46BE3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3027A6E"/>
    <w:multiLevelType w:val="multilevel"/>
    <w:tmpl w:val="35740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149426CC"/>
    <w:multiLevelType w:val="multilevel"/>
    <w:tmpl w:val="184A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1">
    <w:nsid w:val="18EC5C60"/>
    <w:multiLevelType w:val="multilevel"/>
    <w:tmpl w:val="28F80A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94C3EE8"/>
    <w:multiLevelType w:val="multilevel"/>
    <w:tmpl w:val="2FC4D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1C1D291D"/>
    <w:multiLevelType w:val="multilevel"/>
    <w:tmpl w:val="FB52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EC3DD0"/>
    <w:multiLevelType w:val="multilevel"/>
    <w:tmpl w:val="3758BB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FB633FB"/>
    <w:multiLevelType w:val="multilevel"/>
    <w:tmpl w:val="9EB8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03E21FF"/>
    <w:multiLevelType w:val="multilevel"/>
    <w:tmpl w:val="D3D64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1B96DBA"/>
    <w:multiLevelType w:val="multilevel"/>
    <w:tmpl w:val="76285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240A3A78"/>
    <w:multiLevelType w:val="multilevel"/>
    <w:tmpl w:val="7FCC4A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40E5AFA"/>
    <w:multiLevelType w:val="multilevel"/>
    <w:tmpl w:val="E100701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5097E58"/>
    <w:multiLevelType w:val="multilevel"/>
    <w:tmpl w:val="922E5D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83116AF"/>
    <w:multiLevelType w:val="multilevel"/>
    <w:tmpl w:val="D9FE9E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28AE4831"/>
    <w:multiLevelType w:val="multilevel"/>
    <w:tmpl w:val="7E76D3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297A606C"/>
    <w:multiLevelType w:val="multilevel"/>
    <w:tmpl w:val="BF70D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2A164EB6"/>
    <w:multiLevelType w:val="multilevel"/>
    <w:tmpl w:val="B748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6A441B"/>
    <w:multiLevelType w:val="multilevel"/>
    <w:tmpl w:val="172C5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2DF83F13"/>
    <w:multiLevelType w:val="multilevel"/>
    <w:tmpl w:val="15E072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324408B8"/>
    <w:multiLevelType w:val="multilevel"/>
    <w:tmpl w:val="3E2CA9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3274461F"/>
    <w:multiLevelType w:val="multilevel"/>
    <w:tmpl w:val="A0543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334945A5"/>
    <w:multiLevelType w:val="multilevel"/>
    <w:tmpl w:val="18909F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34A25F0C"/>
    <w:multiLevelType w:val="multilevel"/>
    <w:tmpl w:val="4BC084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39FF3526"/>
    <w:multiLevelType w:val="multilevel"/>
    <w:tmpl w:val="803E7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3AE64811"/>
    <w:multiLevelType w:val="multilevel"/>
    <w:tmpl w:val="DBD04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3DA77D2A"/>
    <w:multiLevelType w:val="multilevel"/>
    <w:tmpl w:val="103E6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427A0824"/>
    <w:multiLevelType w:val="multilevel"/>
    <w:tmpl w:val="F7E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D04FB1"/>
    <w:multiLevelType w:val="multilevel"/>
    <w:tmpl w:val="11AEA7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4E9A2291"/>
    <w:multiLevelType w:val="multilevel"/>
    <w:tmpl w:val="79B81CE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nsid w:val="50E35514"/>
    <w:multiLevelType w:val="multilevel"/>
    <w:tmpl w:val="750821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534C603F"/>
    <w:multiLevelType w:val="multilevel"/>
    <w:tmpl w:val="3FDC4E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538E2CFB"/>
    <w:multiLevelType w:val="multilevel"/>
    <w:tmpl w:val="84CCF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560307B6"/>
    <w:multiLevelType w:val="multilevel"/>
    <w:tmpl w:val="F1607B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590F62D9"/>
    <w:multiLevelType w:val="multilevel"/>
    <w:tmpl w:val="C38C7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5A151311"/>
    <w:multiLevelType w:val="multilevel"/>
    <w:tmpl w:val="540254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nsid w:val="5D8A437E"/>
    <w:multiLevelType w:val="multilevel"/>
    <w:tmpl w:val="04F2EF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nsid w:val="66853B1A"/>
    <w:multiLevelType w:val="multilevel"/>
    <w:tmpl w:val="258A8E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nsid w:val="66ED5BB4"/>
    <w:multiLevelType w:val="multilevel"/>
    <w:tmpl w:val="C73CBD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nsid w:val="67A57E7A"/>
    <w:multiLevelType w:val="multilevel"/>
    <w:tmpl w:val="BC8A8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69342B40"/>
    <w:multiLevelType w:val="multilevel"/>
    <w:tmpl w:val="E7F2A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nsid w:val="69BF22BE"/>
    <w:multiLevelType w:val="multilevel"/>
    <w:tmpl w:val="235E4EE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6A8C49E9"/>
    <w:multiLevelType w:val="multilevel"/>
    <w:tmpl w:val="4AC6DAC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nsid w:val="6B806080"/>
    <w:multiLevelType w:val="multilevel"/>
    <w:tmpl w:val="CCBE0A1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nsid w:val="6BA44BB0"/>
    <w:multiLevelType w:val="multilevel"/>
    <w:tmpl w:val="E4680E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6F973106"/>
    <w:multiLevelType w:val="multilevel"/>
    <w:tmpl w:val="EDFA1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nsid w:val="70041BFB"/>
    <w:multiLevelType w:val="multilevel"/>
    <w:tmpl w:val="2C1239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704D0E3A"/>
    <w:multiLevelType w:val="multilevel"/>
    <w:tmpl w:val="EBEA2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nsid w:val="708D1995"/>
    <w:multiLevelType w:val="multilevel"/>
    <w:tmpl w:val="5E762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nsid w:val="78EE1D5D"/>
    <w:multiLevelType w:val="multilevel"/>
    <w:tmpl w:val="65D0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nsid w:val="7A823326"/>
    <w:multiLevelType w:val="multilevel"/>
    <w:tmpl w:val="FC968D4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nsid w:val="7AFA0B6C"/>
    <w:multiLevelType w:val="multilevel"/>
    <w:tmpl w:val="C07E11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nsid w:val="7C8A7EBA"/>
    <w:multiLevelType w:val="multilevel"/>
    <w:tmpl w:val="E82C8FD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51"/>
  </w:num>
  <w:num w:numId="3">
    <w:abstractNumId w:val="29"/>
  </w:num>
  <w:num w:numId="4">
    <w:abstractNumId w:val="20"/>
  </w:num>
  <w:num w:numId="5">
    <w:abstractNumId w:val="13"/>
  </w:num>
  <w:num w:numId="6">
    <w:abstractNumId w:val="34"/>
  </w:num>
  <w:num w:numId="7">
    <w:abstractNumId w:val="24"/>
  </w:num>
  <w:num w:numId="8">
    <w:abstractNumId w:val="9"/>
  </w:num>
  <w:num w:numId="9">
    <w:abstractNumId w:val="30"/>
  </w:num>
  <w:num w:numId="10">
    <w:abstractNumId w:val="27"/>
  </w:num>
  <w:num w:numId="11">
    <w:abstractNumId w:val="46"/>
  </w:num>
  <w:num w:numId="12">
    <w:abstractNumId w:val="7"/>
  </w:num>
  <w:num w:numId="13">
    <w:abstractNumId w:val="8"/>
  </w:num>
  <w:num w:numId="14">
    <w:abstractNumId w:val="4"/>
  </w:num>
  <w:num w:numId="15">
    <w:abstractNumId w:val="14"/>
  </w:num>
  <w:num w:numId="16">
    <w:abstractNumId w:val="42"/>
  </w:num>
  <w:num w:numId="17">
    <w:abstractNumId w:val="3"/>
  </w:num>
  <w:num w:numId="18">
    <w:abstractNumId w:val="53"/>
  </w:num>
  <w:num w:numId="19">
    <w:abstractNumId w:val="26"/>
  </w:num>
  <w:num w:numId="20">
    <w:abstractNumId w:val="23"/>
  </w:num>
  <w:num w:numId="21">
    <w:abstractNumId w:val="33"/>
  </w:num>
  <w:num w:numId="22">
    <w:abstractNumId w:val="59"/>
  </w:num>
  <w:num w:numId="23">
    <w:abstractNumId w:val="12"/>
  </w:num>
  <w:num w:numId="24">
    <w:abstractNumId w:val="21"/>
  </w:num>
  <w:num w:numId="25">
    <w:abstractNumId w:val="22"/>
  </w:num>
  <w:num w:numId="26">
    <w:abstractNumId w:val="56"/>
  </w:num>
  <w:num w:numId="27">
    <w:abstractNumId w:val="25"/>
  </w:num>
  <w:num w:numId="28">
    <w:abstractNumId w:val="55"/>
  </w:num>
  <w:num w:numId="29">
    <w:abstractNumId w:val="35"/>
  </w:num>
  <w:num w:numId="30">
    <w:abstractNumId w:val="6"/>
  </w:num>
  <w:num w:numId="31">
    <w:abstractNumId w:val="5"/>
  </w:num>
  <w:num w:numId="32">
    <w:abstractNumId w:val="16"/>
  </w:num>
  <w:num w:numId="33">
    <w:abstractNumId w:val="47"/>
  </w:num>
  <w:num w:numId="34">
    <w:abstractNumId w:val="31"/>
  </w:num>
  <w:num w:numId="35">
    <w:abstractNumId w:val="39"/>
  </w:num>
  <w:num w:numId="36">
    <w:abstractNumId w:val="58"/>
  </w:num>
  <w:num w:numId="37">
    <w:abstractNumId w:val="50"/>
  </w:num>
  <w:num w:numId="38">
    <w:abstractNumId w:val="48"/>
  </w:num>
  <w:num w:numId="39">
    <w:abstractNumId w:val="54"/>
  </w:num>
  <w:num w:numId="40">
    <w:abstractNumId w:val="11"/>
  </w:num>
  <w:num w:numId="41">
    <w:abstractNumId w:val="2"/>
  </w:num>
  <w:num w:numId="42">
    <w:abstractNumId w:val="38"/>
  </w:num>
  <w:num w:numId="43">
    <w:abstractNumId w:val="45"/>
  </w:num>
  <w:num w:numId="44">
    <w:abstractNumId w:val="15"/>
  </w:num>
  <w:num w:numId="45">
    <w:abstractNumId w:val="57"/>
  </w:num>
  <w:num w:numId="46">
    <w:abstractNumId w:val="57"/>
    <w:lvlOverride w:ilvl="1">
      <w:startOverride w:val="1"/>
    </w:lvlOverride>
  </w:num>
  <w:num w:numId="47">
    <w:abstractNumId w:val="43"/>
  </w:num>
  <w:num w:numId="48">
    <w:abstractNumId w:val="0"/>
  </w:num>
  <w:num w:numId="49">
    <w:abstractNumId w:val="44"/>
  </w:num>
  <w:num w:numId="50">
    <w:abstractNumId w:val="49"/>
  </w:num>
  <w:num w:numId="51">
    <w:abstractNumId w:val="36"/>
  </w:num>
  <w:num w:numId="52">
    <w:abstractNumId w:val="19"/>
  </w:num>
  <w:num w:numId="53">
    <w:abstractNumId w:val="28"/>
  </w:num>
  <w:num w:numId="54">
    <w:abstractNumId w:val="41"/>
  </w:num>
  <w:num w:numId="55">
    <w:abstractNumId w:val="37"/>
  </w:num>
  <w:num w:numId="56">
    <w:abstractNumId w:val="17"/>
  </w:num>
  <w:num w:numId="57">
    <w:abstractNumId w:val="40"/>
  </w:num>
  <w:num w:numId="58">
    <w:abstractNumId w:val="52"/>
  </w:num>
  <w:num w:numId="59">
    <w:abstractNumId w:val="18"/>
  </w:num>
  <w:num w:numId="60">
    <w:abstractNumId w:val="32"/>
  </w:num>
  <w:num w:numId="61">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9C"/>
    <w:rsid w:val="002B5857"/>
    <w:rsid w:val="002F0EF0"/>
    <w:rsid w:val="003A348B"/>
    <w:rsid w:val="00406D9C"/>
    <w:rsid w:val="004A2309"/>
    <w:rsid w:val="006B424B"/>
    <w:rsid w:val="00856A7B"/>
    <w:rsid w:val="009948CE"/>
    <w:rsid w:val="009F4C1C"/>
    <w:rsid w:val="00A60FFC"/>
    <w:rsid w:val="00AE02EE"/>
    <w:rsid w:val="00B6378B"/>
    <w:rsid w:val="00D775F2"/>
    <w:rsid w:val="00F61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8E8D77-F56D-463F-ACA7-FDE0E1A1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06D9C"/>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406D9C"/>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406D9C"/>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406D9C"/>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406D9C"/>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406D9C"/>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D9C"/>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406D9C"/>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406D9C"/>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406D9C"/>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406D9C"/>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406D9C"/>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406D9C"/>
    <w:rPr>
      <w:b/>
      <w:bCs/>
      <w:strike w:val="0"/>
      <w:dstrike w:val="0"/>
      <w:color w:val="0000FF"/>
      <w:u w:val="none"/>
      <w:effect w:val="none"/>
    </w:rPr>
  </w:style>
  <w:style w:type="character" w:styleId="Emphasis">
    <w:name w:val="Emphasis"/>
    <w:basedOn w:val="DefaultParagraphFont"/>
    <w:uiPriority w:val="20"/>
    <w:qFormat/>
    <w:rsid w:val="00406D9C"/>
    <w:rPr>
      <w:i/>
      <w:iCs/>
    </w:rPr>
  </w:style>
  <w:style w:type="paragraph" w:customStyle="1" w:styleId="error">
    <w:name w:val="erro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406D9C"/>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406D9C"/>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406D9C"/>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406D9C"/>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406D9C"/>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406D9C"/>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406D9C"/>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406D9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406D9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406D9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406D9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406D9C"/>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406D9C"/>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406D9C"/>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406D9C"/>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406D9C"/>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406D9C"/>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406D9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406D9C"/>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406D9C"/>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406D9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406D9C"/>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406D9C"/>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406D9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406D9C"/>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406D9C"/>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406D9C"/>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406D9C"/>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406D9C"/>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406D9C"/>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406D9C"/>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406D9C"/>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406D9C"/>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406D9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406D9C"/>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406D9C"/>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406D9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406D9C"/>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406D9C"/>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406D9C"/>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406D9C"/>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406D9C"/>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406D9C"/>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406D9C"/>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406D9C"/>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406D9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406D9C"/>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406D9C"/>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406D9C"/>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406D9C"/>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406D9C"/>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406D9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406D9C"/>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406D9C"/>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406D9C"/>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406D9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406D9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406D9C"/>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406D9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406D9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406D9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406D9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406D9C"/>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406D9C"/>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406D9C"/>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406D9C"/>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406D9C"/>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406D9C"/>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406D9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406D9C"/>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406D9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406D9C"/>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406D9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406D9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406D9C"/>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406D9C"/>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406D9C"/>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406D9C"/>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406D9C"/>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406D9C"/>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406D9C"/>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406D9C"/>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406D9C"/>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406D9C"/>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406D9C"/>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406D9C"/>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406D9C"/>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406D9C"/>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406D9C"/>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406D9C"/>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406D9C"/>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406D9C"/>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406D9C"/>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406D9C"/>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406D9C"/>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406D9C"/>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406D9C"/>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406D9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406D9C"/>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406D9C"/>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406D9C"/>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406D9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406D9C"/>
    <w:rPr>
      <w:bdr w:val="single" w:sz="6" w:space="0" w:color="FFFFFF" w:frame="1"/>
    </w:rPr>
  </w:style>
  <w:style w:type="character" w:customStyle="1" w:styleId="pagingicon1">
    <w:name w:val="pagingicon1"/>
    <w:basedOn w:val="DefaultParagraphFont"/>
    <w:rsid w:val="00406D9C"/>
  </w:style>
  <w:style w:type="character" w:customStyle="1" w:styleId="mapclearicon">
    <w:name w:val="mapclearicon"/>
    <w:basedOn w:val="DefaultParagraphFont"/>
    <w:rsid w:val="00406D9C"/>
    <w:rPr>
      <w:sz w:val="24"/>
      <w:szCs w:val="24"/>
    </w:rPr>
  </w:style>
  <w:style w:type="character" w:customStyle="1" w:styleId="mapokicon">
    <w:name w:val="mapokicon"/>
    <w:basedOn w:val="DefaultParagraphFont"/>
    <w:rsid w:val="00406D9C"/>
    <w:rPr>
      <w:sz w:val="24"/>
      <w:szCs w:val="24"/>
    </w:rPr>
  </w:style>
  <w:style w:type="character" w:customStyle="1" w:styleId="mapstepbackicon">
    <w:name w:val="mapstepbackicon"/>
    <w:basedOn w:val="DefaultParagraphFont"/>
    <w:rsid w:val="00406D9C"/>
    <w:rPr>
      <w:sz w:val="24"/>
      <w:szCs w:val="24"/>
    </w:rPr>
  </w:style>
  <w:style w:type="character" w:customStyle="1" w:styleId="mapok">
    <w:name w:val="mapok"/>
    <w:basedOn w:val="DefaultParagraphFont"/>
    <w:rsid w:val="00406D9C"/>
    <w:rPr>
      <w:sz w:val="24"/>
      <w:szCs w:val="24"/>
    </w:rPr>
  </w:style>
  <w:style w:type="character" w:customStyle="1" w:styleId="addnew">
    <w:name w:val="addnew"/>
    <w:basedOn w:val="DefaultParagraphFont"/>
    <w:rsid w:val="00406D9C"/>
    <w:rPr>
      <w:sz w:val="24"/>
      <w:szCs w:val="24"/>
    </w:rPr>
  </w:style>
  <w:style w:type="character" w:customStyle="1" w:styleId="cancelbtn">
    <w:name w:val="cancelbtn"/>
    <w:basedOn w:val="DefaultParagraphFont"/>
    <w:rsid w:val="00406D9C"/>
    <w:rPr>
      <w:sz w:val="24"/>
      <w:szCs w:val="24"/>
    </w:rPr>
  </w:style>
  <w:style w:type="character" w:customStyle="1" w:styleId="nexticon1">
    <w:name w:val="nexticon1"/>
    <w:basedOn w:val="DefaultParagraphFont"/>
    <w:rsid w:val="00406D9C"/>
  </w:style>
  <w:style w:type="character" w:customStyle="1" w:styleId="previcon">
    <w:name w:val="previcon"/>
    <w:basedOn w:val="DefaultParagraphFont"/>
    <w:rsid w:val="00406D9C"/>
  </w:style>
  <w:style w:type="character" w:customStyle="1" w:styleId="answer">
    <w:name w:val="answer"/>
    <w:basedOn w:val="DefaultParagraphFont"/>
    <w:rsid w:val="00406D9C"/>
  </w:style>
  <w:style w:type="character" w:customStyle="1" w:styleId="featurename">
    <w:name w:val="featurename"/>
    <w:basedOn w:val="DefaultParagraphFont"/>
    <w:rsid w:val="00406D9C"/>
  </w:style>
  <w:style w:type="character" w:customStyle="1" w:styleId="question1">
    <w:name w:val="question1"/>
    <w:basedOn w:val="DefaultParagraphFont"/>
    <w:rsid w:val="00406D9C"/>
  </w:style>
  <w:style w:type="character" w:customStyle="1" w:styleId="delete">
    <w:name w:val="delete"/>
    <w:basedOn w:val="DefaultParagraphFont"/>
    <w:rsid w:val="00406D9C"/>
  </w:style>
  <w:style w:type="paragraph" w:customStyle="1" w:styleId="firstnode1">
    <w:name w:val="firstnod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406D9C"/>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406D9C"/>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406D9C"/>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406D9C"/>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406D9C"/>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406D9C"/>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406D9C"/>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406D9C"/>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406D9C"/>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406D9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406D9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406D9C"/>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406D9C"/>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406D9C"/>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406D9C"/>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406D9C"/>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406D9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406D9C"/>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406D9C"/>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406D9C"/>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406D9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406D9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406D9C"/>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406D9C"/>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406D9C"/>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406D9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406D9C"/>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406D9C"/>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406D9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406D9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406D9C"/>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406D9C"/>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406D9C"/>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406D9C"/>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406D9C"/>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406D9C"/>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406D9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406D9C"/>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406D9C"/>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406D9C"/>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406D9C"/>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406D9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406D9C"/>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406D9C"/>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406D9C"/>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406D9C"/>
  </w:style>
  <w:style w:type="character" w:customStyle="1" w:styleId="previcon1">
    <w:name w:val="previcon1"/>
    <w:basedOn w:val="DefaultParagraphFont"/>
    <w:rsid w:val="00406D9C"/>
  </w:style>
  <w:style w:type="paragraph" w:customStyle="1" w:styleId="eventnavtitle1">
    <w:name w:val="eventnavtitle1"/>
    <w:basedOn w:val="Normal"/>
    <w:rsid w:val="00406D9C"/>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406D9C"/>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406D9C"/>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406D9C"/>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406D9C"/>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406D9C"/>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406D9C"/>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406D9C"/>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406D9C"/>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406D9C"/>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406D9C"/>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406D9C"/>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406D9C"/>
    <w:rPr>
      <w:b/>
      <w:bCs/>
      <w:vanish w:val="0"/>
      <w:webHidden w:val="0"/>
      <w:specVanish w:val="0"/>
    </w:rPr>
  </w:style>
  <w:style w:type="paragraph" w:customStyle="1" w:styleId="questionbody1">
    <w:name w:val="questionbody1"/>
    <w:basedOn w:val="Normal"/>
    <w:rsid w:val="00406D9C"/>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406D9C"/>
    <w:rPr>
      <w:vanish w:val="0"/>
      <w:webHidden w:val="0"/>
      <w:specVanish w:val="0"/>
    </w:rPr>
  </w:style>
  <w:style w:type="paragraph" w:customStyle="1" w:styleId="title10">
    <w:name w:val="title1"/>
    <w:basedOn w:val="Normal"/>
    <w:rsid w:val="00406D9C"/>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406D9C"/>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406D9C"/>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406D9C"/>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406D9C"/>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406D9C"/>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406D9C"/>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406D9C"/>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406D9C"/>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406D9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406D9C"/>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406D9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406D9C"/>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406D9C"/>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406D9C"/>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406D9C"/>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406D9C"/>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406D9C"/>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406D9C"/>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406D9C"/>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406D9C"/>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406D9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406D9C"/>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406D9C"/>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406D9C"/>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406D9C"/>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406D9C"/>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406D9C"/>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406D9C"/>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406D9C"/>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406D9C"/>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406D9C"/>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406D9C"/>
    <w:rPr>
      <w:vanish w:val="0"/>
      <w:webHidden w:val="0"/>
      <w:specVanish w:val="0"/>
    </w:rPr>
  </w:style>
  <w:style w:type="paragraph" w:customStyle="1" w:styleId="select1">
    <w:name w:val="select1"/>
    <w:basedOn w:val="Normal"/>
    <w:rsid w:val="00406D9C"/>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406D9C"/>
    <w:rPr>
      <w:vanish w:val="0"/>
      <w:webHidden w:val="0"/>
      <w:specVanish w:val="0"/>
    </w:rPr>
  </w:style>
  <w:style w:type="paragraph" w:customStyle="1" w:styleId="back2">
    <w:name w:val="back2"/>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406D9C"/>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406D9C"/>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406D9C"/>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406D9C"/>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406D9C"/>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406D9C"/>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406D9C"/>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406D9C"/>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406D9C"/>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406D9C"/>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406D9C"/>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406D9C"/>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406D9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06D9C"/>
    <w:rPr>
      <w:b/>
      <w:bCs/>
    </w:rPr>
  </w:style>
  <w:style w:type="character" w:customStyle="1" w:styleId="number">
    <w:name w:val="number"/>
    <w:basedOn w:val="DefaultParagraphFont"/>
    <w:rsid w:val="00406D9C"/>
  </w:style>
  <w:style w:type="character" w:customStyle="1" w:styleId="newwindow">
    <w:name w:val="newwindow"/>
    <w:basedOn w:val="DefaultParagraphFont"/>
    <w:rsid w:val="00406D9C"/>
  </w:style>
  <w:style w:type="character" w:customStyle="1" w:styleId="highlightbackground2">
    <w:name w:val="highlightbackground2"/>
    <w:basedOn w:val="DefaultParagraphFont"/>
    <w:rsid w:val="00406D9C"/>
    <w:rPr>
      <w:shd w:val="clear" w:color="auto" w:fill="FFFF33"/>
    </w:rPr>
  </w:style>
  <w:style w:type="paragraph" w:styleId="ListParagraph">
    <w:name w:val="List Paragraph"/>
    <w:basedOn w:val="Normal"/>
    <w:uiPriority w:val="34"/>
    <w:qFormat/>
    <w:rsid w:val="00AE02EE"/>
    <w:pPr>
      <w:spacing w:after="200" w:line="276" w:lineRule="auto"/>
      <w:ind w:left="720"/>
      <w:contextualSpacing/>
    </w:pPr>
    <w:rPr>
      <w:rFonts w:ascii="Arial" w:hAnsi="Arial"/>
    </w:rPr>
  </w:style>
  <w:style w:type="paragraph" w:styleId="Header">
    <w:name w:val="header"/>
    <w:basedOn w:val="Normal"/>
    <w:link w:val="HeaderChar"/>
    <w:uiPriority w:val="99"/>
    <w:unhideWhenUsed/>
    <w:rsid w:val="00F61D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D96"/>
  </w:style>
  <w:style w:type="paragraph" w:styleId="Footer">
    <w:name w:val="footer"/>
    <w:basedOn w:val="Normal"/>
    <w:link w:val="FooterChar"/>
    <w:uiPriority w:val="99"/>
    <w:unhideWhenUsed/>
    <w:rsid w:val="00F61D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291532">
      <w:bodyDiv w:val="1"/>
      <w:marLeft w:val="0"/>
      <w:marRight w:val="0"/>
      <w:marTop w:val="0"/>
      <w:marBottom w:val="0"/>
      <w:divBdr>
        <w:top w:val="none" w:sz="0" w:space="0" w:color="auto"/>
        <w:left w:val="none" w:sz="0" w:space="0" w:color="auto"/>
        <w:bottom w:val="none" w:sz="0" w:space="0" w:color="auto"/>
        <w:right w:val="none" w:sz="0" w:space="0" w:color="auto"/>
      </w:divBdr>
      <w:divsChild>
        <w:div w:id="177699480">
          <w:marLeft w:val="0"/>
          <w:marRight w:val="0"/>
          <w:marTop w:val="0"/>
          <w:marBottom w:val="0"/>
          <w:divBdr>
            <w:top w:val="none" w:sz="0" w:space="0" w:color="auto"/>
            <w:left w:val="none" w:sz="0" w:space="0" w:color="auto"/>
            <w:bottom w:val="none" w:sz="0" w:space="0" w:color="auto"/>
            <w:right w:val="none" w:sz="0" w:space="0" w:color="auto"/>
          </w:divBdr>
          <w:divsChild>
            <w:div w:id="349113962">
              <w:marLeft w:val="0"/>
              <w:marRight w:val="0"/>
              <w:marTop w:val="150"/>
              <w:marBottom w:val="0"/>
              <w:divBdr>
                <w:top w:val="none" w:sz="0" w:space="0" w:color="auto"/>
                <w:left w:val="none" w:sz="0" w:space="0" w:color="auto"/>
                <w:bottom w:val="none" w:sz="0" w:space="0" w:color="auto"/>
                <w:right w:val="none" w:sz="0" w:space="0" w:color="auto"/>
              </w:divBdr>
              <w:divsChild>
                <w:div w:id="1868641493">
                  <w:marLeft w:val="3300"/>
                  <w:marRight w:val="0"/>
                  <w:marTop w:val="0"/>
                  <w:marBottom w:val="0"/>
                  <w:divBdr>
                    <w:top w:val="none" w:sz="0" w:space="0" w:color="auto"/>
                    <w:left w:val="none" w:sz="0" w:space="0" w:color="auto"/>
                    <w:bottom w:val="none" w:sz="0" w:space="0" w:color="auto"/>
                    <w:right w:val="none" w:sz="0" w:space="0" w:color="auto"/>
                  </w:divBdr>
                  <w:divsChild>
                    <w:div w:id="1995988614">
                      <w:marLeft w:val="0"/>
                      <w:marRight w:val="0"/>
                      <w:marTop w:val="0"/>
                      <w:marBottom w:val="0"/>
                      <w:divBdr>
                        <w:top w:val="single" w:sz="6" w:space="7" w:color="A8A8A8"/>
                        <w:left w:val="single" w:sz="2" w:space="14" w:color="A8A8A8"/>
                        <w:bottom w:val="single" w:sz="6" w:space="7" w:color="A8A8A8"/>
                        <w:right w:val="single" w:sz="2" w:space="14" w:color="A8A8A8"/>
                      </w:divBdr>
                      <w:divsChild>
                        <w:div w:id="50035754">
                          <w:marLeft w:val="0"/>
                          <w:marRight w:val="0"/>
                          <w:marTop w:val="0"/>
                          <w:marBottom w:val="0"/>
                          <w:divBdr>
                            <w:top w:val="none" w:sz="0" w:space="0" w:color="auto"/>
                            <w:left w:val="none" w:sz="0" w:space="0" w:color="auto"/>
                            <w:bottom w:val="none" w:sz="0" w:space="0" w:color="auto"/>
                            <w:right w:val="none" w:sz="0" w:space="0" w:color="auto"/>
                          </w:divBdr>
                          <w:divsChild>
                            <w:div w:id="2125079074">
                              <w:marLeft w:val="0"/>
                              <w:marRight w:val="0"/>
                              <w:marTop w:val="0"/>
                              <w:marBottom w:val="0"/>
                              <w:divBdr>
                                <w:top w:val="none" w:sz="0" w:space="0" w:color="auto"/>
                                <w:left w:val="none" w:sz="0" w:space="0" w:color="auto"/>
                                <w:bottom w:val="none" w:sz="0" w:space="0" w:color="auto"/>
                                <w:right w:val="none" w:sz="0" w:space="0" w:color="auto"/>
                              </w:divBdr>
                              <w:divsChild>
                                <w:div w:id="65884816">
                                  <w:marLeft w:val="0"/>
                                  <w:marRight w:val="0"/>
                                  <w:marTop w:val="0"/>
                                  <w:marBottom w:val="0"/>
                                  <w:divBdr>
                                    <w:top w:val="none" w:sz="0" w:space="0" w:color="auto"/>
                                    <w:left w:val="none" w:sz="0" w:space="0" w:color="auto"/>
                                    <w:bottom w:val="none" w:sz="0" w:space="0" w:color="auto"/>
                                    <w:right w:val="none" w:sz="0" w:space="0" w:color="auto"/>
                                  </w:divBdr>
                                  <w:divsChild>
                                    <w:div w:id="2126460572">
                                      <w:marLeft w:val="0"/>
                                      <w:marRight w:val="0"/>
                                      <w:marTop w:val="0"/>
                                      <w:marBottom w:val="0"/>
                                      <w:divBdr>
                                        <w:top w:val="none" w:sz="0" w:space="0" w:color="auto"/>
                                        <w:left w:val="none" w:sz="0" w:space="0" w:color="auto"/>
                                        <w:bottom w:val="none" w:sz="0" w:space="0" w:color="auto"/>
                                        <w:right w:val="none" w:sz="0" w:space="0" w:color="auto"/>
                                      </w:divBdr>
                                      <w:divsChild>
                                        <w:div w:id="712772334">
                                          <w:marLeft w:val="0"/>
                                          <w:marRight w:val="0"/>
                                          <w:marTop w:val="0"/>
                                          <w:marBottom w:val="0"/>
                                          <w:divBdr>
                                            <w:top w:val="none" w:sz="0" w:space="0" w:color="auto"/>
                                            <w:left w:val="none" w:sz="0" w:space="0" w:color="auto"/>
                                            <w:bottom w:val="none" w:sz="0" w:space="0" w:color="auto"/>
                                            <w:right w:val="none" w:sz="0" w:space="0" w:color="auto"/>
                                          </w:divBdr>
                                          <w:divsChild>
                                            <w:div w:id="1068577536">
                                              <w:marLeft w:val="0"/>
                                              <w:marRight w:val="0"/>
                                              <w:marTop w:val="0"/>
                                              <w:marBottom w:val="0"/>
                                              <w:divBdr>
                                                <w:top w:val="none" w:sz="0" w:space="0" w:color="auto"/>
                                                <w:left w:val="none" w:sz="0" w:space="0" w:color="auto"/>
                                                <w:bottom w:val="none" w:sz="0" w:space="0" w:color="auto"/>
                                                <w:right w:val="none" w:sz="0" w:space="0" w:color="auto"/>
                                              </w:divBdr>
                                              <w:divsChild>
                                                <w:div w:id="1711301560">
                                                  <w:marLeft w:val="0"/>
                                                  <w:marRight w:val="0"/>
                                                  <w:marTop w:val="0"/>
                                                  <w:marBottom w:val="0"/>
                                                  <w:divBdr>
                                                    <w:top w:val="none" w:sz="0" w:space="0" w:color="auto"/>
                                                    <w:left w:val="none" w:sz="0" w:space="0" w:color="auto"/>
                                                    <w:bottom w:val="none" w:sz="0" w:space="0" w:color="auto"/>
                                                    <w:right w:val="none" w:sz="0" w:space="0" w:color="auto"/>
                                                  </w:divBdr>
                                                  <w:divsChild>
                                                    <w:div w:id="1124664126">
                                                      <w:marLeft w:val="0"/>
                                                      <w:marRight w:val="0"/>
                                                      <w:marTop w:val="0"/>
                                                      <w:marBottom w:val="0"/>
                                                      <w:divBdr>
                                                        <w:top w:val="none" w:sz="0" w:space="0" w:color="auto"/>
                                                        <w:left w:val="none" w:sz="0" w:space="0" w:color="auto"/>
                                                        <w:bottom w:val="none" w:sz="0" w:space="0" w:color="auto"/>
                                                        <w:right w:val="none" w:sz="0" w:space="0" w:color="auto"/>
                                                      </w:divBdr>
                                                    </w:div>
                                                  </w:divsChild>
                                                </w:div>
                                                <w:div w:id="1758402387">
                                                  <w:marLeft w:val="0"/>
                                                  <w:marRight w:val="0"/>
                                                  <w:marTop w:val="0"/>
                                                  <w:marBottom w:val="0"/>
                                                  <w:divBdr>
                                                    <w:top w:val="none" w:sz="0" w:space="0" w:color="auto"/>
                                                    <w:left w:val="none" w:sz="0" w:space="0" w:color="auto"/>
                                                    <w:bottom w:val="none" w:sz="0" w:space="0" w:color="auto"/>
                                                    <w:right w:val="none" w:sz="0" w:space="0" w:color="auto"/>
                                                  </w:divBdr>
                                                  <w:divsChild>
                                                    <w:div w:id="1717971443">
                                                      <w:marLeft w:val="0"/>
                                                      <w:marRight w:val="0"/>
                                                      <w:marTop w:val="0"/>
                                                      <w:marBottom w:val="0"/>
                                                      <w:divBdr>
                                                        <w:top w:val="none" w:sz="0" w:space="0" w:color="auto"/>
                                                        <w:left w:val="none" w:sz="0" w:space="0" w:color="auto"/>
                                                        <w:bottom w:val="none" w:sz="0" w:space="0" w:color="auto"/>
                                                        <w:right w:val="none" w:sz="0" w:space="0" w:color="auto"/>
                                                      </w:divBdr>
                                                    </w:div>
                                                  </w:divsChild>
                                                </w:div>
                                                <w:div w:id="1727147859">
                                                  <w:marLeft w:val="0"/>
                                                  <w:marRight w:val="0"/>
                                                  <w:marTop w:val="0"/>
                                                  <w:marBottom w:val="0"/>
                                                  <w:divBdr>
                                                    <w:top w:val="none" w:sz="0" w:space="0" w:color="auto"/>
                                                    <w:left w:val="none" w:sz="0" w:space="0" w:color="auto"/>
                                                    <w:bottom w:val="none" w:sz="0" w:space="0" w:color="auto"/>
                                                    <w:right w:val="none" w:sz="0" w:space="0" w:color="auto"/>
                                                  </w:divBdr>
                                                  <w:divsChild>
                                                    <w:div w:id="457643806">
                                                      <w:marLeft w:val="0"/>
                                                      <w:marRight w:val="0"/>
                                                      <w:marTop w:val="0"/>
                                                      <w:marBottom w:val="0"/>
                                                      <w:divBdr>
                                                        <w:top w:val="none" w:sz="0" w:space="0" w:color="auto"/>
                                                        <w:left w:val="none" w:sz="0" w:space="0" w:color="auto"/>
                                                        <w:bottom w:val="none" w:sz="0" w:space="0" w:color="auto"/>
                                                        <w:right w:val="none" w:sz="0" w:space="0" w:color="auto"/>
                                                      </w:divBdr>
                                                    </w:div>
                                                  </w:divsChild>
                                                </w:div>
                                                <w:div w:id="653022346">
                                                  <w:marLeft w:val="0"/>
                                                  <w:marRight w:val="0"/>
                                                  <w:marTop w:val="0"/>
                                                  <w:marBottom w:val="0"/>
                                                  <w:divBdr>
                                                    <w:top w:val="none" w:sz="0" w:space="0" w:color="auto"/>
                                                    <w:left w:val="none" w:sz="0" w:space="0" w:color="auto"/>
                                                    <w:bottom w:val="none" w:sz="0" w:space="0" w:color="auto"/>
                                                    <w:right w:val="none" w:sz="0" w:space="0" w:color="auto"/>
                                                  </w:divBdr>
                                                  <w:divsChild>
                                                    <w:div w:id="1652564301">
                                                      <w:marLeft w:val="0"/>
                                                      <w:marRight w:val="0"/>
                                                      <w:marTop w:val="0"/>
                                                      <w:marBottom w:val="0"/>
                                                      <w:divBdr>
                                                        <w:top w:val="none" w:sz="0" w:space="0" w:color="auto"/>
                                                        <w:left w:val="none" w:sz="0" w:space="0" w:color="auto"/>
                                                        <w:bottom w:val="none" w:sz="0" w:space="0" w:color="auto"/>
                                                        <w:right w:val="none" w:sz="0" w:space="0" w:color="auto"/>
                                                      </w:divBdr>
                                                    </w:div>
                                                  </w:divsChild>
                                                </w:div>
                                                <w:div w:id="1112896992">
                                                  <w:marLeft w:val="0"/>
                                                  <w:marRight w:val="0"/>
                                                  <w:marTop w:val="0"/>
                                                  <w:marBottom w:val="0"/>
                                                  <w:divBdr>
                                                    <w:top w:val="none" w:sz="0" w:space="0" w:color="auto"/>
                                                    <w:left w:val="none" w:sz="0" w:space="0" w:color="auto"/>
                                                    <w:bottom w:val="none" w:sz="0" w:space="0" w:color="auto"/>
                                                    <w:right w:val="none" w:sz="0" w:space="0" w:color="auto"/>
                                                  </w:divBdr>
                                                  <w:divsChild>
                                                    <w:div w:id="1295794989">
                                                      <w:marLeft w:val="0"/>
                                                      <w:marRight w:val="0"/>
                                                      <w:marTop w:val="0"/>
                                                      <w:marBottom w:val="0"/>
                                                      <w:divBdr>
                                                        <w:top w:val="none" w:sz="0" w:space="0" w:color="auto"/>
                                                        <w:left w:val="none" w:sz="0" w:space="0" w:color="auto"/>
                                                        <w:bottom w:val="none" w:sz="0" w:space="0" w:color="auto"/>
                                                        <w:right w:val="none" w:sz="0" w:space="0" w:color="auto"/>
                                                      </w:divBdr>
                                                    </w:div>
                                                  </w:divsChild>
                                                </w:div>
                                                <w:div w:id="382485149">
                                                  <w:marLeft w:val="0"/>
                                                  <w:marRight w:val="0"/>
                                                  <w:marTop w:val="0"/>
                                                  <w:marBottom w:val="0"/>
                                                  <w:divBdr>
                                                    <w:top w:val="none" w:sz="0" w:space="0" w:color="auto"/>
                                                    <w:left w:val="none" w:sz="0" w:space="0" w:color="auto"/>
                                                    <w:bottom w:val="none" w:sz="0" w:space="0" w:color="auto"/>
                                                    <w:right w:val="none" w:sz="0" w:space="0" w:color="auto"/>
                                                  </w:divBdr>
                                                  <w:divsChild>
                                                    <w:div w:id="601839803">
                                                      <w:marLeft w:val="0"/>
                                                      <w:marRight w:val="0"/>
                                                      <w:marTop w:val="0"/>
                                                      <w:marBottom w:val="0"/>
                                                      <w:divBdr>
                                                        <w:top w:val="none" w:sz="0" w:space="0" w:color="auto"/>
                                                        <w:left w:val="none" w:sz="0" w:space="0" w:color="auto"/>
                                                        <w:bottom w:val="none" w:sz="0" w:space="0" w:color="auto"/>
                                                        <w:right w:val="none" w:sz="0" w:space="0" w:color="auto"/>
                                                      </w:divBdr>
                                                    </w:div>
                                                  </w:divsChild>
                                                </w:div>
                                                <w:div w:id="1671054788">
                                                  <w:marLeft w:val="0"/>
                                                  <w:marRight w:val="0"/>
                                                  <w:marTop w:val="0"/>
                                                  <w:marBottom w:val="0"/>
                                                  <w:divBdr>
                                                    <w:top w:val="none" w:sz="0" w:space="0" w:color="auto"/>
                                                    <w:left w:val="none" w:sz="0" w:space="0" w:color="auto"/>
                                                    <w:bottom w:val="none" w:sz="0" w:space="0" w:color="auto"/>
                                                    <w:right w:val="none" w:sz="0" w:space="0" w:color="auto"/>
                                                  </w:divBdr>
                                                  <w:divsChild>
                                                    <w:div w:id="1316110890">
                                                      <w:marLeft w:val="0"/>
                                                      <w:marRight w:val="0"/>
                                                      <w:marTop w:val="0"/>
                                                      <w:marBottom w:val="0"/>
                                                      <w:divBdr>
                                                        <w:top w:val="none" w:sz="0" w:space="0" w:color="auto"/>
                                                        <w:left w:val="none" w:sz="0" w:space="0" w:color="auto"/>
                                                        <w:bottom w:val="none" w:sz="0" w:space="0" w:color="auto"/>
                                                        <w:right w:val="none" w:sz="0" w:space="0" w:color="auto"/>
                                                      </w:divBdr>
                                                    </w:div>
                                                  </w:divsChild>
                                                </w:div>
                                                <w:div w:id="687482594">
                                                  <w:marLeft w:val="0"/>
                                                  <w:marRight w:val="0"/>
                                                  <w:marTop w:val="0"/>
                                                  <w:marBottom w:val="0"/>
                                                  <w:divBdr>
                                                    <w:top w:val="none" w:sz="0" w:space="0" w:color="auto"/>
                                                    <w:left w:val="none" w:sz="0" w:space="0" w:color="auto"/>
                                                    <w:bottom w:val="none" w:sz="0" w:space="0" w:color="auto"/>
                                                    <w:right w:val="none" w:sz="0" w:space="0" w:color="auto"/>
                                                  </w:divBdr>
                                                  <w:divsChild>
                                                    <w:div w:id="315914987">
                                                      <w:marLeft w:val="0"/>
                                                      <w:marRight w:val="0"/>
                                                      <w:marTop w:val="0"/>
                                                      <w:marBottom w:val="0"/>
                                                      <w:divBdr>
                                                        <w:top w:val="none" w:sz="0" w:space="0" w:color="auto"/>
                                                        <w:left w:val="none" w:sz="0" w:space="0" w:color="auto"/>
                                                        <w:bottom w:val="none" w:sz="0" w:space="0" w:color="auto"/>
                                                        <w:right w:val="none" w:sz="0" w:space="0" w:color="auto"/>
                                                      </w:divBdr>
                                                    </w:div>
                                                  </w:divsChild>
                                                </w:div>
                                                <w:div w:id="1969119503">
                                                  <w:marLeft w:val="0"/>
                                                  <w:marRight w:val="0"/>
                                                  <w:marTop w:val="0"/>
                                                  <w:marBottom w:val="0"/>
                                                  <w:divBdr>
                                                    <w:top w:val="none" w:sz="0" w:space="0" w:color="auto"/>
                                                    <w:left w:val="none" w:sz="0" w:space="0" w:color="auto"/>
                                                    <w:bottom w:val="none" w:sz="0" w:space="0" w:color="auto"/>
                                                    <w:right w:val="none" w:sz="0" w:space="0" w:color="auto"/>
                                                  </w:divBdr>
                                                  <w:divsChild>
                                                    <w:div w:id="1769226718">
                                                      <w:marLeft w:val="0"/>
                                                      <w:marRight w:val="0"/>
                                                      <w:marTop w:val="0"/>
                                                      <w:marBottom w:val="0"/>
                                                      <w:divBdr>
                                                        <w:top w:val="none" w:sz="0" w:space="0" w:color="auto"/>
                                                        <w:left w:val="none" w:sz="0" w:space="0" w:color="auto"/>
                                                        <w:bottom w:val="none" w:sz="0" w:space="0" w:color="auto"/>
                                                        <w:right w:val="none" w:sz="0" w:space="0" w:color="auto"/>
                                                      </w:divBdr>
                                                    </w:div>
                                                  </w:divsChild>
                                                </w:div>
                                                <w:div w:id="1347636058">
                                                  <w:marLeft w:val="0"/>
                                                  <w:marRight w:val="0"/>
                                                  <w:marTop w:val="0"/>
                                                  <w:marBottom w:val="0"/>
                                                  <w:divBdr>
                                                    <w:top w:val="none" w:sz="0" w:space="0" w:color="auto"/>
                                                    <w:left w:val="none" w:sz="0" w:space="0" w:color="auto"/>
                                                    <w:bottom w:val="none" w:sz="0" w:space="0" w:color="auto"/>
                                                    <w:right w:val="none" w:sz="0" w:space="0" w:color="auto"/>
                                                  </w:divBdr>
                                                </w:div>
                                                <w:div w:id="1490321259">
                                                  <w:marLeft w:val="0"/>
                                                  <w:marRight w:val="0"/>
                                                  <w:marTop w:val="0"/>
                                                  <w:marBottom w:val="0"/>
                                                  <w:divBdr>
                                                    <w:top w:val="none" w:sz="0" w:space="0" w:color="auto"/>
                                                    <w:left w:val="none" w:sz="0" w:space="0" w:color="auto"/>
                                                    <w:bottom w:val="none" w:sz="0" w:space="0" w:color="auto"/>
                                                    <w:right w:val="none" w:sz="0" w:space="0" w:color="auto"/>
                                                  </w:divBdr>
                                                </w:div>
                                                <w:div w:id="1277912342">
                                                  <w:marLeft w:val="0"/>
                                                  <w:marRight w:val="0"/>
                                                  <w:marTop w:val="0"/>
                                                  <w:marBottom w:val="0"/>
                                                  <w:divBdr>
                                                    <w:top w:val="none" w:sz="0" w:space="0" w:color="auto"/>
                                                    <w:left w:val="none" w:sz="0" w:space="0" w:color="auto"/>
                                                    <w:bottom w:val="none" w:sz="0" w:space="0" w:color="auto"/>
                                                    <w:right w:val="none" w:sz="0" w:space="0" w:color="auto"/>
                                                  </w:divBdr>
                                                </w:div>
                                                <w:div w:id="1757751843">
                                                  <w:marLeft w:val="0"/>
                                                  <w:marRight w:val="0"/>
                                                  <w:marTop w:val="0"/>
                                                  <w:marBottom w:val="0"/>
                                                  <w:divBdr>
                                                    <w:top w:val="none" w:sz="0" w:space="0" w:color="auto"/>
                                                    <w:left w:val="none" w:sz="0" w:space="0" w:color="auto"/>
                                                    <w:bottom w:val="none" w:sz="0" w:space="0" w:color="auto"/>
                                                    <w:right w:val="none" w:sz="0" w:space="0" w:color="auto"/>
                                                  </w:divBdr>
                                                  <w:divsChild>
                                                    <w:div w:id="1707825558">
                                                      <w:marLeft w:val="0"/>
                                                      <w:marRight w:val="0"/>
                                                      <w:marTop w:val="0"/>
                                                      <w:marBottom w:val="0"/>
                                                      <w:divBdr>
                                                        <w:top w:val="none" w:sz="0" w:space="0" w:color="auto"/>
                                                        <w:left w:val="none" w:sz="0" w:space="0" w:color="auto"/>
                                                        <w:bottom w:val="none" w:sz="0" w:space="0" w:color="auto"/>
                                                        <w:right w:val="none" w:sz="0" w:space="0" w:color="auto"/>
                                                      </w:divBdr>
                                                    </w:div>
                                                  </w:divsChild>
                                                </w:div>
                                                <w:div w:id="994184519">
                                                  <w:marLeft w:val="0"/>
                                                  <w:marRight w:val="0"/>
                                                  <w:marTop w:val="0"/>
                                                  <w:marBottom w:val="0"/>
                                                  <w:divBdr>
                                                    <w:top w:val="none" w:sz="0" w:space="0" w:color="auto"/>
                                                    <w:left w:val="none" w:sz="0" w:space="0" w:color="auto"/>
                                                    <w:bottom w:val="none" w:sz="0" w:space="0" w:color="auto"/>
                                                    <w:right w:val="none" w:sz="0" w:space="0" w:color="auto"/>
                                                  </w:divBdr>
                                                  <w:divsChild>
                                                    <w:div w:id="64305184">
                                                      <w:marLeft w:val="0"/>
                                                      <w:marRight w:val="0"/>
                                                      <w:marTop w:val="45"/>
                                                      <w:marBottom w:val="45"/>
                                                      <w:divBdr>
                                                        <w:top w:val="none" w:sz="0" w:space="0" w:color="auto"/>
                                                        <w:left w:val="none" w:sz="0" w:space="0" w:color="auto"/>
                                                        <w:bottom w:val="none" w:sz="0" w:space="0" w:color="auto"/>
                                                        <w:right w:val="none" w:sz="0" w:space="0" w:color="auto"/>
                                                      </w:divBdr>
                                                    </w:div>
                                                  </w:divsChild>
                                                </w:div>
                                                <w:div w:id="357589565">
                                                  <w:marLeft w:val="0"/>
                                                  <w:marRight w:val="0"/>
                                                  <w:marTop w:val="0"/>
                                                  <w:marBottom w:val="0"/>
                                                  <w:divBdr>
                                                    <w:top w:val="none" w:sz="0" w:space="0" w:color="auto"/>
                                                    <w:left w:val="none" w:sz="0" w:space="0" w:color="auto"/>
                                                    <w:bottom w:val="none" w:sz="0" w:space="0" w:color="auto"/>
                                                    <w:right w:val="none" w:sz="0" w:space="0" w:color="auto"/>
                                                  </w:divBdr>
                                                  <w:divsChild>
                                                    <w:div w:id="740559433">
                                                      <w:marLeft w:val="0"/>
                                                      <w:marRight w:val="0"/>
                                                      <w:marTop w:val="0"/>
                                                      <w:marBottom w:val="0"/>
                                                      <w:divBdr>
                                                        <w:top w:val="none" w:sz="0" w:space="0" w:color="auto"/>
                                                        <w:left w:val="none" w:sz="0" w:space="0" w:color="auto"/>
                                                        <w:bottom w:val="none" w:sz="0" w:space="0" w:color="auto"/>
                                                        <w:right w:val="none" w:sz="0" w:space="0" w:color="auto"/>
                                                      </w:divBdr>
                                                    </w:div>
                                                  </w:divsChild>
                                                </w:div>
                                                <w:div w:id="1657029757">
                                                  <w:marLeft w:val="0"/>
                                                  <w:marRight w:val="0"/>
                                                  <w:marTop w:val="0"/>
                                                  <w:marBottom w:val="0"/>
                                                  <w:divBdr>
                                                    <w:top w:val="none" w:sz="0" w:space="0" w:color="auto"/>
                                                    <w:left w:val="none" w:sz="0" w:space="0" w:color="auto"/>
                                                    <w:bottom w:val="none" w:sz="0" w:space="0" w:color="auto"/>
                                                    <w:right w:val="none" w:sz="0" w:space="0" w:color="auto"/>
                                                  </w:divBdr>
                                                  <w:divsChild>
                                                    <w:div w:id="397242765">
                                                      <w:marLeft w:val="0"/>
                                                      <w:marRight w:val="0"/>
                                                      <w:marTop w:val="0"/>
                                                      <w:marBottom w:val="0"/>
                                                      <w:divBdr>
                                                        <w:top w:val="none" w:sz="0" w:space="0" w:color="auto"/>
                                                        <w:left w:val="none" w:sz="0" w:space="0" w:color="auto"/>
                                                        <w:bottom w:val="none" w:sz="0" w:space="0" w:color="auto"/>
                                                        <w:right w:val="none" w:sz="0" w:space="0" w:color="auto"/>
                                                      </w:divBdr>
                                                    </w:div>
                                                  </w:divsChild>
                                                </w:div>
                                                <w:div w:id="1830443312">
                                                  <w:marLeft w:val="0"/>
                                                  <w:marRight w:val="0"/>
                                                  <w:marTop w:val="0"/>
                                                  <w:marBottom w:val="0"/>
                                                  <w:divBdr>
                                                    <w:top w:val="none" w:sz="0" w:space="0" w:color="auto"/>
                                                    <w:left w:val="none" w:sz="0" w:space="0" w:color="auto"/>
                                                    <w:bottom w:val="none" w:sz="0" w:space="0" w:color="auto"/>
                                                    <w:right w:val="none" w:sz="0" w:space="0" w:color="auto"/>
                                                  </w:divBdr>
                                                  <w:divsChild>
                                                    <w:div w:id="723910962">
                                                      <w:marLeft w:val="0"/>
                                                      <w:marRight w:val="0"/>
                                                      <w:marTop w:val="0"/>
                                                      <w:marBottom w:val="0"/>
                                                      <w:divBdr>
                                                        <w:top w:val="none" w:sz="0" w:space="0" w:color="auto"/>
                                                        <w:left w:val="none" w:sz="0" w:space="0" w:color="auto"/>
                                                        <w:bottom w:val="none" w:sz="0" w:space="0" w:color="auto"/>
                                                        <w:right w:val="none" w:sz="0" w:space="0" w:color="auto"/>
                                                      </w:divBdr>
                                                    </w:div>
                                                  </w:divsChild>
                                                </w:div>
                                                <w:div w:id="323314792">
                                                  <w:marLeft w:val="0"/>
                                                  <w:marRight w:val="0"/>
                                                  <w:marTop w:val="0"/>
                                                  <w:marBottom w:val="0"/>
                                                  <w:divBdr>
                                                    <w:top w:val="none" w:sz="0" w:space="0" w:color="auto"/>
                                                    <w:left w:val="none" w:sz="0" w:space="0" w:color="auto"/>
                                                    <w:bottom w:val="none" w:sz="0" w:space="0" w:color="auto"/>
                                                    <w:right w:val="none" w:sz="0" w:space="0" w:color="auto"/>
                                                  </w:divBdr>
                                                  <w:divsChild>
                                                    <w:div w:id="920721557">
                                                      <w:marLeft w:val="0"/>
                                                      <w:marRight w:val="0"/>
                                                      <w:marTop w:val="0"/>
                                                      <w:marBottom w:val="0"/>
                                                      <w:divBdr>
                                                        <w:top w:val="none" w:sz="0" w:space="0" w:color="auto"/>
                                                        <w:left w:val="none" w:sz="0" w:space="0" w:color="auto"/>
                                                        <w:bottom w:val="none" w:sz="0" w:space="0" w:color="auto"/>
                                                        <w:right w:val="none" w:sz="0" w:space="0" w:color="auto"/>
                                                      </w:divBdr>
                                                    </w:div>
                                                  </w:divsChild>
                                                </w:div>
                                                <w:div w:id="739136431">
                                                  <w:marLeft w:val="0"/>
                                                  <w:marRight w:val="0"/>
                                                  <w:marTop w:val="0"/>
                                                  <w:marBottom w:val="0"/>
                                                  <w:divBdr>
                                                    <w:top w:val="none" w:sz="0" w:space="0" w:color="auto"/>
                                                    <w:left w:val="none" w:sz="0" w:space="0" w:color="auto"/>
                                                    <w:bottom w:val="none" w:sz="0" w:space="0" w:color="auto"/>
                                                    <w:right w:val="none" w:sz="0" w:space="0" w:color="auto"/>
                                                  </w:divBdr>
                                                  <w:divsChild>
                                                    <w:div w:id="1843203417">
                                                      <w:marLeft w:val="0"/>
                                                      <w:marRight w:val="0"/>
                                                      <w:marTop w:val="0"/>
                                                      <w:marBottom w:val="0"/>
                                                      <w:divBdr>
                                                        <w:top w:val="none" w:sz="0" w:space="0" w:color="auto"/>
                                                        <w:left w:val="none" w:sz="0" w:space="0" w:color="auto"/>
                                                        <w:bottom w:val="none" w:sz="0" w:space="0" w:color="auto"/>
                                                        <w:right w:val="none" w:sz="0" w:space="0" w:color="auto"/>
                                                      </w:divBdr>
                                                    </w:div>
                                                  </w:divsChild>
                                                </w:div>
                                                <w:div w:id="2065174805">
                                                  <w:marLeft w:val="0"/>
                                                  <w:marRight w:val="0"/>
                                                  <w:marTop w:val="0"/>
                                                  <w:marBottom w:val="0"/>
                                                  <w:divBdr>
                                                    <w:top w:val="none" w:sz="0" w:space="0" w:color="auto"/>
                                                    <w:left w:val="none" w:sz="0" w:space="0" w:color="auto"/>
                                                    <w:bottom w:val="none" w:sz="0" w:space="0" w:color="auto"/>
                                                    <w:right w:val="none" w:sz="0" w:space="0" w:color="auto"/>
                                                  </w:divBdr>
                                                  <w:divsChild>
                                                    <w:div w:id="1062874712">
                                                      <w:marLeft w:val="0"/>
                                                      <w:marRight w:val="0"/>
                                                      <w:marTop w:val="0"/>
                                                      <w:marBottom w:val="0"/>
                                                      <w:divBdr>
                                                        <w:top w:val="none" w:sz="0" w:space="0" w:color="auto"/>
                                                        <w:left w:val="none" w:sz="0" w:space="0" w:color="auto"/>
                                                        <w:bottom w:val="none" w:sz="0" w:space="0" w:color="auto"/>
                                                        <w:right w:val="none" w:sz="0" w:space="0" w:color="auto"/>
                                                      </w:divBdr>
                                                    </w:div>
                                                  </w:divsChild>
                                                </w:div>
                                                <w:div w:id="384837468">
                                                  <w:marLeft w:val="0"/>
                                                  <w:marRight w:val="0"/>
                                                  <w:marTop w:val="0"/>
                                                  <w:marBottom w:val="0"/>
                                                  <w:divBdr>
                                                    <w:top w:val="none" w:sz="0" w:space="0" w:color="auto"/>
                                                    <w:left w:val="none" w:sz="0" w:space="0" w:color="auto"/>
                                                    <w:bottom w:val="none" w:sz="0" w:space="0" w:color="auto"/>
                                                    <w:right w:val="none" w:sz="0" w:space="0" w:color="auto"/>
                                                  </w:divBdr>
                                                  <w:divsChild>
                                                    <w:div w:id="134109951">
                                                      <w:marLeft w:val="0"/>
                                                      <w:marRight w:val="0"/>
                                                      <w:marTop w:val="0"/>
                                                      <w:marBottom w:val="0"/>
                                                      <w:divBdr>
                                                        <w:top w:val="none" w:sz="0" w:space="0" w:color="auto"/>
                                                        <w:left w:val="none" w:sz="0" w:space="0" w:color="auto"/>
                                                        <w:bottom w:val="none" w:sz="0" w:space="0" w:color="auto"/>
                                                        <w:right w:val="none" w:sz="0" w:space="0" w:color="auto"/>
                                                      </w:divBdr>
                                                    </w:div>
                                                  </w:divsChild>
                                                </w:div>
                                                <w:div w:id="632176677">
                                                  <w:marLeft w:val="0"/>
                                                  <w:marRight w:val="0"/>
                                                  <w:marTop w:val="0"/>
                                                  <w:marBottom w:val="0"/>
                                                  <w:divBdr>
                                                    <w:top w:val="none" w:sz="0" w:space="0" w:color="auto"/>
                                                    <w:left w:val="none" w:sz="0" w:space="0" w:color="auto"/>
                                                    <w:bottom w:val="none" w:sz="0" w:space="0" w:color="auto"/>
                                                    <w:right w:val="none" w:sz="0" w:space="0" w:color="auto"/>
                                                  </w:divBdr>
                                                  <w:divsChild>
                                                    <w:div w:id="254869775">
                                                      <w:marLeft w:val="0"/>
                                                      <w:marRight w:val="0"/>
                                                      <w:marTop w:val="45"/>
                                                      <w:marBottom w:val="45"/>
                                                      <w:divBdr>
                                                        <w:top w:val="none" w:sz="0" w:space="0" w:color="auto"/>
                                                        <w:left w:val="none" w:sz="0" w:space="0" w:color="auto"/>
                                                        <w:bottom w:val="none" w:sz="0" w:space="0" w:color="auto"/>
                                                        <w:right w:val="none" w:sz="0" w:space="0" w:color="auto"/>
                                                      </w:divBdr>
                                                    </w:div>
                                                  </w:divsChild>
                                                </w:div>
                                                <w:div w:id="1197501014">
                                                  <w:marLeft w:val="0"/>
                                                  <w:marRight w:val="0"/>
                                                  <w:marTop w:val="0"/>
                                                  <w:marBottom w:val="0"/>
                                                  <w:divBdr>
                                                    <w:top w:val="none" w:sz="0" w:space="0" w:color="auto"/>
                                                    <w:left w:val="none" w:sz="0" w:space="0" w:color="auto"/>
                                                    <w:bottom w:val="none" w:sz="0" w:space="0" w:color="auto"/>
                                                    <w:right w:val="none" w:sz="0" w:space="0" w:color="auto"/>
                                                  </w:divBdr>
                                                  <w:divsChild>
                                                    <w:div w:id="1535270033">
                                                      <w:marLeft w:val="0"/>
                                                      <w:marRight w:val="0"/>
                                                      <w:marTop w:val="0"/>
                                                      <w:marBottom w:val="0"/>
                                                      <w:divBdr>
                                                        <w:top w:val="none" w:sz="0" w:space="0" w:color="auto"/>
                                                        <w:left w:val="none" w:sz="0" w:space="0" w:color="auto"/>
                                                        <w:bottom w:val="none" w:sz="0" w:space="0" w:color="auto"/>
                                                        <w:right w:val="none" w:sz="0" w:space="0" w:color="auto"/>
                                                      </w:divBdr>
                                                    </w:div>
                                                  </w:divsChild>
                                                </w:div>
                                                <w:div w:id="183791546">
                                                  <w:marLeft w:val="0"/>
                                                  <w:marRight w:val="0"/>
                                                  <w:marTop w:val="0"/>
                                                  <w:marBottom w:val="0"/>
                                                  <w:divBdr>
                                                    <w:top w:val="none" w:sz="0" w:space="0" w:color="auto"/>
                                                    <w:left w:val="none" w:sz="0" w:space="0" w:color="auto"/>
                                                    <w:bottom w:val="none" w:sz="0" w:space="0" w:color="auto"/>
                                                    <w:right w:val="none" w:sz="0" w:space="0" w:color="auto"/>
                                                  </w:divBdr>
                                                  <w:divsChild>
                                                    <w:div w:id="1943301641">
                                                      <w:marLeft w:val="0"/>
                                                      <w:marRight w:val="0"/>
                                                      <w:marTop w:val="0"/>
                                                      <w:marBottom w:val="0"/>
                                                      <w:divBdr>
                                                        <w:top w:val="none" w:sz="0" w:space="0" w:color="auto"/>
                                                        <w:left w:val="none" w:sz="0" w:space="0" w:color="auto"/>
                                                        <w:bottom w:val="none" w:sz="0" w:space="0" w:color="auto"/>
                                                        <w:right w:val="none" w:sz="0" w:space="0" w:color="auto"/>
                                                      </w:divBdr>
                                                    </w:div>
                                                  </w:divsChild>
                                                </w:div>
                                                <w:div w:id="943998292">
                                                  <w:marLeft w:val="0"/>
                                                  <w:marRight w:val="0"/>
                                                  <w:marTop w:val="0"/>
                                                  <w:marBottom w:val="0"/>
                                                  <w:divBdr>
                                                    <w:top w:val="none" w:sz="0" w:space="0" w:color="auto"/>
                                                    <w:left w:val="none" w:sz="0" w:space="0" w:color="auto"/>
                                                    <w:bottom w:val="none" w:sz="0" w:space="0" w:color="auto"/>
                                                    <w:right w:val="none" w:sz="0" w:space="0" w:color="auto"/>
                                                  </w:divBdr>
                                                  <w:divsChild>
                                                    <w:div w:id="1699307788">
                                                      <w:marLeft w:val="0"/>
                                                      <w:marRight w:val="0"/>
                                                      <w:marTop w:val="45"/>
                                                      <w:marBottom w:val="45"/>
                                                      <w:divBdr>
                                                        <w:top w:val="none" w:sz="0" w:space="0" w:color="auto"/>
                                                        <w:left w:val="none" w:sz="0" w:space="0" w:color="auto"/>
                                                        <w:bottom w:val="none" w:sz="0" w:space="0" w:color="auto"/>
                                                        <w:right w:val="none" w:sz="0" w:space="0" w:color="auto"/>
                                                      </w:divBdr>
                                                    </w:div>
                                                  </w:divsChild>
                                                </w:div>
                                                <w:div w:id="2014867890">
                                                  <w:marLeft w:val="0"/>
                                                  <w:marRight w:val="0"/>
                                                  <w:marTop w:val="0"/>
                                                  <w:marBottom w:val="0"/>
                                                  <w:divBdr>
                                                    <w:top w:val="none" w:sz="0" w:space="0" w:color="auto"/>
                                                    <w:left w:val="none" w:sz="0" w:space="0" w:color="auto"/>
                                                    <w:bottom w:val="none" w:sz="0" w:space="0" w:color="auto"/>
                                                    <w:right w:val="none" w:sz="0" w:space="0" w:color="auto"/>
                                                  </w:divBdr>
                                                  <w:divsChild>
                                                    <w:div w:id="1112359750">
                                                      <w:marLeft w:val="0"/>
                                                      <w:marRight w:val="0"/>
                                                      <w:marTop w:val="45"/>
                                                      <w:marBottom w:val="45"/>
                                                      <w:divBdr>
                                                        <w:top w:val="none" w:sz="0" w:space="0" w:color="auto"/>
                                                        <w:left w:val="none" w:sz="0" w:space="0" w:color="auto"/>
                                                        <w:bottom w:val="none" w:sz="0" w:space="0" w:color="auto"/>
                                                        <w:right w:val="none" w:sz="0" w:space="0" w:color="auto"/>
                                                      </w:divBdr>
                                                    </w:div>
                                                  </w:divsChild>
                                                </w:div>
                                                <w:div w:id="1204708700">
                                                  <w:marLeft w:val="0"/>
                                                  <w:marRight w:val="0"/>
                                                  <w:marTop w:val="0"/>
                                                  <w:marBottom w:val="0"/>
                                                  <w:divBdr>
                                                    <w:top w:val="none" w:sz="0" w:space="0" w:color="auto"/>
                                                    <w:left w:val="none" w:sz="0" w:space="0" w:color="auto"/>
                                                    <w:bottom w:val="none" w:sz="0" w:space="0" w:color="auto"/>
                                                    <w:right w:val="none" w:sz="0" w:space="0" w:color="auto"/>
                                                  </w:divBdr>
                                                  <w:divsChild>
                                                    <w:div w:id="1213495430">
                                                      <w:marLeft w:val="0"/>
                                                      <w:marRight w:val="0"/>
                                                      <w:marTop w:val="0"/>
                                                      <w:marBottom w:val="0"/>
                                                      <w:divBdr>
                                                        <w:top w:val="none" w:sz="0" w:space="0" w:color="auto"/>
                                                        <w:left w:val="none" w:sz="0" w:space="0" w:color="auto"/>
                                                        <w:bottom w:val="none" w:sz="0" w:space="0" w:color="auto"/>
                                                        <w:right w:val="none" w:sz="0" w:space="0" w:color="auto"/>
                                                      </w:divBdr>
                                                    </w:div>
                                                  </w:divsChild>
                                                </w:div>
                                                <w:div w:id="1602491341">
                                                  <w:marLeft w:val="0"/>
                                                  <w:marRight w:val="0"/>
                                                  <w:marTop w:val="0"/>
                                                  <w:marBottom w:val="0"/>
                                                  <w:divBdr>
                                                    <w:top w:val="none" w:sz="0" w:space="0" w:color="auto"/>
                                                    <w:left w:val="none" w:sz="0" w:space="0" w:color="auto"/>
                                                    <w:bottom w:val="none" w:sz="0" w:space="0" w:color="auto"/>
                                                    <w:right w:val="none" w:sz="0" w:space="0" w:color="auto"/>
                                                  </w:divBdr>
                                                  <w:divsChild>
                                                    <w:div w:id="101849446">
                                                      <w:marLeft w:val="0"/>
                                                      <w:marRight w:val="0"/>
                                                      <w:marTop w:val="0"/>
                                                      <w:marBottom w:val="0"/>
                                                      <w:divBdr>
                                                        <w:top w:val="none" w:sz="0" w:space="0" w:color="auto"/>
                                                        <w:left w:val="none" w:sz="0" w:space="0" w:color="auto"/>
                                                        <w:bottom w:val="none" w:sz="0" w:space="0" w:color="auto"/>
                                                        <w:right w:val="none" w:sz="0" w:space="0" w:color="auto"/>
                                                      </w:divBdr>
                                                    </w:div>
                                                  </w:divsChild>
                                                </w:div>
                                                <w:div w:id="1387533864">
                                                  <w:marLeft w:val="0"/>
                                                  <w:marRight w:val="0"/>
                                                  <w:marTop w:val="0"/>
                                                  <w:marBottom w:val="0"/>
                                                  <w:divBdr>
                                                    <w:top w:val="none" w:sz="0" w:space="0" w:color="auto"/>
                                                    <w:left w:val="none" w:sz="0" w:space="0" w:color="auto"/>
                                                    <w:bottom w:val="none" w:sz="0" w:space="0" w:color="auto"/>
                                                    <w:right w:val="none" w:sz="0" w:space="0" w:color="auto"/>
                                                  </w:divBdr>
                                                  <w:divsChild>
                                                    <w:div w:id="1478182732">
                                                      <w:marLeft w:val="0"/>
                                                      <w:marRight w:val="0"/>
                                                      <w:marTop w:val="0"/>
                                                      <w:marBottom w:val="0"/>
                                                      <w:divBdr>
                                                        <w:top w:val="none" w:sz="0" w:space="0" w:color="auto"/>
                                                        <w:left w:val="none" w:sz="0" w:space="0" w:color="auto"/>
                                                        <w:bottom w:val="none" w:sz="0" w:space="0" w:color="auto"/>
                                                        <w:right w:val="none" w:sz="0" w:space="0" w:color="auto"/>
                                                      </w:divBdr>
                                                    </w:div>
                                                  </w:divsChild>
                                                </w:div>
                                                <w:div w:id="1737505917">
                                                  <w:marLeft w:val="0"/>
                                                  <w:marRight w:val="0"/>
                                                  <w:marTop w:val="0"/>
                                                  <w:marBottom w:val="0"/>
                                                  <w:divBdr>
                                                    <w:top w:val="none" w:sz="0" w:space="0" w:color="auto"/>
                                                    <w:left w:val="none" w:sz="0" w:space="0" w:color="auto"/>
                                                    <w:bottom w:val="none" w:sz="0" w:space="0" w:color="auto"/>
                                                    <w:right w:val="none" w:sz="0" w:space="0" w:color="auto"/>
                                                  </w:divBdr>
                                                  <w:divsChild>
                                                    <w:div w:id="240457429">
                                                      <w:marLeft w:val="0"/>
                                                      <w:marRight w:val="0"/>
                                                      <w:marTop w:val="0"/>
                                                      <w:marBottom w:val="0"/>
                                                      <w:divBdr>
                                                        <w:top w:val="none" w:sz="0" w:space="0" w:color="auto"/>
                                                        <w:left w:val="none" w:sz="0" w:space="0" w:color="auto"/>
                                                        <w:bottom w:val="none" w:sz="0" w:space="0" w:color="auto"/>
                                                        <w:right w:val="none" w:sz="0" w:space="0" w:color="auto"/>
                                                      </w:divBdr>
                                                    </w:div>
                                                  </w:divsChild>
                                                </w:div>
                                                <w:div w:id="332026059">
                                                  <w:marLeft w:val="0"/>
                                                  <w:marRight w:val="0"/>
                                                  <w:marTop w:val="0"/>
                                                  <w:marBottom w:val="0"/>
                                                  <w:divBdr>
                                                    <w:top w:val="none" w:sz="0" w:space="0" w:color="auto"/>
                                                    <w:left w:val="none" w:sz="0" w:space="0" w:color="auto"/>
                                                    <w:bottom w:val="none" w:sz="0" w:space="0" w:color="auto"/>
                                                    <w:right w:val="none" w:sz="0" w:space="0" w:color="auto"/>
                                                  </w:divBdr>
                                                  <w:divsChild>
                                                    <w:div w:id="87773023">
                                                      <w:marLeft w:val="0"/>
                                                      <w:marRight w:val="0"/>
                                                      <w:marTop w:val="0"/>
                                                      <w:marBottom w:val="0"/>
                                                      <w:divBdr>
                                                        <w:top w:val="none" w:sz="0" w:space="0" w:color="auto"/>
                                                        <w:left w:val="none" w:sz="0" w:space="0" w:color="auto"/>
                                                        <w:bottom w:val="none" w:sz="0" w:space="0" w:color="auto"/>
                                                        <w:right w:val="none" w:sz="0" w:space="0" w:color="auto"/>
                                                      </w:divBdr>
                                                    </w:div>
                                                  </w:divsChild>
                                                </w:div>
                                                <w:div w:id="1635522710">
                                                  <w:marLeft w:val="0"/>
                                                  <w:marRight w:val="0"/>
                                                  <w:marTop w:val="0"/>
                                                  <w:marBottom w:val="0"/>
                                                  <w:divBdr>
                                                    <w:top w:val="none" w:sz="0" w:space="0" w:color="auto"/>
                                                    <w:left w:val="none" w:sz="0" w:space="0" w:color="auto"/>
                                                    <w:bottom w:val="none" w:sz="0" w:space="0" w:color="auto"/>
                                                    <w:right w:val="none" w:sz="0" w:space="0" w:color="auto"/>
                                                  </w:divBdr>
                                                  <w:divsChild>
                                                    <w:div w:id="1694455056">
                                                      <w:marLeft w:val="0"/>
                                                      <w:marRight w:val="0"/>
                                                      <w:marTop w:val="0"/>
                                                      <w:marBottom w:val="0"/>
                                                      <w:divBdr>
                                                        <w:top w:val="none" w:sz="0" w:space="0" w:color="auto"/>
                                                        <w:left w:val="none" w:sz="0" w:space="0" w:color="auto"/>
                                                        <w:bottom w:val="none" w:sz="0" w:space="0" w:color="auto"/>
                                                        <w:right w:val="none" w:sz="0" w:space="0" w:color="auto"/>
                                                      </w:divBdr>
                                                    </w:div>
                                                  </w:divsChild>
                                                </w:div>
                                                <w:div w:id="1674994729">
                                                  <w:marLeft w:val="0"/>
                                                  <w:marRight w:val="0"/>
                                                  <w:marTop w:val="0"/>
                                                  <w:marBottom w:val="0"/>
                                                  <w:divBdr>
                                                    <w:top w:val="none" w:sz="0" w:space="0" w:color="auto"/>
                                                    <w:left w:val="none" w:sz="0" w:space="0" w:color="auto"/>
                                                    <w:bottom w:val="none" w:sz="0" w:space="0" w:color="auto"/>
                                                    <w:right w:val="none" w:sz="0" w:space="0" w:color="auto"/>
                                                  </w:divBdr>
                                                  <w:divsChild>
                                                    <w:div w:id="1060789364">
                                                      <w:marLeft w:val="0"/>
                                                      <w:marRight w:val="0"/>
                                                      <w:marTop w:val="0"/>
                                                      <w:marBottom w:val="0"/>
                                                      <w:divBdr>
                                                        <w:top w:val="none" w:sz="0" w:space="0" w:color="auto"/>
                                                        <w:left w:val="none" w:sz="0" w:space="0" w:color="auto"/>
                                                        <w:bottom w:val="none" w:sz="0" w:space="0" w:color="auto"/>
                                                        <w:right w:val="none" w:sz="0" w:space="0" w:color="auto"/>
                                                      </w:divBdr>
                                                    </w:div>
                                                  </w:divsChild>
                                                </w:div>
                                                <w:div w:id="1164315178">
                                                  <w:marLeft w:val="0"/>
                                                  <w:marRight w:val="0"/>
                                                  <w:marTop w:val="0"/>
                                                  <w:marBottom w:val="0"/>
                                                  <w:divBdr>
                                                    <w:top w:val="none" w:sz="0" w:space="0" w:color="auto"/>
                                                    <w:left w:val="none" w:sz="0" w:space="0" w:color="auto"/>
                                                    <w:bottom w:val="none" w:sz="0" w:space="0" w:color="auto"/>
                                                    <w:right w:val="none" w:sz="0" w:space="0" w:color="auto"/>
                                                  </w:divBdr>
                                                  <w:divsChild>
                                                    <w:div w:id="639044150">
                                                      <w:marLeft w:val="0"/>
                                                      <w:marRight w:val="0"/>
                                                      <w:marTop w:val="0"/>
                                                      <w:marBottom w:val="0"/>
                                                      <w:divBdr>
                                                        <w:top w:val="none" w:sz="0" w:space="0" w:color="auto"/>
                                                        <w:left w:val="none" w:sz="0" w:space="0" w:color="auto"/>
                                                        <w:bottom w:val="none" w:sz="0" w:space="0" w:color="auto"/>
                                                        <w:right w:val="none" w:sz="0" w:space="0" w:color="auto"/>
                                                      </w:divBdr>
                                                    </w:div>
                                                  </w:divsChild>
                                                </w:div>
                                                <w:div w:id="746461529">
                                                  <w:marLeft w:val="0"/>
                                                  <w:marRight w:val="0"/>
                                                  <w:marTop w:val="0"/>
                                                  <w:marBottom w:val="0"/>
                                                  <w:divBdr>
                                                    <w:top w:val="none" w:sz="0" w:space="0" w:color="auto"/>
                                                    <w:left w:val="none" w:sz="0" w:space="0" w:color="auto"/>
                                                    <w:bottom w:val="none" w:sz="0" w:space="0" w:color="auto"/>
                                                    <w:right w:val="none" w:sz="0" w:space="0" w:color="auto"/>
                                                  </w:divBdr>
                                                  <w:divsChild>
                                                    <w:div w:id="1145312522">
                                                      <w:marLeft w:val="0"/>
                                                      <w:marRight w:val="0"/>
                                                      <w:marTop w:val="0"/>
                                                      <w:marBottom w:val="0"/>
                                                      <w:divBdr>
                                                        <w:top w:val="none" w:sz="0" w:space="0" w:color="auto"/>
                                                        <w:left w:val="none" w:sz="0" w:space="0" w:color="auto"/>
                                                        <w:bottom w:val="none" w:sz="0" w:space="0" w:color="auto"/>
                                                        <w:right w:val="none" w:sz="0" w:space="0" w:color="auto"/>
                                                      </w:divBdr>
                                                    </w:div>
                                                  </w:divsChild>
                                                </w:div>
                                                <w:div w:id="1652246301">
                                                  <w:marLeft w:val="0"/>
                                                  <w:marRight w:val="0"/>
                                                  <w:marTop w:val="0"/>
                                                  <w:marBottom w:val="0"/>
                                                  <w:divBdr>
                                                    <w:top w:val="none" w:sz="0" w:space="0" w:color="auto"/>
                                                    <w:left w:val="none" w:sz="0" w:space="0" w:color="auto"/>
                                                    <w:bottom w:val="none" w:sz="0" w:space="0" w:color="auto"/>
                                                    <w:right w:val="none" w:sz="0" w:space="0" w:color="auto"/>
                                                  </w:divBdr>
                                                  <w:divsChild>
                                                    <w:div w:id="20085881">
                                                      <w:marLeft w:val="0"/>
                                                      <w:marRight w:val="0"/>
                                                      <w:marTop w:val="0"/>
                                                      <w:marBottom w:val="0"/>
                                                      <w:divBdr>
                                                        <w:top w:val="none" w:sz="0" w:space="0" w:color="auto"/>
                                                        <w:left w:val="none" w:sz="0" w:space="0" w:color="auto"/>
                                                        <w:bottom w:val="none" w:sz="0" w:space="0" w:color="auto"/>
                                                        <w:right w:val="none" w:sz="0" w:space="0" w:color="auto"/>
                                                      </w:divBdr>
                                                    </w:div>
                                                  </w:divsChild>
                                                </w:div>
                                                <w:div w:id="1277100334">
                                                  <w:marLeft w:val="0"/>
                                                  <w:marRight w:val="0"/>
                                                  <w:marTop w:val="0"/>
                                                  <w:marBottom w:val="0"/>
                                                  <w:divBdr>
                                                    <w:top w:val="none" w:sz="0" w:space="0" w:color="auto"/>
                                                    <w:left w:val="none" w:sz="0" w:space="0" w:color="auto"/>
                                                    <w:bottom w:val="none" w:sz="0" w:space="0" w:color="auto"/>
                                                    <w:right w:val="none" w:sz="0" w:space="0" w:color="auto"/>
                                                  </w:divBdr>
                                                  <w:divsChild>
                                                    <w:div w:id="1024790161">
                                                      <w:marLeft w:val="0"/>
                                                      <w:marRight w:val="0"/>
                                                      <w:marTop w:val="0"/>
                                                      <w:marBottom w:val="0"/>
                                                      <w:divBdr>
                                                        <w:top w:val="none" w:sz="0" w:space="0" w:color="auto"/>
                                                        <w:left w:val="none" w:sz="0" w:space="0" w:color="auto"/>
                                                        <w:bottom w:val="none" w:sz="0" w:space="0" w:color="auto"/>
                                                        <w:right w:val="none" w:sz="0" w:space="0" w:color="auto"/>
                                                      </w:divBdr>
                                                    </w:div>
                                                  </w:divsChild>
                                                </w:div>
                                                <w:div w:id="240137587">
                                                  <w:marLeft w:val="0"/>
                                                  <w:marRight w:val="0"/>
                                                  <w:marTop w:val="0"/>
                                                  <w:marBottom w:val="0"/>
                                                  <w:divBdr>
                                                    <w:top w:val="none" w:sz="0" w:space="0" w:color="auto"/>
                                                    <w:left w:val="none" w:sz="0" w:space="0" w:color="auto"/>
                                                    <w:bottom w:val="none" w:sz="0" w:space="0" w:color="auto"/>
                                                    <w:right w:val="none" w:sz="0" w:space="0" w:color="auto"/>
                                                  </w:divBdr>
                                                  <w:divsChild>
                                                    <w:div w:id="754936630">
                                                      <w:marLeft w:val="0"/>
                                                      <w:marRight w:val="0"/>
                                                      <w:marTop w:val="0"/>
                                                      <w:marBottom w:val="0"/>
                                                      <w:divBdr>
                                                        <w:top w:val="none" w:sz="0" w:space="0" w:color="auto"/>
                                                        <w:left w:val="none" w:sz="0" w:space="0" w:color="auto"/>
                                                        <w:bottom w:val="none" w:sz="0" w:space="0" w:color="auto"/>
                                                        <w:right w:val="none" w:sz="0" w:space="0" w:color="auto"/>
                                                      </w:divBdr>
                                                    </w:div>
                                                  </w:divsChild>
                                                </w:div>
                                                <w:div w:id="1298293600">
                                                  <w:marLeft w:val="0"/>
                                                  <w:marRight w:val="0"/>
                                                  <w:marTop w:val="0"/>
                                                  <w:marBottom w:val="0"/>
                                                  <w:divBdr>
                                                    <w:top w:val="none" w:sz="0" w:space="0" w:color="auto"/>
                                                    <w:left w:val="none" w:sz="0" w:space="0" w:color="auto"/>
                                                    <w:bottom w:val="none" w:sz="0" w:space="0" w:color="auto"/>
                                                    <w:right w:val="none" w:sz="0" w:space="0" w:color="auto"/>
                                                  </w:divBdr>
                                                  <w:divsChild>
                                                    <w:div w:id="382565126">
                                                      <w:marLeft w:val="0"/>
                                                      <w:marRight w:val="0"/>
                                                      <w:marTop w:val="0"/>
                                                      <w:marBottom w:val="0"/>
                                                      <w:divBdr>
                                                        <w:top w:val="none" w:sz="0" w:space="0" w:color="auto"/>
                                                        <w:left w:val="none" w:sz="0" w:space="0" w:color="auto"/>
                                                        <w:bottom w:val="none" w:sz="0" w:space="0" w:color="auto"/>
                                                        <w:right w:val="none" w:sz="0" w:space="0" w:color="auto"/>
                                                      </w:divBdr>
                                                    </w:div>
                                                  </w:divsChild>
                                                </w:div>
                                                <w:div w:id="482964452">
                                                  <w:marLeft w:val="0"/>
                                                  <w:marRight w:val="0"/>
                                                  <w:marTop w:val="0"/>
                                                  <w:marBottom w:val="0"/>
                                                  <w:divBdr>
                                                    <w:top w:val="none" w:sz="0" w:space="0" w:color="auto"/>
                                                    <w:left w:val="none" w:sz="0" w:space="0" w:color="auto"/>
                                                    <w:bottom w:val="none" w:sz="0" w:space="0" w:color="auto"/>
                                                    <w:right w:val="none" w:sz="0" w:space="0" w:color="auto"/>
                                                  </w:divBdr>
                                                  <w:divsChild>
                                                    <w:div w:id="1548179289">
                                                      <w:marLeft w:val="0"/>
                                                      <w:marRight w:val="0"/>
                                                      <w:marTop w:val="0"/>
                                                      <w:marBottom w:val="0"/>
                                                      <w:divBdr>
                                                        <w:top w:val="none" w:sz="0" w:space="0" w:color="auto"/>
                                                        <w:left w:val="none" w:sz="0" w:space="0" w:color="auto"/>
                                                        <w:bottom w:val="none" w:sz="0" w:space="0" w:color="auto"/>
                                                        <w:right w:val="none" w:sz="0" w:space="0" w:color="auto"/>
                                                      </w:divBdr>
                                                    </w:div>
                                                  </w:divsChild>
                                                </w:div>
                                                <w:div w:id="491218303">
                                                  <w:marLeft w:val="0"/>
                                                  <w:marRight w:val="0"/>
                                                  <w:marTop w:val="0"/>
                                                  <w:marBottom w:val="0"/>
                                                  <w:divBdr>
                                                    <w:top w:val="none" w:sz="0" w:space="0" w:color="auto"/>
                                                    <w:left w:val="none" w:sz="0" w:space="0" w:color="auto"/>
                                                    <w:bottom w:val="none" w:sz="0" w:space="0" w:color="auto"/>
                                                    <w:right w:val="none" w:sz="0" w:space="0" w:color="auto"/>
                                                  </w:divBdr>
                                                  <w:divsChild>
                                                    <w:div w:id="1799377182">
                                                      <w:marLeft w:val="0"/>
                                                      <w:marRight w:val="0"/>
                                                      <w:marTop w:val="0"/>
                                                      <w:marBottom w:val="0"/>
                                                      <w:divBdr>
                                                        <w:top w:val="none" w:sz="0" w:space="0" w:color="auto"/>
                                                        <w:left w:val="none" w:sz="0" w:space="0" w:color="auto"/>
                                                        <w:bottom w:val="none" w:sz="0" w:space="0" w:color="auto"/>
                                                        <w:right w:val="none" w:sz="0" w:space="0" w:color="auto"/>
                                                      </w:divBdr>
                                                    </w:div>
                                                  </w:divsChild>
                                                </w:div>
                                                <w:div w:id="264654652">
                                                  <w:marLeft w:val="0"/>
                                                  <w:marRight w:val="0"/>
                                                  <w:marTop w:val="0"/>
                                                  <w:marBottom w:val="0"/>
                                                  <w:divBdr>
                                                    <w:top w:val="none" w:sz="0" w:space="0" w:color="auto"/>
                                                    <w:left w:val="none" w:sz="0" w:space="0" w:color="auto"/>
                                                    <w:bottom w:val="none" w:sz="0" w:space="0" w:color="auto"/>
                                                    <w:right w:val="none" w:sz="0" w:space="0" w:color="auto"/>
                                                  </w:divBdr>
                                                  <w:divsChild>
                                                    <w:div w:id="557084093">
                                                      <w:marLeft w:val="0"/>
                                                      <w:marRight w:val="0"/>
                                                      <w:marTop w:val="0"/>
                                                      <w:marBottom w:val="0"/>
                                                      <w:divBdr>
                                                        <w:top w:val="none" w:sz="0" w:space="0" w:color="auto"/>
                                                        <w:left w:val="none" w:sz="0" w:space="0" w:color="auto"/>
                                                        <w:bottom w:val="none" w:sz="0" w:space="0" w:color="auto"/>
                                                        <w:right w:val="none" w:sz="0" w:space="0" w:color="auto"/>
                                                      </w:divBdr>
                                                    </w:div>
                                                  </w:divsChild>
                                                </w:div>
                                                <w:div w:id="1557624897">
                                                  <w:marLeft w:val="0"/>
                                                  <w:marRight w:val="0"/>
                                                  <w:marTop w:val="0"/>
                                                  <w:marBottom w:val="0"/>
                                                  <w:divBdr>
                                                    <w:top w:val="none" w:sz="0" w:space="0" w:color="auto"/>
                                                    <w:left w:val="none" w:sz="0" w:space="0" w:color="auto"/>
                                                    <w:bottom w:val="none" w:sz="0" w:space="0" w:color="auto"/>
                                                    <w:right w:val="none" w:sz="0" w:space="0" w:color="auto"/>
                                                  </w:divBdr>
                                                  <w:divsChild>
                                                    <w:div w:id="1579749616">
                                                      <w:marLeft w:val="0"/>
                                                      <w:marRight w:val="0"/>
                                                      <w:marTop w:val="0"/>
                                                      <w:marBottom w:val="0"/>
                                                      <w:divBdr>
                                                        <w:top w:val="none" w:sz="0" w:space="0" w:color="auto"/>
                                                        <w:left w:val="none" w:sz="0" w:space="0" w:color="auto"/>
                                                        <w:bottom w:val="none" w:sz="0" w:space="0" w:color="auto"/>
                                                        <w:right w:val="none" w:sz="0" w:space="0" w:color="auto"/>
                                                      </w:divBdr>
                                                    </w:div>
                                                  </w:divsChild>
                                                </w:div>
                                                <w:div w:id="1373070879">
                                                  <w:marLeft w:val="0"/>
                                                  <w:marRight w:val="0"/>
                                                  <w:marTop w:val="0"/>
                                                  <w:marBottom w:val="0"/>
                                                  <w:divBdr>
                                                    <w:top w:val="none" w:sz="0" w:space="0" w:color="auto"/>
                                                    <w:left w:val="none" w:sz="0" w:space="0" w:color="auto"/>
                                                    <w:bottom w:val="none" w:sz="0" w:space="0" w:color="auto"/>
                                                    <w:right w:val="none" w:sz="0" w:space="0" w:color="auto"/>
                                                  </w:divBdr>
                                                  <w:divsChild>
                                                    <w:div w:id="1512599925">
                                                      <w:marLeft w:val="0"/>
                                                      <w:marRight w:val="0"/>
                                                      <w:marTop w:val="0"/>
                                                      <w:marBottom w:val="0"/>
                                                      <w:divBdr>
                                                        <w:top w:val="none" w:sz="0" w:space="0" w:color="auto"/>
                                                        <w:left w:val="none" w:sz="0" w:space="0" w:color="auto"/>
                                                        <w:bottom w:val="none" w:sz="0" w:space="0" w:color="auto"/>
                                                        <w:right w:val="none" w:sz="0" w:space="0" w:color="auto"/>
                                                      </w:divBdr>
                                                    </w:div>
                                                  </w:divsChild>
                                                </w:div>
                                                <w:div w:id="1695418443">
                                                  <w:marLeft w:val="0"/>
                                                  <w:marRight w:val="0"/>
                                                  <w:marTop w:val="0"/>
                                                  <w:marBottom w:val="0"/>
                                                  <w:divBdr>
                                                    <w:top w:val="none" w:sz="0" w:space="0" w:color="auto"/>
                                                    <w:left w:val="none" w:sz="0" w:space="0" w:color="auto"/>
                                                    <w:bottom w:val="none" w:sz="0" w:space="0" w:color="auto"/>
                                                    <w:right w:val="none" w:sz="0" w:space="0" w:color="auto"/>
                                                  </w:divBdr>
                                                  <w:divsChild>
                                                    <w:div w:id="1923054930">
                                                      <w:marLeft w:val="0"/>
                                                      <w:marRight w:val="0"/>
                                                      <w:marTop w:val="0"/>
                                                      <w:marBottom w:val="0"/>
                                                      <w:divBdr>
                                                        <w:top w:val="none" w:sz="0" w:space="0" w:color="auto"/>
                                                        <w:left w:val="none" w:sz="0" w:space="0" w:color="auto"/>
                                                        <w:bottom w:val="none" w:sz="0" w:space="0" w:color="auto"/>
                                                        <w:right w:val="none" w:sz="0" w:space="0" w:color="auto"/>
                                                      </w:divBdr>
                                                    </w:div>
                                                  </w:divsChild>
                                                </w:div>
                                                <w:div w:id="309747029">
                                                  <w:marLeft w:val="0"/>
                                                  <w:marRight w:val="0"/>
                                                  <w:marTop w:val="0"/>
                                                  <w:marBottom w:val="0"/>
                                                  <w:divBdr>
                                                    <w:top w:val="none" w:sz="0" w:space="0" w:color="auto"/>
                                                    <w:left w:val="none" w:sz="0" w:space="0" w:color="auto"/>
                                                    <w:bottom w:val="none" w:sz="0" w:space="0" w:color="auto"/>
                                                    <w:right w:val="none" w:sz="0" w:space="0" w:color="auto"/>
                                                  </w:divBdr>
                                                  <w:divsChild>
                                                    <w:div w:id="1969629824">
                                                      <w:marLeft w:val="0"/>
                                                      <w:marRight w:val="0"/>
                                                      <w:marTop w:val="0"/>
                                                      <w:marBottom w:val="0"/>
                                                      <w:divBdr>
                                                        <w:top w:val="none" w:sz="0" w:space="0" w:color="auto"/>
                                                        <w:left w:val="none" w:sz="0" w:space="0" w:color="auto"/>
                                                        <w:bottom w:val="none" w:sz="0" w:space="0" w:color="auto"/>
                                                        <w:right w:val="none" w:sz="0" w:space="0" w:color="auto"/>
                                                      </w:divBdr>
                                                    </w:div>
                                                  </w:divsChild>
                                                </w:div>
                                                <w:div w:id="303387859">
                                                  <w:marLeft w:val="0"/>
                                                  <w:marRight w:val="0"/>
                                                  <w:marTop w:val="0"/>
                                                  <w:marBottom w:val="0"/>
                                                  <w:divBdr>
                                                    <w:top w:val="none" w:sz="0" w:space="0" w:color="auto"/>
                                                    <w:left w:val="none" w:sz="0" w:space="0" w:color="auto"/>
                                                    <w:bottom w:val="none" w:sz="0" w:space="0" w:color="auto"/>
                                                    <w:right w:val="none" w:sz="0" w:space="0" w:color="auto"/>
                                                  </w:divBdr>
                                                  <w:divsChild>
                                                    <w:div w:id="2110156118">
                                                      <w:marLeft w:val="0"/>
                                                      <w:marRight w:val="0"/>
                                                      <w:marTop w:val="0"/>
                                                      <w:marBottom w:val="0"/>
                                                      <w:divBdr>
                                                        <w:top w:val="none" w:sz="0" w:space="0" w:color="auto"/>
                                                        <w:left w:val="none" w:sz="0" w:space="0" w:color="auto"/>
                                                        <w:bottom w:val="none" w:sz="0" w:space="0" w:color="auto"/>
                                                        <w:right w:val="none" w:sz="0" w:space="0" w:color="auto"/>
                                                      </w:divBdr>
                                                    </w:div>
                                                  </w:divsChild>
                                                </w:div>
                                                <w:div w:id="1624724615">
                                                  <w:marLeft w:val="0"/>
                                                  <w:marRight w:val="0"/>
                                                  <w:marTop w:val="0"/>
                                                  <w:marBottom w:val="0"/>
                                                  <w:divBdr>
                                                    <w:top w:val="none" w:sz="0" w:space="0" w:color="auto"/>
                                                    <w:left w:val="none" w:sz="0" w:space="0" w:color="auto"/>
                                                    <w:bottom w:val="none" w:sz="0" w:space="0" w:color="auto"/>
                                                    <w:right w:val="none" w:sz="0" w:space="0" w:color="auto"/>
                                                  </w:divBdr>
                                                  <w:divsChild>
                                                    <w:div w:id="1805387972">
                                                      <w:marLeft w:val="0"/>
                                                      <w:marRight w:val="0"/>
                                                      <w:marTop w:val="0"/>
                                                      <w:marBottom w:val="0"/>
                                                      <w:divBdr>
                                                        <w:top w:val="none" w:sz="0" w:space="0" w:color="auto"/>
                                                        <w:left w:val="none" w:sz="0" w:space="0" w:color="auto"/>
                                                        <w:bottom w:val="none" w:sz="0" w:space="0" w:color="auto"/>
                                                        <w:right w:val="none" w:sz="0" w:space="0" w:color="auto"/>
                                                      </w:divBdr>
                                                    </w:div>
                                                  </w:divsChild>
                                                </w:div>
                                                <w:div w:id="529998655">
                                                  <w:marLeft w:val="0"/>
                                                  <w:marRight w:val="0"/>
                                                  <w:marTop w:val="0"/>
                                                  <w:marBottom w:val="0"/>
                                                  <w:divBdr>
                                                    <w:top w:val="none" w:sz="0" w:space="0" w:color="auto"/>
                                                    <w:left w:val="none" w:sz="0" w:space="0" w:color="auto"/>
                                                    <w:bottom w:val="none" w:sz="0" w:space="0" w:color="auto"/>
                                                    <w:right w:val="none" w:sz="0" w:space="0" w:color="auto"/>
                                                  </w:divBdr>
                                                  <w:divsChild>
                                                    <w:div w:id="1971932163">
                                                      <w:marLeft w:val="0"/>
                                                      <w:marRight w:val="0"/>
                                                      <w:marTop w:val="0"/>
                                                      <w:marBottom w:val="0"/>
                                                      <w:divBdr>
                                                        <w:top w:val="none" w:sz="0" w:space="0" w:color="auto"/>
                                                        <w:left w:val="none" w:sz="0" w:space="0" w:color="auto"/>
                                                        <w:bottom w:val="none" w:sz="0" w:space="0" w:color="auto"/>
                                                        <w:right w:val="none" w:sz="0" w:space="0" w:color="auto"/>
                                                      </w:divBdr>
                                                    </w:div>
                                                  </w:divsChild>
                                                </w:div>
                                                <w:div w:id="985401591">
                                                  <w:marLeft w:val="0"/>
                                                  <w:marRight w:val="0"/>
                                                  <w:marTop w:val="0"/>
                                                  <w:marBottom w:val="0"/>
                                                  <w:divBdr>
                                                    <w:top w:val="none" w:sz="0" w:space="0" w:color="auto"/>
                                                    <w:left w:val="none" w:sz="0" w:space="0" w:color="auto"/>
                                                    <w:bottom w:val="none" w:sz="0" w:space="0" w:color="auto"/>
                                                    <w:right w:val="none" w:sz="0" w:space="0" w:color="auto"/>
                                                  </w:divBdr>
                                                  <w:divsChild>
                                                    <w:div w:id="1431049459">
                                                      <w:marLeft w:val="0"/>
                                                      <w:marRight w:val="0"/>
                                                      <w:marTop w:val="0"/>
                                                      <w:marBottom w:val="0"/>
                                                      <w:divBdr>
                                                        <w:top w:val="none" w:sz="0" w:space="0" w:color="auto"/>
                                                        <w:left w:val="none" w:sz="0" w:space="0" w:color="auto"/>
                                                        <w:bottom w:val="none" w:sz="0" w:space="0" w:color="auto"/>
                                                        <w:right w:val="none" w:sz="0" w:space="0" w:color="auto"/>
                                                      </w:divBdr>
                                                    </w:div>
                                                  </w:divsChild>
                                                </w:div>
                                                <w:div w:id="251471523">
                                                  <w:marLeft w:val="0"/>
                                                  <w:marRight w:val="0"/>
                                                  <w:marTop w:val="0"/>
                                                  <w:marBottom w:val="0"/>
                                                  <w:divBdr>
                                                    <w:top w:val="none" w:sz="0" w:space="0" w:color="auto"/>
                                                    <w:left w:val="none" w:sz="0" w:space="0" w:color="auto"/>
                                                    <w:bottom w:val="none" w:sz="0" w:space="0" w:color="auto"/>
                                                    <w:right w:val="none" w:sz="0" w:space="0" w:color="auto"/>
                                                  </w:divBdr>
                                                  <w:divsChild>
                                                    <w:div w:id="1236817830">
                                                      <w:marLeft w:val="0"/>
                                                      <w:marRight w:val="0"/>
                                                      <w:marTop w:val="0"/>
                                                      <w:marBottom w:val="0"/>
                                                      <w:divBdr>
                                                        <w:top w:val="none" w:sz="0" w:space="0" w:color="auto"/>
                                                        <w:left w:val="none" w:sz="0" w:space="0" w:color="auto"/>
                                                        <w:bottom w:val="none" w:sz="0" w:space="0" w:color="auto"/>
                                                        <w:right w:val="none" w:sz="0" w:space="0" w:color="auto"/>
                                                      </w:divBdr>
                                                    </w:div>
                                                  </w:divsChild>
                                                </w:div>
                                                <w:div w:id="1215965190">
                                                  <w:marLeft w:val="0"/>
                                                  <w:marRight w:val="0"/>
                                                  <w:marTop w:val="0"/>
                                                  <w:marBottom w:val="0"/>
                                                  <w:divBdr>
                                                    <w:top w:val="none" w:sz="0" w:space="0" w:color="auto"/>
                                                    <w:left w:val="none" w:sz="0" w:space="0" w:color="auto"/>
                                                    <w:bottom w:val="none" w:sz="0" w:space="0" w:color="auto"/>
                                                    <w:right w:val="none" w:sz="0" w:space="0" w:color="auto"/>
                                                  </w:divBdr>
                                                  <w:divsChild>
                                                    <w:div w:id="1771583814">
                                                      <w:marLeft w:val="0"/>
                                                      <w:marRight w:val="0"/>
                                                      <w:marTop w:val="0"/>
                                                      <w:marBottom w:val="0"/>
                                                      <w:divBdr>
                                                        <w:top w:val="none" w:sz="0" w:space="0" w:color="auto"/>
                                                        <w:left w:val="none" w:sz="0" w:space="0" w:color="auto"/>
                                                        <w:bottom w:val="none" w:sz="0" w:space="0" w:color="auto"/>
                                                        <w:right w:val="none" w:sz="0" w:space="0" w:color="auto"/>
                                                      </w:divBdr>
                                                    </w:div>
                                                  </w:divsChild>
                                                </w:div>
                                                <w:div w:id="1447769741">
                                                  <w:marLeft w:val="0"/>
                                                  <w:marRight w:val="0"/>
                                                  <w:marTop w:val="0"/>
                                                  <w:marBottom w:val="0"/>
                                                  <w:divBdr>
                                                    <w:top w:val="none" w:sz="0" w:space="0" w:color="auto"/>
                                                    <w:left w:val="none" w:sz="0" w:space="0" w:color="auto"/>
                                                    <w:bottom w:val="none" w:sz="0" w:space="0" w:color="auto"/>
                                                    <w:right w:val="none" w:sz="0" w:space="0" w:color="auto"/>
                                                  </w:divBdr>
                                                  <w:divsChild>
                                                    <w:div w:id="1910530637">
                                                      <w:marLeft w:val="0"/>
                                                      <w:marRight w:val="0"/>
                                                      <w:marTop w:val="0"/>
                                                      <w:marBottom w:val="0"/>
                                                      <w:divBdr>
                                                        <w:top w:val="none" w:sz="0" w:space="0" w:color="auto"/>
                                                        <w:left w:val="none" w:sz="0" w:space="0" w:color="auto"/>
                                                        <w:bottom w:val="none" w:sz="0" w:space="0" w:color="auto"/>
                                                        <w:right w:val="none" w:sz="0" w:space="0" w:color="auto"/>
                                                      </w:divBdr>
                                                    </w:div>
                                                  </w:divsChild>
                                                </w:div>
                                                <w:div w:id="608397813">
                                                  <w:marLeft w:val="0"/>
                                                  <w:marRight w:val="0"/>
                                                  <w:marTop w:val="0"/>
                                                  <w:marBottom w:val="0"/>
                                                  <w:divBdr>
                                                    <w:top w:val="none" w:sz="0" w:space="0" w:color="auto"/>
                                                    <w:left w:val="none" w:sz="0" w:space="0" w:color="auto"/>
                                                    <w:bottom w:val="none" w:sz="0" w:space="0" w:color="auto"/>
                                                    <w:right w:val="none" w:sz="0" w:space="0" w:color="auto"/>
                                                  </w:divBdr>
                                                  <w:divsChild>
                                                    <w:div w:id="229269612">
                                                      <w:marLeft w:val="0"/>
                                                      <w:marRight w:val="0"/>
                                                      <w:marTop w:val="0"/>
                                                      <w:marBottom w:val="0"/>
                                                      <w:divBdr>
                                                        <w:top w:val="none" w:sz="0" w:space="0" w:color="auto"/>
                                                        <w:left w:val="none" w:sz="0" w:space="0" w:color="auto"/>
                                                        <w:bottom w:val="none" w:sz="0" w:space="0" w:color="auto"/>
                                                        <w:right w:val="none" w:sz="0" w:space="0" w:color="auto"/>
                                                      </w:divBdr>
                                                    </w:div>
                                                  </w:divsChild>
                                                </w:div>
                                                <w:div w:id="633754069">
                                                  <w:marLeft w:val="0"/>
                                                  <w:marRight w:val="0"/>
                                                  <w:marTop w:val="0"/>
                                                  <w:marBottom w:val="0"/>
                                                  <w:divBdr>
                                                    <w:top w:val="none" w:sz="0" w:space="0" w:color="auto"/>
                                                    <w:left w:val="none" w:sz="0" w:space="0" w:color="auto"/>
                                                    <w:bottom w:val="none" w:sz="0" w:space="0" w:color="auto"/>
                                                    <w:right w:val="none" w:sz="0" w:space="0" w:color="auto"/>
                                                  </w:divBdr>
                                                  <w:divsChild>
                                                    <w:div w:id="1892182571">
                                                      <w:marLeft w:val="0"/>
                                                      <w:marRight w:val="0"/>
                                                      <w:marTop w:val="0"/>
                                                      <w:marBottom w:val="0"/>
                                                      <w:divBdr>
                                                        <w:top w:val="none" w:sz="0" w:space="0" w:color="auto"/>
                                                        <w:left w:val="none" w:sz="0" w:space="0" w:color="auto"/>
                                                        <w:bottom w:val="none" w:sz="0" w:space="0" w:color="auto"/>
                                                        <w:right w:val="none" w:sz="0" w:space="0" w:color="auto"/>
                                                      </w:divBdr>
                                                    </w:div>
                                                  </w:divsChild>
                                                </w:div>
                                                <w:div w:id="1924953674">
                                                  <w:marLeft w:val="0"/>
                                                  <w:marRight w:val="0"/>
                                                  <w:marTop w:val="0"/>
                                                  <w:marBottom w:val="0"/>
                                                  <w:divBdr>
                                                    <w:top w:val="none" w:sz="0" w:space="0" w:color="auto"/>
                                                    <w:left w:val="none" w:sz="0" w:space="0" w:color="auto"/>
                                                    <w:bottom w:val="none" w:sz="0" w:space="0" w:color="auto"/>
                                                    <w:right w:val="none" w:sz="0" w:space="0" w:color="auto"/>
                                                  </w:divBdr>
                                                  <w:divsChild>
                                                    <w:div w:id="1693068704">
                                                      <w:marLeft w:val="0"/>
                                                      <w:marRight w:val="0"/>
                                                      <w:marTop w:val="0"/>
                                                      <w:marBottom w:val="0"/>
                                                      <w:divBdr>
                                                        <w:top w:val="none" w:sz="0" w:space="0" w:color="auto"/>
                                                        <w:left w:val="none" w:sz="0" w:space="0" w:color="auto"/>
                                                        <w:bottom w:val="none" w:sz="0" w:space="0" w:color="auto"/>
                                                        <w:right w:val="none" w:sz="0" w:space="0" w:color="auto"/>
                                                      </w:divBdr>
                                                    </w:div>
                                                  </w:divsChild>
                                                </w:div>
                                                <w:div w:id="1259174018">
                                                  <w:marLeft w:val="0"/>
                                                  <w:marRight w:val="0"/>
                                                  <w:marTop w:val="0"/>
                                                  <w:marBottom w:val="0"/>
                                                  <w:divBdr>
                                                    <w:top w:val="none" w:sz="0" w:space="0" w:color="auto"/>
                                                    <w:left w:val="none" w:sz="0" w:space="0" w:color="auto"/>
                                                    <w:bottom w:val="none" w:sz="0" w:space="0" w:color="auto"/>
                                                    <w:right w:val="none" w:sz="0" w:space="0" w:color="auto"/>
                                                  </w:divBdr>
                                                  <w:divsChild>
                                                    <w:div w:id="1829904215">
                                                      <w:marLeft w:val="0"/>
                                                      <w:marRight w:val="0"/>
                                                      <w:marTop w:val="0"/>
                                                      <w:marBottom w:val="0"/>
                                                      <w:divBdr>
                                                        <w:top w:val="none" w:sz="0" w:space="0" w:color="auto"/>
                                                        <w:left w:val="none" w:sz="0" w:space="0" w:color="auto"/>
                                                        <w:bottom w:val="none" w:sz="0" w:space="0" w:color="auto"/>
                                                        <w:right w:val="none" w:sz="0" w:space="0" w:color="auto"/>
                                                      </w:divBdr>
                                                    </w:div>
                                                  </w:divsChild>
                                                </w:div>
                                                <w:div w:id="979072972">
                                                  <w:marLeft w:val="0"/>
                                                  <w:marRight w:val="0"/>
                                                  <w:marTop w:val="0"/>
                                                  <w:marBottom w:val="0"/>
                                                  <w:divBdr>
                                                    <w:top w:val="none" w:sz="0" w:space="0" w:color="auto"/>
                                                    <w:left w:val="none" w:sz="0" w:space="0" w:color="auto"/>
                                                    <w:bottom w:val="none" w:sz="0" w:space="0" w:color="auto"/>
                                                    <w:right w:val="none" w:sz="0" w:space="0" w:color="auto"/>
                                                  </w:divBdr>
                                                  <w:divsChild>
                                                    <w:div w:id="1689405907">
                                                      <w:marLeft w:val="0"/>
                                                      <w:marRight w:val="0"/>
                                                      <w:marTop w:val="0"/>
                                                      <w:marBottom w:val="0"/>
                                                      <w:divBdr>
                                                        <w:top w:val="none" w:sz="0" w:space="0" w:color="auto"/>
                                                        <w:left w:val="none" w:sz="0" w:space="0" w:color="auto"/>
                                                        <w:bottom w:val="none" w:sz="0" w:space="0" w:color="auto"/>
                                                        <w:right w:val="none" w:sz="0" w:space="0" w:color="auto"/>
                                                      </w:divBdr>
                                                    </w:div>
                                                  </w:divsChild>
                                                </w:div>
                                                <w:div w:id="2143041151">
                                                  <w:marLeft w:val="0"/>
                                                  <w:marRight w:val="0"/>
                                                  <w:marTop w:val="0"/>
                                                  <w:marBottom w:val="0"/>
                                                  <w:divBdr>
                                                    <w:top w:val="none" w:sz="0" w:space="0" w:color="auto"/>
                                                    <w:left w:val="none" w:sz="0" w:space="0" w:color="auto"/>
                                                    <w:bottom w:val="none" w:sz="0" w:space="0" w:color="auto"/>
                                                    <w:right w:val="none" w:sz="0" w:space="0" w:color="auto"/>
                                                  </w:divBdr>
                                                  <w:divsChild>
                                                    <w:div w:id="712198109">
                                                      <w:marLeft w:val="0"/>
                                                      <w:marRight w:val="0"/>
                                                      <w:marTop w:val="0"/>
                                                      <w:marBottom w:val="0"/>
                                                      <w:divBdr>
                                                        <w:top w:val="none" w:sz="0" w:space="0" w:color="auto"/>
                                                        <w:left w:val="none" w:sz="0" w:space="0" w:color="auto"/>
                                                        <w:bottom w:val="none" w:sz="0" w:space="0" w:color="auto"/>
                                                        <w:right w:val="none" w:sz="0" w:space="0" w:color="auto"/>
                                                      </w:divBdr>
                                                    </w:div>
                                                  </w:divsChild>
                                                </w:div>
                                                <w:div w:id="1248689454">
                                                  <w:marLeft w:val="0"/>
                                                  <w:marRight w:val="0"/>
                                                  <w:marTop w:val="0"/>
                                                  <w:marBottom w:val="0"/>
                                                  <w:divBdr>
                                                    <w:top w:val="none" w:sz="0" w:space="0" w:color="auto"/>
                                                    <w:left w:val="none" w:sz="0" w:space="0" w:color="auto"/>
                                                    <w:bottom w:val="none" w:sz="0" w:space="0" w:color="auto"/>
                                                    <w:right w:val="none" w:sz="0" w:space="0" w:color="auto"/>
                                                  </w:divBdr>
                                                  <w:divsChild>
                                                    <w:div w:id="1203784611">
                                                      <w:marLeft w:val="0"/>
                                                      <w:marRight w:val="0"/>
                                                      <w:marTop w:val="0"/>
                                                      <w:marBottom w:val="0"/>
                                                      <w:divBdr>
                                                        <w:top w:val="none" w:sz="0" w:space="0" w:color="auto"/>
                                                        <w:left w:val="none" w:sz="0" w:space="0" w:color="auto"/>
                                                        <w:bottom w:val="none" w:sz="0" w:space="0" w:color="auto"/>
                                                        <w:right w:val="none" w:sz="0" w:space="0" w:color="auto"/>
                                                      </w:divBdr>
                                                    </w:div>
                                                  </w:divsChild>
                                                </w:div>
                                                <w:div w:id="1437097525">
                                                  <w:marLeft w:val="0"/>
                                                  <w:marRight w:val="0"/>
                                                  <w:marTop w:val="0"/>
                                                  <w:marBottom w:val="0"/>
                                                  <w:divBdr>
                                                    <w:top w:val="none" w:sz="0" w:space="0" w:color="auto"/>
                                                    <w:left w:val="none" w:sz="0" w:space="0" w:color="auto"/>
                                                    <w:bottom w:val="none" w:sz="0" w:space="0" w:color="auto"/>
                                                    <w:right w:val="none" w:sz="0" w:space="0" w:color="auto"/>
                                                  </w:divBdr>
                                                  <w:divsChild>
                                                    <w:div w:id="291594829">
                                                      <w:marLeft w:val="0"/>
                                                      <w:marRight w:val="0"/>
                                                      <w:marTop w:val="0"/>
                                                      <w:marBottom w:val="0"/>
                                                      <w:divBdr>
                                                        <w:top w:val="none" w:sz="0" w:space="0" w:color="auto"/>
                                                        <w:left w:val="none" w:sz="0" w:space="0" w:color="auto"/>
                                                        <w:bottom w:val="none" w:sz="0" w:space="0" w:color="auto"/>
                                                        <w:right w:val="none" w:sz="0" w:space="0" w:color="auto"/>
                                                      </w:divBdr>
                                                    </w:div>
                                                  </w:divsChild>
                                                </w:div>
                                                <w:div w:id="370306685">
                                                  <w:marLeft w:val="0"/>
                                                  <w:marRight w:val="0"/>
                                                  <w:marTop w:val="0"/>
                                                  <w:marBottom w:val="0"/>
                                                  <w:divBdr>
                                                    <w:top w:val="none" w:sz="0" w:space="0" w:color="auto"/>
                                                    <w:left w:val="none" w:sz="0" w:space="0" w:color="auto"/>
                                                    <w:bottom w:val="none" w:sz="0" w:space="0" w:color="auto"/>
                                                    <w:right w:val="none" w:sz="0" w:space="0" w:color="auto"/>
                                                  </w:divBdr>
                                                  <w:divsChild>
                                                    <w:div w:id="1171406339">
                                                      <w:marLeft w:val="0"/>
                                                      <w:marRight w:val="0"/>
                                                      <w:marTop w:val="0"/>
                                                      <w:marBottom w:val="0"/>
                                                      <w:divBdr>
                                                        <w:top w:val="none" w:sz="0" w:space="0" w:color="auto"/>
                                                        <w:left w:val="none" w:sz="0" w:space="0" w:color="auto"/>
                                                        <w:bottom w:val="none" w:sz="0" w:space="0" w:color="auto"/>
                                                        <w:right w:val="none" w:sz="0" w:space="0" w:color="auto"/>
                                                      </w:divBdr>
                                                    </w:div>
                                                  </w:divsChild>
                                                </w:div>
                                                <w:div w:id="667365430">
                                                  <w:marLeft w:val="0"/>
                                                  <w:marRight w:val="0"/>
                                                  <w:marTop w:val="0"/>
                                                  <w:marBottom w:val="0"/>
                                                  <w:divBdr>
                                                    <w:top w:val="none" w:sz="0" w:space="0" w:color="auto"/>
                                                    <w:left w:val="none" w:sz="0" w:space="0" w:color="auto"/>
                                                    <w:bottom w:val="none" w:sz="0" w:space="0" w:color="auto"/>
                                                    <w:right w:val="none" w:sz="0" w:space="0" w:color="auto"/>
                                                  </w:divBdr>
                                                  <w:divsChild>
                                                    <w:div w:id="444735635">
                                                      <w:marLeft w:val="0"/>
                                                      <w:marRight w:val="0"/>
                                                      <w:marTop w:val="0"/>
                                                      <w:marBottom w:val="0"/>
                                                      <w:divBdr>
                                                        <w:top w:val="none" w:sz="0" w:space="0" w:color="auto"/>
                                                        <w:left w:val="none" w:sz="0" w:space="0" w:color="auto"/>
                                                        <w:bottom w:val="none" w:sz="0" w:space="0" w:color="auto"/>
                                                        <w:right w:val="none" w:sz="0" w:space="0" w:color="auto"/>
                                                      </w:divBdr>
                                                    </w:div>
                                                  </w:divsChild>
                                                </w:div>
                                                <w:div w:id="2023781658">
                                                  <w:marLeft w:val="0"/>
                                                  <w:marRight w:val="0"/>
                                                  <w:marTop w:val="0"/>
                                                  <w:marBottom w:val="0"/>
                                                  <w:divBdr>
                                                    <w:top w:val="none" w:sz="0" w:space="0" w:color="auto"/>
                                                    <w:left w:val="none" w:sz="0" w:space="0" w:color="auto"/>
                                                    <w:bottom w:val="none" w:sz="0" w:space="0" w:color="auto"/>
                                                    <w:right w:val="none" w:sz="0" w:space="0" w:color="auto"/>
                                                  </w:divBdr>
                                                  <w:divsChild>
                                                    <w:div w:id="1623532967">
                                                      <w:marLeft w:val="0"/>
                                                      <w:marRight w:val="0"/>
                                                      <w:marTop w:val="0"/>
                                                      <w:marBottom w:val="0"/>
                                                      <w:divBdr>
                                                        <w:top w:val="none" w:sz="0" w:space="0" w:color="auto"/>
                                                        <w:left w:val="none" w:sz="0" w:space="0" w:color="auto"/>
                                                        <w:bottom w:val="none" w:sz="0" w:space="0" w:color="auto"/>
                                                        <w:right w:val="none" w:sz="0" w:space="0" w:color="auto"/>
                                                      </w:divBdr>
                                                    </w:div>
                                                  </w:divsChild>
                                                </w:div>
                                                <w:div w:id="264118206">
                                                  <w:marLeft w:val="0"/>
                                                  <w:marRight w:val="0"/>
                                                  <w:marTop w:val="0"/>
                                                  <w:marBottom w:val="0"/>
                                                  <w:divBdr>
                                                    <w:top w:val="none" w:sz="0" w:space="0" w:color="auto"/>
                                                    <w:left w:val="none" w:sz="0" w:space="0" w:color="auto"/>
                                                    <w:bottom w:val="none" w:sz="0" w:space="0" w:color="auto"/>
                                                    <w:right w:val="none" w:sz="0" w:space="0" w:color="auto"/>
                                                  </w:divBdr>
                                                  <w:divsChild>
                                                    <w:div w:id="982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6475">
                                          <w:marLeft w:val="0"/>
                                          <w:marRight w:val="0"/>
                                          <w:marTop w:val="0"/>
                                          <w:marBottom w:val="0"/>
                                          <w:divBdr>
                                            <w:top w:val="none" w:sz="0" w:space="0" w:color="auto"/>
                                            <w:left w:val="none" w:sz="0" w:space="0" w:color="auto"/>
                                            <w:bottom w:val="none" w:sz="0" w:space="0" w:color="auto"/>
                                            <w:right w:val="none" w:sz="0" w:space="0" w:color="auto"/>
                                          </w:divBdr>
                                          <w:divsChild>
                                            <w:div w:id="1702321367">
                                              <w:marLeft w:val="0"/>
                                              <w:marRight w:val="0"/>
                                              <w:marTop w:val="45"/>
                                              <w:marBottom w:val="45"/>
                                              <w:divBdr>
                                                <w:top w:val="none" w:sz="0" w:space="0" w:color="auto"/>
                                                <w:left w:val="none" w:sz="0" w:space="0" w:color="auto"/>
                                                <w:bottom w:val="none" w:sz="0" w:space="0" w:color="auto"/>
                                                <w:right w:val="none" w:sz="0" w:space="0" w:color="auto"/>
                                              </w:divBdr>
                                            </w:div>
                                          </w:divsChild>
                                        </w:div>
                                        <w:div w:id="1295411249">
                                          <w:marLeft w:val="0"/>
                                          <w:marRight w:val="0"/>
                                          <w:marTop w:val="0"/>
                                          <w:marBottom w:val="0"/>
                                          <w:divBdr>
                                            <w:top w:val="none" w:sz="0" w:space="0" w:color="auto"/>
                                            <w:left w:val="none" w:sz="0" w:space="0" w:color="auto"/>
                                            <w:bottom w:val="none" w:sz="0" w:space="0" w:color="auto"/>
                                            <w:right w:val="none" w:sz="0" w:space="0" w:color="auto"/>
                                          </w:divBdr>
                                          <w:divsChild>
                                            <w:div w:id="683674897">
                                              <w:marLeft w:val="0"/>
                                              <w:marRight w:val="0"/>
                                              <w:marTop w:val="45"/>
                                              <w:marBottom w:val="45"/>
                                              <w:divBdr>
                                                <w:top w:val="none" w:sz="0" w:space="0" w:color="auto"/>
                                                <w:left w:val="none" w:sz="0" w:space="0" w:color="auto"/>
                                                <w:bottom w:val="none" w:sz="0" w:space="0" w:color="auto"/>
                                                <w:right w:val="none" w:sz="0" w:space="0" w:color="auto"/>
                                              </w:divBdr>
                                            </w:div>
                                          </w:divsChild>
                                        </w:div>
                                        <w:div w:id="1162886692">
                                          <w:marLeft w:val="0"/>
                                          <w:marRight w:val="0"/>
                                          <w:marTop w:val="0"/>
                                          <w:marBottom w:val="0"/>
                                          <w:divBdr>
                                            <w:top w:val="none" w:sz="0" w:space="0" w:color="auto"/>
                                            <w:left w:val="none" w:sz="0" w:space="0" w:color="auto"/>
                                            <w:bottom w:val="none" w:sz="0" w:space="0" w:color="auto"/>
                                            <w:right w:val="none" w:sz="0" w:space="0" w:color="auto"/>
                                          </w:divBdr>
                                          <w:divsChild>
                                            <w:div w:id="9294348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710271">
                  <w:marLeft w:val="3300"/>
                  <w:marRight w:val="0"/>
                  <w:marTop w:val="0"/>
                  <w:marBottom w:val="0"/>
                  <w:divBdr>
                    <w:top w:val="single" w:sz="2" w:space="0" w:color="A8A8A8"/>
                    <w:left w:val="single" w:sz="6" w:space="0" w:color="A8A8A8"/>
                    <w:bottom w:val="single" w:sz="2" w:space="0" w:color="A8A8A8"/>
                    <w:right w:val="single" w:sz="6" w:space="0" w:color="A8A8A8"/>
                  </w:divBdr>
                  <w:divsChild>
                    <w:div w:id="1352491381">
                      <w:marLeft w:val="-15"/>
                      <w:marRight w:val="-15"/>
                      <w:marTop w:val="0"/>
                      <w:marBottom w:val="0"/>
                      <w:divBdr>
                        <w:top w:val="none" w:sz="0" w:space="0" w:color="auto"/>
                        <w:left w:val="none" w:sz="0" w:space="0" w:color="auto"/>
                        <w:bottom w:val="none" w:sz="0" w:space="0" w:color="auto"/>
                        <w:right w:val="none" w:sz="0" w:space="0" w:color="auto"/>
                      </w:divBdr>
                      <w:divsChild>
                        <w:div w:id="34374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80847433950" TargetMode="External"/><Relationship Id="rId18" Type="http://schemas.openxmlformats.org/officeDocument/2006/relationships/image" Target="media/image1.jpeg"/><Relationship Id="rId26" Type="http://schemas.openxmlformats.org/officeDocument/2006/relationships/hyperlink" Target="http://consult.moretonbay.qld.gov.au/events/3497/popimage_d60297e411773.html"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411506.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80847433950"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events/3497/popimage_d60297e413510.html" TargetMode="External"/><Relationship Id="rId68" Type="http://schemas.openxmlformats.org/officeDocument/2006/relationships/image" Target="media/image10.jpeg"/><Relationship Id="rId7" Type="http://schemas.openxmlformats.org/officeDocument/2006/relationships/hyperlink" Target="http://consult.moretonbay.qld.gov.au/portal/mbrcpsv3?pointId=s1332743658181"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onsult.moretonbay.qld.gov.au/portal/mbrcpsv3?pointId=s1380847433950"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sv3?pointId=s1380847433950" TargetMode="External"/><Relationship Id="rId24" Type="http://schemas.openxmlformats.org/officeDocument/2006/relationships/hyperlink" Target="http://consult.moretonbay.qld.gov.au/portal/mbrcpsv3?pointId=s1380847433950"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consult.moretonbay.qld.gov.au/portal/mbrcpsv3?pointId=s1380847433950" TargetMode="External"/><Relationship Id="rId23" Type="http://schemas.openxmlformats.org/officeDocument/2006/relationships/hyperlink" Target="http://consult.moretonbay.qld.gov.au/portal/mbrcpsv3?pointId=s1380847433950" TargetMode="External"/><Relationship Id="rId28" Type="http://schemas.openxmlformats.org/officeDocument/2006/relationships/hyperlink" Target="http://consult.moretonbay.qld.gov.au/events/3497/popimage_d60297e411828.html"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portal/mbrcpsv3?pointId=s1380847433950" TargetMode="External"/><Relationship Id="rId19" Type="http://schemas.openxmlformats.org/officeDocument/2006/relationships/image" Target="media/image2.jpeg"/><Relationship Id="rId31" Type="http://schemas.openxmlformats.org/officeDocument/2006/relationships/image" Target="media/image7.jpeg"/><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80847433950"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events/3497/popimage_d60297e413513.html" TargetMode="External"/><Relationship Id="rId4" Type="http://schemas.openxmlformats.org/officeDocument/2006/relationships/webSettings" Target="webSettings.xml"/><Relationship Id="rId9" Type="http://schemas.openxmlformats.org/officeDocument/2006/relationships/hyperlink" Target="http://consult.moretonbay.qld.gov.au/portal/mbrcpsv3?pointId=s1380847433950" TargetMode="External"/><Relationship Id="rId14" Type="http://schemas.openxmlformats.org/officeDocument/2006/relationships/hyperlink" Target="http://consult.moretonbay.qld.gov.au/portal/mbrcpsv3?pointId=s1380847433950"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consult.moretonbay.qld.gov.au/events/3497/popimage_d60297e411848.html"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image" Target="media/image8.jpeg"/><Relationship Id="rId69" Type="http://schemas.openxmlformats.org/officeDocument/2006/relationships/footer" Target="footer1.xml"/><Relationship Id="rId8" Type="http://schemas.openxmlformats.org/officeDocument/2006/relationships/hyperlink" Target="http://consult.moretonbay.qld.gov.au/portal/mbrcpsv3?pointId=s1332743658181" TargetMode="External"/><Relationship Id="rId51" Type="http://schemas.openxmlformats.org/officeDocument/2006/relationships/hyperlink" Target="http://consult.moretonbay.qld.gov.au/portal/mbrcpsv3?pointId=s1380847433950" TargetMode="External"/><Relationship Id="rId3" Type="http://schemas.openxmlformats.org/officeDocument/2006/relationships/settings" Target="settings.xml"/><Relationship Id="rId12" Type="http://schemas.openxmlformats.org/officeDocument/2006/relationships/hyperlink" Target="http://consult.moretonbay.qld.gov.au/portal/mbrcpsv3?pointId=s1380847433950" TargetMode="External"/><Relationship Id="rId17" Type="http://schemas.openxmlformats.org/officeDocument/2006/relationships/hyperlink" Target="http://consult.moretonbay.qld.gov.au/portal/mbrcpsv3?pointId=s1380847433950" TargetMode="External"/><Relationship Id="rId25" Type="http://schemas.openxmlformats.org/officeDocument/2006/relationships/hyperlink" Target="http://consult.moretonbay.qld.gov.au/portal/mbrcpsv3?pointId=s1380847433950"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events/3497/popimage_d60297e413516.html" TargetMode="External"/><Relationship Id="rId20" Type="http://schemas.openxmlformats.org/officeDocument/2006/relationships/image" Target="media/image3.jpeg"/><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45</Pages>
  <Words>10128</Words>
  <Characters>57735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67728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Diane Williams</cp:lastModifiedBy>
  <cp:revision>5</cp:revision>
  <dcterms:created xsi:type="dcterms:W3CDTF">2017-07-13T03:03:00Z</dcterms:created>
  <dcterms:modified xsi:type="dcterms:W3CDTF">2017-07-13T04:12:00Z</dcterms:modified>
</cp:coreProperties>
</file>