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82"/>
      </w:tblGrid>
      <w:tr w:rsidR="005E3AE4" w:rsidRPr="005E3AE4" w:rsidTr="005E3AE4">
        <w:trPr>
          <w:tblCellSpacing w:w="15" w:type="dxa"/>
        </w:trPr>
        <w:tc>
          <w:tcPr>
            <w:tcW w:w="0" w:type="auto"/>
            <w:shd w:val="clear" w:color="auto" w:fill="CCCCCC"/>
            <w:tcMar>
              <w:top w:w="30" w:type="dxa"/>
              <w:left w:w="30" w:type="dxa"/>
              <w:bottom w:w="30" w:type="dxa"/>
              <w:right w:w="30" w:type="dxa"/>
            </w:tcMar>
            <w:vAlign w:val="center"/>
            <w:hideMark/>
          </w:tcPr>
          <w:p w:rsidR="005E3AE4" w:rsidRPr="005E3AE4" w:rsidRDefault="005E3AE4" w:rsidP="005E3AE4">
            <w:pPr>
              <w:spacing w:before="100" w:beforeAutospacing="1" w:after="100" w:afterAutospacing="1" w:line="240" w:lineRule="auto"/>
              <w:jc w:val="center"/>
              <w:rPr>
                <w:rFonts w:ascii="Arial" w:eastAsia="Times New Roman" w:hAnsi="Arial" w:cs="Arial"/>
                <w:sz w:val="20"/>
                <w:szCs w:val="20"/>
                <w:lang w:eastAsia="en-AU"/>
              </w:rPr>
            </w:pPr>
            <w:r w:rsidRPr="005E3AE4">
              <w:rPr>
                <w:rFonts w:ascii="Arial" w:eastAsia="Times New Roman" w:hAnsi="Arial" w:cs="Arial"/>
                <w:b/>
                <w:bCs/>
                <w:sz w:val="20"/>
                <w:szCs w:val="20"/>
                <w:lang w:eastAsia="en-AU"/>
              </w:rPr>
              <w:t>Table 7.2.3.7.5.2 Assessable development - Reconfiguring a lot code - Rural living precinct</w:t>
            </w:r>
          </w:p>
        </w:tc>
      </w:tr>
    </w:tbl>
    <w:p w:rsidR="001074BA" w:rsidRDefault="001074BA"/>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5014"/>
        <w:gridCol w:w="5288"/>
        <w:gridCol w:w="1827"/>
        <w:gridCol w:w="3253"/>
      </w:tblGrid>
      <w:tr w:rsidR="0011683F" w:rsidRPr="005E3AE4" w:rsidTr="0011683F">
        <w:trPr>
          <w:tblCellSpacing w:w="15" w:type="dxa"/>
        </w:trPr>
        <w:tc>
          <w:tcPr>
            <w:tcW w:w="1618" w:type="pct"/>
            <w:shd w:val="clear" w:color="auto" w:fill="CCCCCC"/>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Performance outcomes</w:t>
            </w:r>
          </w:p>
        </w:tc>
        <w:tc>
          <w:tcPr>
            <w:tcW w:w="1703" w:type="pct"/>
            <w:shd w:val="clear" w:color="auto" w:fill="CCCCCC"/>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Examples that achieve aspects of the Performance Outcomes</w:t>
            </w:r>
          </w:p>
        </w:tc>
        <w:tc>
          <w:tcPr>
            <w:tcW w:w="585" w:type="pct"/>
            <w:shd w:val="clear" w:color="auto" w:fill="CCCCCC"/>
          </w:tcPr>
          <w:p w:rsidR="001074BA" w:rsidRPr="004309BE" w:rsidRDefault="001074BA" w:rsidP="001074BA">
            <w:pPr>
              <w:spacing w:after="0" w:line="240" w:lineRule="auto"/>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E Compliance</w:t>
            </w:r>
          </w:p>
          <w:p w:rsidR="001074BA" w:rsidRPr="004309BE" w:rsidRDefault="001074BA" w:rsidP="001074BA">
            <w:pPr>
              <w:pStyle w:val="ListParagraph"/>
              <w:numPr>
                <w:ilvl w:val="0"/>
                <w:numId w:val="34"/>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Yes</w:t>
            </w:r>
          </w:p>
          <w:p w:rsidR="001074BA" w:rsidRDefault="001074BA" w:rsidP="001074BA">
            <w:pPr>
              <w:pStyle w:val="ListParagraph"/>
              <w:numPr>
                <w:ilvl w:val="0"/>
                <w:numId w:val="34"/>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No See PO or</w:t>
            </w:r>
          </w:p>
          <w:p w:rsidR="001074BA" w:rsidRPr="005E3AE4" w:rsidRDefault="001074BA" w:rsidP="001074BA">
            <w:pPr>
              <w:pStyle w:val="ListParagraph"/>
              <w:numPr>
                <w:ilvl w:val="0"/>
                <w:numId w:val="34"/>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NA</w:t>
            </w:r>
          </w:p>
        </w:tc>
        <w:tc>
          <w:tcPr>
            <w:tcW w:w="1045" w:type="pct"/>
            <w:shd w:val="clear" w:color="auto" w:fill="CCCCCC"/>
          </w:tcPr>
          <w:p w:rsidR="001074BA" w:rsidRDefault="001074BA" w:rsidP="001074B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Justification for compliance</w:t>
            </w:r>
          </w:p>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074BA" w:rsidRPr="005E3AE4" w:rsidTr="0011683F">
        <w:trPr>
          <w:tblCellSpacing w:w="15" w:type="dxa"/>
        </w:trPr>
        <w:tc>
          <w:tcPr>
            <w:tcW w:w="3331" w:type="pct"/>
            <w:gridSpan w:val="2"/>
            <w:shd w:val="clear" w:color="auto" w:fill="CCCCCC"/>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Structure plan</w:t>
            </w:r>
          </w:p>
        </w:tc>
        <w:tc>
          <w:tcPr>
            <w:tcW w:w="58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1618" w:type="pct"/>
            <w:shd w:val="clear" w:color="auto" w:fill="FFFFFF"/>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PO1</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Development is in accordance with Figure 7.2.3.1 - Caboolture West structure plan with regards to:</w:t>
            </w:r>
          </w:p>
          <w:p w:rsidR="001074BA" w:rsidRPr="005E3AE4" w:rsidRDefault="001074BA" w:rsidP="005E3AE4">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the provision of infrastructure and services associated with reconfiguring a lot and land development;</w:t>
            </w:r>
          </w:p>
          <w:p w:rsidR="001074BA" w:rsidRPr="005E3AE4" w:rsidRDefault="001074BA" w:rsidP="005E3AE4">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utilities;</w:t>
            </w:r>
          </w:p>
          <w:p w:rsidR="001074BA" w:rsidRPr="005E3AE4" w:rsidRDefault="001074BA" w:rsidP="005E3AE4">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parks and open space;</w:t>
            </w:r>
          </w:p>
          <w:p w:rsidR="001074BA" w:rsidRPr="005E3AE4" w:rsidRDefault="001074BA" w:rsidP="005E3AE4">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the recognition and provision of minor green corridors.</w:t>
            </w:r>
          </w:p>
        </w:tc>
        <w:tc>
          <w:tcPr>
            <w:tcW w:w="1703" w:type="pct"/>
            <w:shd w:val="clear" w:color="auto" w:fill="FFFFFF"/>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example provided.</w:t>
            </w:r>
          </w:p>
        </w:tc>
        <w:tc>
          <w:tcPr>
            <w:tcW w:w="585" w:type="pct"/>
            <w:shd w:val="clear" w:color="auto" w:fill="FFFFFF"/>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shd w:val="clear" w:color="auto" w:fill="FFFFFF"/>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074BA" w:rsidRPr="005E3AE4" w:rsidTr="0011683F">
        <w:trPr>
          <w:tblCellSpacing w:w="15" w:type="dxa"/>
        </w:trPr>
        <w:tc>
          <w:tcPr>
            <w:tcW w:w="3331" w:type="pct"/>
            <w:gridSpan w:val="2"/>
            <w:shd w:val="clear" w:color="auto" w:fill="CCCCCC"/>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Lot size and design</w:t>
            </w:r>
          </w:p>
        </w:tc>
        <w:tc>
          <w:tcPr>
            <w:tcW w:w="58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1618" w:type="pct"/>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PO2</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Lot size and design maintains the low density, open space character associated with a rural living environment by achieving a minimum lot size of 6000m</w:t>
            </w:r>
            <w:r w:rsidRPr="005E3AE4">
              <w:rPr>
                <w:rFonts w:ascii="Arial" w:eastAsia="Times New Roman" w:hAnsi="Arial" w:cs="Arial"/>
                <w:sz w:val="20"/>
                <w:szCs w:val="20"/>
                <w:vertAlign w:val="superscript"/>
                <w:lang w:eastAsia="en-AU"/>
              </w:rPr>
              <w:t>2</w:t>
            </w:r>
            <w:r w:rsidRPr="005E3AE4">
              <w:rPr>
                <w:rFonts w:ascii="Arial" w:eastAsia="Times New Roman" w:hAnsi="Arial" w:cs="Arial"/>
                <w:sz w:val="20"/>
                <w:szCs w:val="20"/>
                <w:lang w:eastAsia="en-AU"/>
              </w:rPr>
              <w:t xml:space="preserve"> and an average lot size of 8000m</w:t>
            </w:r>
            <w:r w:rsidRPr="005E3AE4">
              <w:rPr>
                <w:rFonts w:ascii="Arial" w:eastAsia="Times New Roman" w:hAnsi="Arial" w:cs="Arial"/>
                <w:sz w:val="20"/>
                <w:szCs w:val="20"/>
                <w:vertAlign w:val="superscript"/>
                <w:lang w:eastAsia="en-AU"/>
              </w:rPr>
              <w:t>2</w:t>
            </w:r>
            <w:r w:rsidRPr="005E3AE4">
              <w:rPr>
                <w:rFonts w:ascii="Arial" w:eastAsia="Times New Roman" w:hAnsi="Arial" w:cs="Arial"/>
                <w:sz w:val="20"/>
                <w:szCs w:val="20"/>
                <w:lang w:eastAsia="en-AU"/>
              </w:rPr>
              <w:t>, except where subdivision of land is for the purpose of a Park</w:t>
            </w:r>
            <w:r w:rsidRPr="005E3AE4">
              <w:rPr>
                <w:rFonts w:ascii="Arial" w:eastAsia="Times New Roman" w:hAnsi="Arial" w:cs="Arial"/>
                <w:sz w:val="20"/>
                <w:szCs w:val="20"/>
                <w:vertAlign w:val="superscript"/>
                <w:lang w:eastAsia="en-AU"/>
              </w:rPr>
              <w:t>(</w:t>
            </w:r>
            <w:hyperlink r:id="rId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3AE4">
                <w:rPr>
                  <w:rFonts w:ascii="Arial" w:eastAsia="Times New Roman" w:hAnsi="Arial" w:cs="Arial"/>
                  <w:color w:val="0000FF"/>
                  <w:sz w:val="20"/>
                  <w:szCs w:val="20"/>
                  <w:vertAlign w:val="superscript"/>
                  <w:lang w:eastAsia="en-AU"/>
                </w:rPr>
                <w:t>57</w:t>
              </w:r>
            </w:hyperlink>
            <w:r w:rsidRPr="005E3AE4">
              <w:rPr>
                <w:rFonts w:ascii="Arial" w:eastAsia="Times New Roman" w:hAnsi="Arial" w:cs="Arial"/>
                <w:sz w:val="20"/>
                <w:szCs w:val="20"/>
                <w:vertAlign w:val="superscript"/>
                <w:lang w:eastAsia="en-AU"/>
              </w:rPr>
              <w:t>)</w:t>
            </w:r>
            <w:r w:rsidRPr="005E3AE4">
              <w:rPr>
                <w:rFonts w:ascii="Arial" w:eastAsia="Times New Roman" w:hAnsi="Arial" w:cs="Arial"/>
                <w:sz w:val="20"/>
                <w:szCs w:val="20"/>
                <w:lang w:eastAsia="en-AU"/>
              </w:rPr>
              <w:t xml:space="preserve"> or Outdoor sport and recreation use</w:t>
            </w:r>
            <w:r w:rsidRPr="005E3AE4">
              <w:rPr>
                <w:rFonts w:ascii="Arial" w:eastAsia="Times New Roman" w:hAnsi="Arial" w:cs="Arial"/>
                <w:sz w:val="20"/>
                <w:szCs w:val="20"/>
                <w:vertAlign w:val="superscript"/>
                <w:lang w:eastAsia="en-AU"/>
              </w:rPr>
              <w:t>(</w:t>
            </w:r>
            <w:hyperlink r:id="rId8" w:anchor="target-d60239e448331" w:tooltip="Outdoor sport and recreation - Premises used for a recreation or sport activity that is carried on outside a building and requires areas of open space and may include ancillary works necessary for safety and sustainability.  The use may include ancillary food and drink outlet(s) and the provision of ancillary facilities or amenities conducted indoors such as changing rooms and storage facilities." w:history="1">
              <w:r w:rsidRPr="005E3AE4">
                <w:rPr>
                  <w:rFonts w:ascii="Arial" w:eastAsia="Times New Roman" w:hAnsi="Arial" w:cs="Arial"/>
                  <w:color w:val="0000FF"/>
                  <w:sz w:val="20"/>
                  <w:szCs w:val="20"/>
                  <w:vertAlign w:val="superscript"/>
                  <w:lang w:eastAsia="en-AU"/>
                </w:rPr>
                <w:t>55</w:t>
              </w:r>
            </w:hyperlink>
            <w:r w:rsidRPr="005E3AE4">
              <w:rPr>
                <w:rFonts w:ascii="Arial" w:eastAsia="Times New Roman" w:hAnsi="Arial" w:cs="Arial"/>
                <w:sz w:val="20"/>
                <w:szCs w:val="20"/>
                <w:vertAlign w:val="superscript"/>
                <w:lang w:eastAsia="en-AU"/>
              </w:rPr>
              <w:t>)</w:t>
            </w:r>
            <w:r w:rsidRPr="005E3AE4">
              <w:rPr>
                <w:rFonts w:ascii="Arial" w:eastAsia="Times New Roman" w:hAnsi="Arial" w:cs="Arial"/>
                <w:sz w:val="20"/>
                <w:szCs w:val="20"/>
                <w:lang w:eastAsia="en-AU"/>
              </w:rPr>
              <w:t>, Utility installation</w:t>
            </w:r>
            <w:r w:rsidRPr="005E3AE4">
              <w:rPr>
                <w:rFonts w:ascii="Arial" w:eastAsia="Times New Roman" w:hAnsi="Arial" w:cs="Arial"/>
                <w:sz w:val="20"/>
                <w:szCs w:val="20"/>
                <w:vertAlign w:val="superscript"/>
                <w:lang w:eastAsia="en-AU"/>
              </w:rPr>
              <w:t>(</w:t>
            </w:r>
            <w:hyperlink r:id="rId9"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5E3AE4">
                <w:rPr>
                  <w:rFonts w:ascii="Arial" w:eastAsia="Times New Roman" w:hAnsi="Arial" w:cs="Arial"/>
                  <w:color w:val="0000FF"/>
                  <w:sz w:val="20"/>
                  <w:szCs w:val="20"/>
                  <w:vertAlign w:val="superscript"/>
                  <w:lang w:eastAsia="en-AU"/>
                </w:rPr>
                <w:t>86</w:t>
              </w:r>
            </w:hyperlink>
            <w:r w:rsidRPr="005E3AE4">
              <w:rPr>
                <w:rFonts w:ascii="Arial" w:eastAsia="Times New Roman" w:hAnsi="Arial" w:cs="Arial"/>
                <w:sz w:val="20"/>
                <w:szCs w:val="20"/>
                <w:vertAlign w:val="superscript"/>
                <w:lang w:eastAsia="en-AU"/>
              </w:rPr>
              <w:t>)</w:t>
            </w:r>
            <w:r w:rsidRPr="005E3AE4">
              <w:rPr>
                <w:rFonts w:ascii="Arial" w:eastAsia="Times New Roman" w:hAnsi="Arial" w:cs="Arial"/>
                <w:sz w:val="20"/>
                <w:szCs w:val="20"/>
                <w:lang w:eastAsia="en-AU"/>
              </w:rPr>
              <w:t xml:space="preserve"> or Telecommunication facility</w:t>
            </w:r>
            <w:r w:rsidRPr="005E3AE4">
              <w:rPr>
                <w:rFonts w:ascii="Arial" w:eastAsia="Times New Roman" w:hAnsi="Arial" w:cs="Arial"/>
                <w:sz w:val="20"/>
                <w:szCs w:val="20"/>
                <w:vertAlign w:val="superscript"/>
                <w:lang w:eastAsia="en-AU"/>
              </w:rPr>
              <w:t>(</w:t>
            </w:r>
            <w:hyperlink r:id="rId10" w:anchor="target-d60239e449122" w:tooltip="Telecommunications facility - Premises used for systems that carry communications and signals by means of radio, including guided or unguided electromagnetic energy, whether such facility is manned or remotely controlled." w:history="1">
              <w:r w:rsidRPr="005E3AE4">
                <w:rPr>
                  <w:rFonts w:ascii="Arial" w:eastAsia="Times New Roman" w:hAnsi="Arial" w:cs="Arial"/>
                  <w:color w:val="0000FF"/>
                  <w:sz w:val="20"/>
                  <w:szCs w:val="20"/>
                  <w:vertAlign w:val="superscript"/>
                  <w:lang w:eastAsia="en-AU"/>
                </w:rPr>
                <w:t>81</w:t>
              </w:r>
            </w:hyperlink>
            <w:r w:rsidRPr="005E3AE4">
              <w:rPr>
                <w:rFonts w:ascii="Arial" w:eastAsia="Times New Roman" w:hAnsi="Arial" w:cs="Arial"/>
                <w:sz w:val="20"/>
                <w:szCs w:val="20"/>
                <w:vertAlign w:val="superscript"/>
                <w:lang w:eastAsia="en-AU"/>
              </w:rPr>
              <w:t>)</w:t>
            </w:r>
            <w:r w:rsidRPr="005E3AE4">
              <w:rPr>
                <w:rFonts w:ascii="Arial" w:eastAsia="Times New Roman" w:hAnsi="Arial" w:cs="Arial"/>
                <w:sz w:val="20"/>
                <w:szCs w:val="20"/>
                <w:lang w:eastAsia="en-AU"/>
              </w:rPr>
              <w:t xml:space="preserve"> where no minimum lot size applies.  </w:t>
            </w:r>
          </w:p>
        </w:tc>
        <w:tc>
          <w:tcPr>
            <w:tcW w:w="1703" w:type="pct"/>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E3AE4" w:rsidTr="0011683F">
        <w:trPr>
          <w:tblCellSpacing w:w="15" w:type="dxa"/>
        </w:trPr>
        <w:tc>
          <w:tcPr>
            <w:tcW w:w="1618" w:type="pct"/>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PO3</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Lot size and design complies with the minimum lot size and dimensions specified in PO2 above and accommodates the following:</w:t>
            </w:r>
          </w:p>
          <w:p w:rsidR="001074BA" w:rsidRPr="005E3AE4" w:rsidRDefault="001074BA" w:rsidP="005E3AE4">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dwelling house</w:t>
            </w:r>
            <w:r w:rsidRPr="005E3AE4">
              <w:rPr>
                <w:rFonts w:ascii="Arial" w:eastAsia="Times New Roman" w:hAnsi="Arial" w:cs="Arial"/>
                <w:sz w:val="20"/>
                <w:szCs w:val="20"/>
                <w:vertAlign w:val="superscript"/>
                <w:lang w:eastAsia="en-AU"/>
              </w:rPr>
              <w:t>(</w:t>
            </w:r>
            <w:hyperlink r:id="rId11"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5E3AE4">
                <w:rPr>
                  <w:rFonts w:ascii="Arial" w:eastAsia="Times New Roman" w:hAnsi="Arial" w:cs="Arial"/>
                  <w:color w:val="0000FF"/>
                  <w:sz w:val="20"/>
                  <w:szCs w:val="20"/>
                  <w:vertAlign w:val="superscript"/>
                  <w:lang w:eastAsia="en-AU"/>
                </w:rPr>
                <w:t>22</w:t>
              </w:r>
            </w:hyperlink>
            <w:r w:rsidRPr="005E3AE4">
              <w:rPr>
                <w:rFonts w:ascii="Arial" w:eastAsia="Times New Roman" w:hAnsi="Arial" w:cs="Arial"/>
                <w:sz w:val="20"/>
                <w:szCs w:val="20"/>
                <w:vertAlign w:val="superscript"/>
                <w:lang w:eastAsia="en-AU"/>
              </w:rPr>
              <w:t>)</w:t>
            </w:r>
            <w:r w:rsidRPr="005E3AE4">
              <w:rPr>
                <w:rFonts w:ascii="Arial" w:eastAsia="Times New Roman" w:hAnsi="Arial" w:cs="Arial"/>
                <w:sz w:val="20"/>
                <w:szCs w:val="20"/>
                <w:lang w:eastAsia="en-AU"/>
              </w:rPr>
              <w:t xml:space="preserve"> and associated structures; </w:t>
            </w:r>
          </w:p>
          <w:p w:rsidR="001074BA" w:rsidRPr="005E3AE4" w:rsidRDefault="001074BA" w:rsidP="005E3AE4">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lastRenderedPageBreak/>
              <w:t>vehicle access, parking and manoeuvring;</w:t>
            </w:r>
          </w:p>
          <w:p w:rsidR="001074BA" w:rsidRPr="005E3AE4" w:rsidRDefault="001074BA" w:rsidP="005E3AE4">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private open space and landscaping;</w:t>
            </w:r>
          </w:p>
          <w:p w:rsidR="001074BA" w:rsidRPr="005E3AE4" w:rsidRDefault="001074BA" w:rsidP="005E3AE4">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any required on-site services such as on-site effluent disposal areas, stormwater retention areas; and</w:t>
            </w:r>
          </w:p>
          <w:p w:rsidR="001074BA" w:rsidRPr="005E3AE4" w:rsidRDefault="001074BA" w:rsidP="005E3AE4">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any necessary buffering from constrained areas and essential infrastructure.</w:t>
            </w:r>
          </w:p>
        </w:tc>
        <w:tc>
          <w:tcPr>
            <w:tcW w:w="1703" w:type="pct"/>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lastRenderedPageBreak/>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E3AE4" w:rsidTr="0011683F">
        <w:trPr>
          <w:tblCellSpacing w:w="15" w:type="dxa"/>
        </w:trPr>
        <w:tc>
          <w:tcPr>
            <w:tcW w:w="1618" w:type="pct"/>
            <w:vMerge w:val="restart"/>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PO4</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Lot layout and street layout minimises the impacts of cutting, filling and retaining walls on the visual and physical amenity of the streetscape and adjoining lots. </w:t>
            </w:r>
          </w:p>
        </w:tc>
        <w:tc>
          <w:tcPr>
            <w:tcW w:w="1703" w:type="pct"/>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E4.1</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Development ensures that any cutting, filling, retaining walls and earthworks have maximum vertical dimensions of 1m either as a single element or a step in a terrace or series of terraces. </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1618" w:type="pct"/>
            <w:vMerge/>
            <w:tcMar>
              <w:top w:w="30" w:type="dxa"/>
              <w:left w:w="30" w:type="dxa"/>
              <w:bottom w:w="30" w:type="dxa"/>
              <w:right w:w="30" w:type="dxa"/>
            </w:tcMar>
            <w:vAlign w:val="center"/>
            <w:hideMark/>
          </w:tcPr>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03" w:type="pct"/>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E4.2</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Street alignment follows ridges or gullies or run perpendicular to slope.</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1618" w:type="pct"/>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b/>
                <w:bCs/>
                <w:color w:val="000000"/>
                <w:sz w:val="20"/>
                <w:szCs w:val="20"/>
                <w:lang w:eastAsia="en-AU"/>
              </w:rPr>
              <w:t>PO5</w:t>
            </w:r>
          </w:p>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Lots are of a sufficient grade to accommodate effective stormwater drainage to a lawful point of discharge.</w:t>
            </w:r>
          </w:p>
        </w:tc>
        <w:tc>
          <w:tcPr>
            <w:tcW w:w="1703" w:type="pct"/>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b/>
                <w:bCs/>
                <w:color w:val="000000"/>
                <w:sz w:val="20"/>
                <w:szCs w:val="20"/>
                <w:lang w:eastAsia="en-AU"/>
              </w:rPr>
              <w:t>E5</w:t>
            </w:r>
          </w:p>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 xml:space="preserve">The surface level of a lot is at a minimum grade of 1:100 and slopes towards the street frontage, or other lawful point of discharge </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1074BA" w:rsidRPr="005E3AE4" w:rsidTr="0011683F">
        <w:trPr>
          <w:tblCellSpacing w:w="15" w:type="dxa"/>
        </w:trPr>
        <w:tc>
          <w:tcPr>
            <w:tcW w:w="3331" w:type="pct"/>
            <w:gridSpan w:val="2"/>
            <w:shd w:val="clear" w:color="auto" w:fill="CCCCCC"/>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Street design and layout</w:t>
            </w:r>
          </w:p>
        </w:tc>
        <w:tc>
          <w:tcPr>
            <w:tcW w:w="58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1618" w:type="pct"/>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PO6</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Street layouts provide an efficient and legible movement network with high levels of connectivity within and external to the site by: </w:t>
            </w:r>
          </w:p>
          <w:p w:rsidR="001074BA" w:rsidRPr="005E3AE4" w:rsidRDefault="001074BA" w:rsidP="005E3AE4">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facilitating increased activity transport through a focus on safety and amenity for pedestrians and cyclist;</w:t>
            </w:r>
          </w:p>
          <w:p w:rsidR="001074BA" w:rsidRPr="005E3AE4" w:rsidRDefault="001074BA" w:rsidP="005E3AE4">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facilitating possible future connections to adjoining sites for roads, green linkages and </w:t>
            </w:r>
            <w:proofErr w:type="gramStart"/>
            <w:r w:rsidRPr="005E3AE4">
              <w:rPr>
                <w:rFonts w:ascii="Arial" w:eastAsia="Times New Roman" w:hAnsi="Arial" w:cs="Arial"/>
                <w:sz w:val="20"/>
                <w:szCs w:val="20"/>
                <w:lang w:eastAsia="en-AU"/>
              </w:rPr>
              <w:t>other</w:t>
            </w:r>
            <w:proofErr w:type="gramEnd"/>
            <w:r w:rsidRPr="005E3AE4">
              <w:rPr>
                <w:rFonts w:ascii="Arial" w:eastAsia="Times New Roman" w:hAnsi="Arial" w:cs="Arial"/>
                <w:sz w:val="20"/>
                <w:szCs w:val="20"/>
                <w:lang w:eastAsia="en-AU"/>
              </w:rPr>
              <w:t xml:space="preserve"> essential infrastructure.</w:t>
            </w:r>
          </w:p>
          <w:tbl>
            <w:tblPr>
              <w:tblW w:w="473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30"/>
            </w:tblGrid>
            <w:tr w:rsidR="001074BA" w:rsidRPr="005E3AE4" w:rsidTr="0011683F">
              <w:trPr>
                <w:tblCellSpacing w:w="15" w:type="dxa"/>
              </w:trPr>
              <w:tc>
                <w:tcPr>
                  <w:tcW w:w="4670" w:type="dxa"/>
                  <w:vAlign w:val="cente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lastRenderedPageBreak/>
                    <w:t>Note - Refer to Planning scheme policy - Integrated design for guidance on how to achieve compliance with this outcome.</w:t>
                  </w:r>
                </w:p>
              </w:tc>
            </w:tr>
          </w:tbl>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03" w:type="pct"/>
            <w:tcMar>
              <w:top w:w="30" w:type="dxa"/>
              <w:left w:w="30" w:type="dxa"/>
              <w:bottom w:w="30" w:type="dxa"/>
              <w:right w:w="30" w:type="dxa"/>
            </w:tcMa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lastRenderedPageBreak/>
              <w:t>E6</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Development is in accordance with Figure 7.2.3.2 - Movement, major streets, Figure 7.2.3.3 - Movement, walking and cycling.</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PO7</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Streets are designed and constructed to cater for:</w:t>
            </w:r>
          </w:p>
          <w:p w:rsidR="001074BA" w:rsidRPr="005E3AE4" w:rsidRDefault="001074BA" w:rsidP="005E3AE4">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safe and convenient pedestrian and cycle movement;</w:t>
            </w:r>
          </w:p>
          <w:p w:rsidR="001074BA" w:rsidRPr="005E3AE4" w:rsidRDefault="001074BA" w:rsidP="005E3AE4">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adequate on street parking;</w:t>
            </w:r>
          </w:p>
          <w:p w:rsidR="001074BA" w:rsidRPr="005E3AE4" w:rsidRDefault="001074BA" w:rsidP="005E3AE4">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expected traffic speeds and volumes;</w:t>
            </w:r>
          </w:p>
          <w:p w:rsidR="001074BA" w:rsidRPr="005E3AE4" w:rsidRDefault="001074BA" w:rsidP="005E3AE4">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utilities and stormwater drainage;</w:t>
            </w:r>
          </w:p>
          <w:p w:rsidR="001074BA" w:rsidRPr="005E3AE4" w:rsidRDefault="001074BA" w:rsidP="005E3AE4">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bio-retention drainage systems in identified minor green corridors;</w:t>
            </w:r>
          </w:p>
          <w:p w:rsidR="001074BA" w:rsidRPr="005E3AE4" w:rsidRDefault="001074BA" w:rsidP="005E3AE4">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lot access, sight lines and public safety;</w:t>
            </w:r>
          </w:p>
          <w:p w:rsidR="001074BA" w:rsidRPr="005E3AE4" w:rsidRDefault="001074BA" w:rsidP="005E3AE4">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emergency access and waste collection;</w:t>
            </w:r>
          </w:p>
          <w:p w:rsidR="001074BA" w:rsidRPr="005E3AE4" w:rsidRDefault="001074BA" w:rsidP="005E3AE4">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landscaping and street furniture.</w:t>
            </w:r>
          </w:p>
          <w:tbl>
            <w:tblPr>
              <w:tblW w:w="47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1074BA" w:rsidRPr="005E3AE4" w:rsidTr="0011683F">
              <w:trPr>
                <w:tblCellSpacing w:w="15" w:type="dxa"/>
              </w:trPr>
              <w:tc>
                <w:tcPr>
                  <w:tcW w:w="4700" w:type="dxa"/>
                  <w:vAlign w:val="cente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Note - Refer to Planning scheme policy - Integrated design for guidance on how to achieve compliance with this outcome.</w:t>
                  </w:r>
                </w:p>
              </w:tc>
            </w:tr>
          </w:tbl>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E7</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Development is in accordance with Figure 7.2.3.2 - Movement, major streets, Figure 7.2.3.3 - Movement, walking and cycling.</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PO8</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Intersections are designed and constructed to provide for the safe and efficient movement of pedestrians, cyclists, public transport and private vehicles. </w:t>
            </w: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E8</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Development is in accordance with Figure 7.2.3.2 - Movement, major streets, Figure 7.2.3.3 - Movement, walking and cycling</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PO9</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Cul-de-sacs or dead end streets are not proposed unless:</w:t>
            </w:r>
          </w:p>
          <w:p w:rsidR="001074BA" w:rsidRPr="005E3AE4" w:rsidRDefault="001074BA" w:rsidP="005E3AE4">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topography or other physical barriers exist to the continuance of street network;</w:t>
            </w:r>
          </w:p>
          <w:p w:rsidR="001074BA" w:rsidRPr="005E3AE4" w:rsidRDefault="001074BA" w:rsidP="005E3AE4">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connection to an existing road is not permitted;</w:t>
            </w:r>
          </w:p>
          <w:p w:rsidR="001074BA" w:rsidRPr="005E3AE4" w:rsidRDefault="001074BA" w:rsidP="005E3AE4">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there </w:t>
            </w:r>
            <w:proofErr w:type="gramStart"/>
            <w:r w:rsidRPr="005E3AE4">
              <w:rPr>
                <w:rFonts w:ascii="Arial" w:eastAsia="Times New Roman" w:hAnsi="Arial" w:cs="Arial"/>
                <w:sz w:val="20"/>
                <w:szCs w:val="20"/>
                <w:lang w:eastAsia="en-AU"/>
              </w:rPr>
              <w:t>is</w:t>
            </w:r>
            <w:proofErr w:type="gramEnd"/>
            <w:r w:rsidRPr="005E3AE4">
              <w:rPr>
                <w:rFonts w:ascii="Arial" w:eastAsia="Times New Roman" w:hAnsi="Arial" w:cs="Arial"/>
                <w:sz w:val="20"/>
                <w:szCs w:val="20"/>
                <w:lang w:eastAsia="en-AU"/>
              </w:rPr>
              <w:t xml:space="preserve"> no appropriate alternative solutions,</w:t>
            </w:r>
          </w:p>
          <w:p w:rsidR="001074BA" w:rsidRPr="005E3AE4" w:rsidRDefault="001074BA" w:rsidP="005E3AE4">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the </w:t>
            </w:r>
            <w:proofErr w:type="spellStart"/>
            <w:r w:rsidRPr="005E3AE4">
              <w:rPr>
                <w:rFonts w:ascii="Arial" w:eastAsia="Times New Roman" w:hAnsi="Arial" w:cs="Arial"/>
                <w:sz w:val="20"/>
                <w:szCs w:val="20"/>
                <w:lang w:eastAsia="en-AU"/>
              </w:rPr>
              <w:t>cul</w:t>
            </w:r>
            <w:proofErr w:type="spellEnd"/>
            <w:r w:rsidRPr="005E3AE4">
              <w:rPr>
                <w:rFonts w:ascii="Arial" w:eastAsia="Times New Roman" w:hAnsi="Arial" w:cs="Arial"/>
                <w:sz w:val="20"/>
                <w:szCs w:val="20"/>
                <w:lang w:eastAsia="en-AU"/>
              </w:rPr>
              <w:t>-des-sac or dead end street will facilitate future connections to adjoining land or development.</w:t>
            </w: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074BA" w:rsidRPr="005E3AE4" w:rsidTr="0011683F">
        <w:trPr>
          <w:tblCellSpacing w:w="15" w:type="dxa"/>
        </w:trPr>
        <w:tc>
          <w:tcPr>
            <w:tcW w:w="3331" w:type="pct"/>
            <w:gridSpan w:val="2"/>
            <w:shd w:val="clear" w:color="auto" w:fill="CCCCCC"/>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lastRenderedPageBreak/>
              <w:t>Reticulated supply</w:t>
            </w:r>
          </w:p>
        </w:tc>
        <w:tc>
          <w:tcPr>
            <w:tcW w:w="58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PO10</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Each lot is provided with an appropriate level of service and infrastructure commensurate with the Rural residential zone.  All services, including water supply, stormwater management, sewage disposal, waste disposal, drainage, electricity, gas and telecommunications, are provided in a manner that: </w:t>
            </w:r>
          </w:p>
          <w:p w:rsidR="001074BA" w:rsidRPr="005E3AE4" w:rsidRDefault="001074BA" w:rsidP="005E3AE4">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is efficient in delivery of service;</w:t>
            </w:r>
          </w:p>
          <w:p w:rsidR="001074BA" w:rsidRPr="005E3AE4" w:rsidRDefault="001074BA" w:rsidP="005E3AE4">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is effective in delivery of service;</w:t>
            </w:r>
          </w:p>
          <w:p w:rsidR="001074BA" w:rsidRPr="005E3AE4" w:rsidRDefault="001074BA" w:rsidP="005E3AE4">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is conveniently accessible in the event of maintenance or repair;</w:t>
            </w:r>
          </w:p>
          <w:p w:rsidR="001074BA" w:rsidRPr="005E3AE4" w:rsidRDefault="001074BA" w:rsidP="005E3AE4">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minimises whole of life cycle costs for that infrastructure provided;</w:t>
            </w:r>
          </w:p>
          <w:p w:rsidR="001074BA" w:rsidRPr="005E3AE4" w:rsidRDefault="001074BA" w:rsidP="005E3AE4">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minimises risk of potential adverse impacts on natural and physical environment;</w:t>
            </w:r>
          </w:p>
          <w:p w:rsidR="001074BA" w:rsidRPr="005E3AE4" w:rsidRDefault="001074BA" w:rsidP="005E3AE4">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minimises risk of potential adverse impact on amenity and character values; and</w:t>
            </w:r>
          </w:p>
          <w:p w:rsidR="001074BA" w:rsidRPr="005E3AE4" w:rsidRDefault="001074BA" w:rsidP="005E3AE4">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recognises and promotes Councils Total Water Cycle Management policy and the efficient use of water resources.</w:t>
            </w:r>
          </w:p>
          <w:tbl>
            <w:tblPr>
              <w:tblW w:w="47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1074BA" w:rsidRPr="005E3AE4" w:rsidTr="0011683F">
              <w:trPr>
                <w:tblCellSpacing w:w="15" w:type="dxa"/>
              </w:trPr>
              <w:tc>
                <w:tcPr>
                  <w:tcW w:w="4700" w:type="dxa"/>
                  <w:vAlign w:val="cente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Note - Refer to Planning scheme policy - Integrated design for guidance on how to achieve compliance with this outcome.</w:t>
                  </w:r>
                </w:p>
              </w:tc>
            </w:tr>
          </w:tbl>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E10</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New lots are provided with:</w:t>
            </w:r>
          </w:p>
          <w:p w:rsidR="001074BA" w:rsidRPr="005E3AE4" w:rsidRDefault="001074BA" w:rsidP="005E3AE4">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a water supply being either:</w:t>
            </w:r>
          </w:p>
          <w:p w:rsidR="001074BA" w:rsidRPr="005E3AE4" w:rsidRDefault="001074BA" w:rsidP="005E3AE4">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connected to a reticulated water supply infrastructure network; or</w:t>
            </w:r>
          </w:p>
          <w:p w:rsidR="001074BA" w:rsidRPr="005E3AE4" w:rsidRDefault="001074BA" w:rsidP="005E3AE4">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potable water from an on-site water storage supply.</w:t>
            </w:r>
          </w:p>
          <w:p w:rsidR="001074BA" w:rsidRPr="005E3AE4" w:rsidRDefault="001074BA" w:rsidP="005E3AE4">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a sewage disposal system being either:</w:t>
            </w:r>
          </w:p>
          <w:p w:rsidR="001074BA" w:rsidRPr="005E3AE4" w:rsidRDefault="001074BA" w:rsidP="005E3AE4">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connected to a reticulated sewerage infrastructure network; or</w:t>
            </w:r>
          </w:p>
          <w:p w:rsidR="001074BA" w:rsidRPr="005E3AE4" w:rsidRDefault="001074BA" w:rsidP="005E3AE4">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an on-site effluent treatment and disposal system.</w:t>
            </w:r>
          </w:p>
          <w:p w:rsidR="001074BA" w:rsidRPr="005E3AE4" w:rsidRDefault="001074BA" w:rsidP="005E3AE4">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an electricity supply being either:</w:t>
            </w:r>
          </w:p>
          <w:p w:rsidR="001074BA" w:rsidRPr="005E3AE4" w:rsidRDefault="001074BA" w:rsidP="005E3AE4">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connected to a reticulated electricity infrastructure network; or</w:t>
            </w:r>
          </w:p>
          <w:p w:rsidR="001074BA" w:rsidRPr="005E3AE4" w:rsidRDefault="001074BA" w:rsidP="005E3AE4">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separate electricity generation capacity.</w:t>
            </w:r>
          </w:p>
          <w:p w:rsidR="001074BA" w:rsidRPr="005E3AE4" w:rsidRDefault="001074BA" w:rsidP="005E3AE4">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access to a </w:t>
            </w:r>
            <w:proofErr w:type="gramStart"/>
            <w:r w:rsidRPr="005E3AE4">
              <w:rPr>
                <w:rFonts w:ascii="Arial" w:eastAsia="Times New Roman" w:hAnsi="Arial" w:cs="Arial"/>
                <w:sz w:val="20"/>
                <w:szCs w:val="20"/>
                <w:lang w:eastAsia="en-AU"/>
              </w:rPr>
              <w:t>high speed</w:t>
            </w:r>
            <w:proofErr w:type="gramEnd"/>
            <w:r w:rsidRPr="005E3AE4">
              <w:rPr>
                <w:rFonts w:ascii="Arial" w:eastAsia="Times New Roman" w:hAnsi="Arial" w:cs="Arial"/>
                <w:sz w:val="20"/>
                <w:szCs w:val="20"/>
                <w:lang w:eastAsia="en-AU"/>
              </w:rPr>
              <w:t xml:space="preserve"> telecommunication network, where available.</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074BA" w:rsidRPr="005E3AE4" w:rsidTr="0011683F">
        <w:trPr>
          <w:tblCellSpacing w:w="15" w:type="dxa"/>
        </w:trPr>
        <w:tc>
          <w:tcPr>
            <w:tcW w:w="3331" w:type="pct"/>
            <w:gridSpan w:val="2"/>
            <w:shd w:val="clear" w:color="auto" w:fill="CCCCCC"/>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b/>
                <w:bCs/>
                <w:color w:val="000000"/>
                <w:sz w:val="20"/>
                <w:szCs w:val="20"/>
                <w:lang w:eastAsia="en-AU"/>
              </w:rPr>
              <w:t>Boundary realignment</w:t>
            </w:r>
          </w:p>
        </w:tc>
        <w:tc>
          <w:tcPr>
            <w:tcW w:w="58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4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b/>
                <w:bCs/>
                <w:color w:val="000000"/>
                <w:sz w:val="20"/>
                <w:szCs w:val="20"/>
                <w:lang w:eastAsia="en-AU"/>
              </w:rPr>
              <w:t>PO11</w:t>
            </w:r>
          </w:p>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Boundary realignment:</w:t>
            </w:r>
          </w:p>
          <w:p w:rsidR="001074BA" w:rsidRPr="005E3AE4" w:rsidRDefault="001074BA" w:rsidP="005E3AE4">
            <w:pPr>
              <w:numPr>
                <w:ilvl w:val="0"/>
                <w:numId w:val="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does not result in the creation, or in the potential creation of, additional lots;</w:t>
            </w:r>
          </w:p>
          <w:p w:rsidR="001074BA" w:rsidRPr="005E3AE4" w:rsidRDefault="001074BA" w:rsidP="005E3AE4">
            <w:pPr>
              <w:numPr>
                <w:ilvl w:val="0"/>
                <w:numId w:val="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does not result in lots of a size or dimension inconsistent with that identified for any precinct or sub-precinct.</w:t>
            </w:r>
          </w:p>
          <w:p w:rsidR="001074BA" w:rsidRPr="005E3AE4" w:rsidRDefault="001074BA" w:rsidP="005E3AE4">
            <w:pPr>
              <w:numPr>
                <w:ilvl w:val="0"/>
                <w:numId w:val="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is an improvement on the existing land use situation;</w:t>
            </w:r>
          </w:p>
          <w:p w:rsidR="001074BA" w:rsidRPr="005E3AE4" w:rsidRDefault="001074BA" w:rsidP="005E3AE4">
            <w:pPr>
              <w:numPr>
                <w:ilvl w:val="0"/>
                <w:numId w:val="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lastRenderedPageBreak/>
              <w:t>do not result in existing land uses on-site becoming non-compliant with planning scheme criteria;</w:t>
            </w:r>
          </w:p>
          <w:p w:rsidR="001074BA" w:rsidRPr="005E3AE4" w:rsidRDefault="001074BA" w:rsidP="005E3AE4">
            <w:pPr>
              <w:numPr>
                <w:ilvl w:val="0"/>
                <w:numId w:val="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results in lots which have appropriate size, dimensions and access to cater for uses consistent with the precinct;</w:t>
            </w:r>
          </w:p>
          <w:p w:rsidR="001074BA" w:rsidRPr="005E3AE4" w:rsidRDefault="001074BA" w:rsidP="005E3AE4">
            <w:pPr>
              <w:numPr>
                <w:ilvl w:val="0"/>
                <w:numId w:val="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infrastructure and services are wholly contained within the lot they serve;</w:t>
            </w:r>
          </w:p>
          <w:p w:rsidR="001074BA" w:rsidRPr="005E3AE4" w:rsidRDefault="001074BA" w:rsidP="005E3AE4">
            <w:pPr>
              <w:numPr>
                <w:ilvl w:val="0"/>
                <w:numId w:val="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ensures the uninterrupted continuation of lots providing for their own private servicing;</w:t>
            </w:r>
          </w:p>
          <w:p w:rsidR="001074BA" w:rsidRPr="005E3AE4" w:rsidRDefault="001074BA" w:rsidP="005E3AE4">
            <w:pPr>
              <w:numPr>
                <w:ilvl w:val="0"/>
                <w:numId w:val="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 xml:space="preserve">do not result in the loss of habitat trees.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1074BA" w:rsidRPr="005E3AE4" w:rsidRDefault="001074BA" w:rsidP="005E3AE4">
            <w:pPr>
              <w:numPr>
                <w:ilvl w:val="0"/>
                <w:numId w:val="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 xml:space="preserve">do not result in adverse impacts on the quality and integrity of the biodiversity and ecological values inherent to a High Value Area identified in Overlay map - Environmental areas. </w:t>
            </w: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lastRenderedPageBreak/>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1074BA" w:rsidRPr="005E3AE4" w:rsidTr="0011683F">
        <w:trPr>
          <w:tblCellSpacing w:w="15" w:type="dxa"/>
        </w:trPr>
        <w:tc>
          <w:tcPr>
            <w:tcW w:w="3331" w:type="pct"/>
            <w:gridSpan w:val="2"/>
            <w:shd w:val="clear" w:color="auto" w:fill="CCCCCC"/>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Community title and lease</w:t>
            </w:r>
          </w:p>
        </w:tc>
        <w:tc>
          <w:tcPr>
            <w:tcW w:w="58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PO12</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Reconfiguring a lot which separates existing or approved buildings </w:t>
            </w:r>
            <w:proofErr w:type="gramStart"/>
            <w:r w:rsidRPr="005E3AE4">
              <w:rPr>
                <w:rFonts w:ascii="Arial" w:eastAsia="Times New Roman" w:hAnsi="Arial" w:cs="Arial"/>
                <w:sz w:val="20"/>
                <w:szCs w:val="20"/>
                <w:lang w:eastAsia="en-AU"/>
              </w:rPr>
              <w:t>whether or not</w:t>
            </w:r>
            <w:proofErr w:type="gramEnd"/>
            <w:r w:rsidRPr="005E3AE4">
              <w:rPr>
                <w:rFonts w:ascii="Arial" w:eastAsia="Times New Roman" w:hAnsi="Arial" w:cs="Arial"/>
                <w:sz w:val="20"/>
                <w:szCs w:val="20"/>
                <w:lang w:eastAsia="en-AU"/>
              </w:rPr>
              <w:t xml:space="preserve"> including land, or separates land by way of lease does not result in land uses becoming unlawful or dependant elements of a use being separated by title. </w:t>
            </w:r>
          </w:p>
          <w:tbl>
            <w:tblPr>
              <w:tblW w:w="47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1074BA" w:rsidRPr="005E3AE4" w:rsidTr="0011683F">
              <w:trPr>
                <w:tblCellSpacing w:w="15" w:type="dxa"/>
              </w:trPr>
              <w:tc>
                <w:tcPr>
                  <w:tcW w:w="4700" w:type="dxa"/>
                  <w:vAlign w:val="cente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Note - Examples may include but are not limited to:</w:t>
                  </w:r>
                </w:p>
                <w:p w:rsidR="001074BA" w:rsidRPr="005E3AE4" w:rsidRDefault="001074BA" w:rsidP="005E3AE4">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Where a commercial or industrial land use contains an ancillary office</w:t>
                  </w:r>
                  <w:r w:rsidRPr="005E3AE4">
                    <w:rPr>
                      <w:rFonts w:ascii="Arial" w:eastAsia="Times New Roman" w:hAnsi="Arial" w:cs="Arial"/>
                      <w:sz w:val="20"/>
                      <w:szCs w:val="20"/>
                      <w:vertAlign w:val="superscript"/>
                      <w:lang w:eastAsia="en-AU"/>
                    </w:rPr>
                    <w:t>(</w:t>
                  </w:r>
                  <w:hyperlink r:id="rId12" w:anchor="target-d60239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5E3AE4">
                      <w:rPr>
                        <w:rFonts w:ascii="Arial" w:eastAsia="Times New Roman" w:hAnsi="Arial" w:cs="Arial"/>
                        <w:color w:val="0000FF"/>
                        <w:sz w:val="20"/>
                        <w:szCs w:val="20"/>
                        <w:vertAlign w:val="superscript"/>
                        <w:lang w:eastAsia="en-AU"/>
                      </w:rPr>
                      <w:t>53</w:t>
                    </w:r>
                  </w:hyperlink>
                  <w:r w:rsidRPr="005E3AE4">
                    <w:rPr>
                      <w:rFonts w:ascii="Arial" w:eastAsia="Times New Roman" w:hAnsi="Arial" w:cs="Arial"/>
                      <w:sz w:val="20"/>
                      <w:szCs w:val="20"/>
                      <w:vertAlign w:val="superscript"/>
                      <w:lang w:eastAsia="en-AU"/>
                    </w:rPr>
                    <w:t>)</w:t>
                  </w:r>
                  <w:r w:rsidRPr="005E3AE4">
                    <w:rPr>
                      <w:rFonts w:ascii="Arial" w:eastAsia="Times New Roman" w:hAnsi="Arial" w:cs="Arial"/>
                      <w:sz w:val="20"/>
                      <w:szCs w:val="20"/>
                      <w:lang w:eastAsia="en-AU"/>
                    </w:rPr>
                    <w:t>, the office</w:t>
                  </w:r>
                  <w:r w:rsidRPr="005E3AE4">
                    <w:rPr>
                      <w:rFonts w:ascii="Arial" w:eastAsia="Times New Roman" w:hAnsi="Arial" w:cs="Arial"/>
                      <w:sz w:val="20"/>
                      <w:szCs w:val="20"/>
                      <w:vertAlign w:val="superscript"/>
                      <w:lang w:eastAsia="en-AU"/>
                    </w:rPr>
                    <w:t>(</w:t>
                  </w:r>
                  <w:hyperlink r:id="rId13" w:anchor="target-d60239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5E3AE4">
                      <w:rPr>
                        <w:rFonts w:ascii="Arial" w:eastAsia="Times New Roman" w:hAnsi="Arial" w:cs="Arial"/>
                        <w:color w:val="0000FF"/>
                        <w:sz w:val="20"/>
                        <w:szCs w:val="20"/>
                        <w:vertAlign w:val="superscript"/>
                        <w:lang w:eastAsia="en-AU"/>
                      </w:rPr>
                      <w:t>53</w:t>
                    </w:r>
                  </w:hyperlink>
                  <w:r w:rsidRPr="005E3AE4">
                    <w:rPr>
                      <w:rFonts w:ascii="Arial" w:eastAsia="Times New Roman" w:hAnsi="Arial" w:cs="Arial"/>
                      <w:sz w:val="20"/>
                      <w:szCs w:val="20"/>
                      <w:vertAlign w:val="superscript"/>
                      <w:lang w:eastAsia="en-AU"/>
                    </w:rPr>
                    <w:t>)</w:t>
                  </w:r>
                  <w:r w:rsidRPr="005E3AE4">
                    <w:rPr>
                      <w:rFonts w:ascii="Arial" w:eastAsia="Times New Roman" w:hAnsi="Arial" w:cs="Arial"/>
                      <w:sz w:val="20"/>
                      <w:szCs w:val="20"/>
                      <w:lang w:eastAsia="en-AU"/>
                    </w:rPr>
                    <w:t xml:space="preserve"> cannot be separately titled as it is considered part of the commercial or industrial use. </w:t>
                  </w:r>
                </w:p>
                <w:p w:rsidR="001074BA" w:rsidRPr="005E3AE4" w:rsidRDefault="001074BA" w:rsidP="005E3AE4">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Where a Dwelling house</w:t>
                  </w:r>
                  <w:r w:rsidRPr="005E3AE4">
                    <w:rPr>
                      <w:rFonts w:ascii="Arial" w:eastAsia="Times New Roman" w:hAnsi="Arial" w:cs="Arial"/>
                      <w:sz w:val="20"/>
                      <w:szCs w:val="20"/>
                      <w:vertAlign w:val="superscript"/>
                      <w:lang w:eastAsia="en-AU"/>
                    </w:rPr>
                    <w:t>(</w:t>
                  </w:r>
                  <w:hyperlink r:id="rId14"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5E3AE4">
                      <w:rPr>
                        <w:rFonts w:ascii="Arial" w:eastAsia="Times New Roman" w:hAnsi="Arial" w:cs="Arial"/>
                        <w:color w:val="0000FF"/>
                        <w:sz w:val="20"/>
                        <w:szCs w:val="20"/>
                        <w:vertAlign w:val="superscript"/>
                        <w:lang w:eastAsia="en-AU"/>
                      </w:rPr>
                      <w:t>22</w:t>
                    </w:r>
                  </w:hyperlink>
                  <w:r w:rsidRPr="005E3AE4">
                    <w:rPr>
                      <w:rFonts w:ascii="Arial" w:eastAsia="Times New Roman" w:hAnsi="Arial" w:cs="Arial"/>
                      <w:sz w:val="20"/>
                      <w:szCs w:val="20"/>
                      <w:vertAlign w:val="superscript"/>
                      <w:lang w:eastAsia="en-AU"/>
                    </w:rPr>
                    <w:t>)</w:t>
                  </w:r>
                  <w:r w:rsidRPr="005E3AE4">
                    <w:rPr>
                      <w:rFonts w:ascii="Arial" w:eastAsia="Times New Roman" w:hAnsi="Arial" w:cs="Arial"/>
                      <w:sz w:val="20"/>
                      <w:szCs w:val="20"/>
                      <w:lang w:eastAsia="en-AU"/>
                    </w:rPr>
                    <w:t xml:space="preserve"> includes a secondary dwelling or associated outbuildings, they cannot be separately </w:t>
                  </w:r>
                  <w:r w:rsidRPr="005E3AE4">
                    <w:rPr>
                      <w:rFonts w:ascii="Arial" w:eastAsia="Times New Roman" w:hAnsi="Arial" w:cs="Arial"/>
                      <w:sz w:val="20"/>
                      <w:szCs w:val="20"/>
                      <w:lang w:eastAsia="en-AU"/>
                    </w:rPr>
                    <w:lastRenderedPageBreak/>
                    <w:t>titled as they are dependent on the Dwelling house</w:t>
                  </w:r>
                  <w:r w:rsidRPr="005E3AE4">
                    <w:rPr>
                      <w:rFonts w:ascii="Arial" w:eastAsia="Times New Roman" w:hAnsi="Arial" w:cs="Arial"/>
                      <w:sz w:val="20"/>
                      <w:szCs w:val="20"/>
                      <w:vertAlign w:val="superscript"/>
                      <w:lang w:eastAsia="en-AU"/>
                    </w:rPr>
                    <w:t>(</w:t>
                  </w:r>
                  <w:hyperlink r:id="rId15"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5E3AE4">
                      <w:rPr>
                        <w:rFonts w:ascii="Arial" w:eastAsia="Times New Roman" w:hAnsi="Arial" w:cs="Arial"/>
                        <w:color w:val="0000FF"/>
                        <w:sz w:val="20"/>
                        <w:szCs w:val="20"/>
                        <w:vertAlign w:val="superscript"/>
                        <w:lang w:eastAsia="en-AU"/>
                      </w:rPr>
                      <w:t>22</w:t>
                    </w:r>
                  </w:hyperlink>
                  <w:r w:rsidRPr="005E3AE4">
                    <w:rPr>
                      <w:rFonts w:ascii="Arial" w:eastAsia="Times New Roman" w:hAnsi="Arial" w:cs="Arial"/>
                      <w:sz w:val="20"/>
                      <w:szCs w:val="20"/>
                      <w:vertAlign w:val="superscript"/>
                      <w:lang w:eastAsia="en-AU"/>
                    </w:rPr>
                    <w:t>)</w:t>
                  </w:r>
                  <w:r w:rsidRPr="005E3AE4">
                    <w:rPr>
                      <w:rFonts w:ascii="Arial" w:eastAsia="Times New Roman" w:hAnsi="Arial" w:cs="Arial"/>
                      <w:sz w:val="20"/>
                      <w:szCs w:val="20"/>
                      <w:lang w:eastAsia="en-AU"/>
                    </w:rPr>
                    <w:t xml:space="preserve"> use. </w:t>
                  </w:r>
                </w:p>
              </w:tc>
            </w:tr>
          </w:tbl>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lastRenderedPageBreak/>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1074BA" w:rsidRPr="005E3AE4" w:rsidTr="0011683F">
        <w:trPr>
          <w:tblCellSpacing w:w="15" w:type="dxa"/>
        </w:trPr>
        <w:tc>
          <w:tcPr>
            <w:tcW w:w="3331" w:type="pct"/>
            <w:gridSpan w:val="2"/>
            <w:shd w:val="clear" w:color="auto" w:fill="CCCCCC"/>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Volumetric subdivision</w:t>
            </w:r>
          </w:p>
        </w:tc>
        <w:tc>
          <w:tcPr>
            <w:tcW w:w="58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PO13</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The reconfiguring of the space above or below the surface of the land ensures appropriate area, dimensions and access arrangements to cater for uses consistent with the precinct and does not result in existing land uses on-site becoming non-complying with planning scheme criteria. </w:t>
            </w:r>
          </w:p>
          <w:tbl>
            <w:tblPr>
              <w:tblW w:w="490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2"/>
            </w:tblGrid>
            <w:tr w:rsidR="001074BA" w:rsidRPr="005E3AE4" w:rsidTr="0011683F">
              <w:trPr>
                <w:tblCellSpacing w:w="15" w:type="dxa"/>
              </w:trPr>
              <w:tc>
                <w:tcPr>
                  <w:tcW w:w="4842" w:type="dxa"/>
                  <w:vAlign w:val="cente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Note - Examples may include but are not limited to where a Dwelling house</w:t>
                  </w:r>
                  <w:r w:rsidRPr="005E3AE4">
                    <w:rPr>
                      <w:rFonts w:ascii="Arial" w:eastAsia="Times New Roman" w:hAnsi="Arial" w:cs="Arial"/>
                      <w:sz w:val="20"/>
                      <w:szCs w:val="20"/>
                      <w:vertAlign w:val="superscript"/>
                      <w:lang w:eastAsia="en-AU"/>
                    </w:rPr>
                    <w:t>(</w:t>
                  </w:r>
                  <w:hyperlink r:id="rId16"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5E3AE4">
                      <w:rPr>
                        <w:rFonts w:ascii="Arial" w:eastAsia="Times New Roman" w:hAnsi="Arial" w:cs="Arial"/>
                        <w:color w:val="0000FF"/>
                        <w:sz w:val="20"/>
                        <w:szCs w:val="20"/>
                        <w:vertAlign w:val="superscript"/>
                        <w:lang w:eastAsia="en-AU"/>
                      </w:rPr>
                      <w:t>22</w:t>
                    </w:r>
                  </w:hyperlink>
                  <w:r w:rsidRPr="005E3AE4">
                    <w:rPr>
                      <w:rFonts w:ascii="Arial" w:eastAsia="Times New Roman" w:hAnsi="Arial" w:cs="Arial"/>
                      <w:sz w:val="20"/>
                      <w:szCs w:val="20"/>
                      <w:vertAlign w:val="superscript"/>
                      <w:lang w:eastAsia="en-AU"/>
                    </w:rPr>
                    <w:t>)</w:t>
                  </w:r>
                  <w:r w:rsidRPr="005E3AE4">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5E3AE4">
                    <w:rPr>
                      <w:rFonts w:ascii="Arial" w:eastAsia="Times New Roman" w:hAnsi="Arial" w:cs="Arial"/>
                      <w:sz w:val="20"/>
                      <w:szCs w:val="20"/>
                      <w:vertAlign w:val="superscript"/>
                      <w:lang w:eastAsia="en-AU"/>
                    </w:rPr>
                    <w:t>(</w:t>
                  </w:r>
                  <w:hyperlink r:id="rId17"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5E3AE4">
                      <w:rPr>
                        <w:rFonts w:ascii="Arial" w:eastAsia="Times New Roman" w:hAnsi="Arial" w:cs="Arial"/>
                        <w:color w:val="0000FF"/>
                        <w:sz w:val="20"/>
                        <w:szCs w:val="20"/>
                        <w:vertAlign w:val="superscript"/>
                        <w:lang w:eastAsia="en-AU"/>
                      </w:rPr>
                      <w:t>22</w:t>
                    </w:r>
                  </w:hyperlink>
                  <w:r w:rsidRPr="005E3AE4">
                    <w:rPr>
                      <w:rFonts w:ascii="Arial" w:eastAsia="Times New Roman" w:hAnsi="Arial" w:cs="Arial"/>
                      <w:sz w:val="20"/>
                      <w:szCs w:val="20"/>
                      <w:vertAlign w:val="superscript"/>
                      <w:lang w:eastAsia="en-AU"/>
                    </w:rPr>
                    <w:t>)</w:t>
                  </w:r>
                  <w:r w:rsidRPr="005E3AE4">
                    <w:rPr>
                      <w:rFonts w:ascii="Arial" w:eastAsia="Times New Roman" w:hAnsi="Arial" w:cs="Arial"/>
                      <w:sz w:val="20"/>
                      <w:szCs w:val="20"/>
                      <w:lang w:eastAsia="en-AU"/>
                    </w:rPr>
                    <w:t xml:space="preserve"> use. </w:t>
                  </w:r>
                </w:p>
              </w:tc>
            </w:tr>
          </w:tbl>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074BA" w:rsidRPr="005E3AE4" w:rsidTr="0011683F">
        <w:trPr>
          <w:tblCellSpacing w:w="15" w:type="dxa"/>
        </w:trPr>
        <w:tc>
          <w:tcPr>
            <w:tcW w:w="3331" w:type="pct"/>
            <w:gridSpan w:val="2"/>
            <w:shd w:val="clear" w:color="auto" w:fill="CCCCCC"/>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Stormwater location and design</w:t>
            </w:r>
          </w:p>
        </w:tc>
        <w:tc>
          <w:tcPr>
            <w:tcW w:w="58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PO14</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The development is planned and designed considering the land use constraints of the site and incorporates water sensitive urban design principles. </w:t>
            </w: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PO15</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Stormwater drainage pipes and structures through or within private land are protected by easements in favour of Council with sufficient area for practical access for maintenance. </w:t>
            </w:r>
          </w:p>
          <w:tbl>
            <w:tblPr>
              <w:tblW w:w="47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1074BA" w:rsidRPr="005E3AE4" w:rsidTr="0011683F">
              <w:trPr>
                <w:tblCellSpacing w:w="15" w:type="dxa"/>
              </w:trPr>
              <w:tc>
                <w:tcPr>
                  <w:tcW w:w="4700" w:type="dxa"/>
                  <w:vAlign w:val="cente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Note - To determine sufficient areas for easements refer to Planning scheme policy - Integrated design.</w:t>
                  </w:r>
                </w:p>
              </w:tc>
            </w:tr>
          </w:tbl>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PO16</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lastRenderedPageBreak/>
              <w:t>Stormwater management facilities are located outside of riparian areas and prevent increased channel bed and bank erosion.</w:t>
            </w: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lastRenderedPageBreak/>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PO17</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Natural streams and riparian vegetation are retained and enhanced through revegetation.</w:t>
            </w: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PO18</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Areas constructed as detention basins are adaptable for passive recreation.</w:t>
            </w: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PO19</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Development maintains and improves the environmental values of waterway ecosystems within the Green network and minor green corridors. </w:t>
            </w: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PO20</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Constructed water bodies are not dedicated as public assets.</w:t>
            </w: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074BA" w:rsidRPr="005E3AE4" w:rsidTr="0011683F">
        <w:trPr>
          <w:tblCellSpacing w:w="15" w:type="dxa"/>
        </w:trPr>
        <w:tc>
          <w:tcPr>
            <w:tcW w:w="3331" w:type="pct"/>
            <w:gridSpan w:val="2"/>
            <w:shd w:val="clear" w:color="auto" w:fill="CCCCCC"/>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Stormwater management system</w:t>
            </w:r>
          </w:p>
        </w:tc>
        <w:tc>
          <w:tcPr>
            <w:tcW w:w="58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PO21</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The major drainage system has the capacity to safely convey stormwater flows for the defined flood event.</w:t>
            </w: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E21</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The roads, drainage pathways, drainage features and waterways safely convey the stormwater flows for the defined flood event without allowing flows to encroach upon private lots. </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PO22</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Overland flow paths (for any storm event) from newly constructed roads and public open space areas do not pass through private lots. </w:t>
            </w: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E22</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Drainage pathways are provided to accommodate overland flows from roads and public open space areas</w:t>
            </w:r>
            <w:r w:rsidRPr="005E3AE4">
              <w:rPr>
                <w:rFonts w:ascii="Arial" w:eastAsia="Times New Roman" w:hAnsi="Arial" w:cs="Arial"/>
                <w:i/>
                <w:iCs/>
                <w:sz w:val="20"/>
                <w:szCs w:val="20"/>
                <w:lang w:eastAsia="en-AU"/>
              </w:rPr>
              <w:t>.</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rHeight w:val="1830"/>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PO23</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Development achieves the design objectives in Tables A and B in Appendix 2 of the SPP.</w:t>
            </w:r>
          </w:p>
          <w:tbl>
            <w:tblPr>
              <w:tblW w:w="490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2"/>
            </w:tblGrid>
            <w:tr w:rsidR="001074BA" w:rsidRPr="005E3AE4" w:rsidTr="0011683F">
              <w:trPr>
                <w:tblCellSpacing w:w="15" w:type="dxa"/>
              </w:trPr>
              <w:tc>
                <w:tcPr>
                  <w:tcW w:w="4842" w:type="dxa"/>
                  <w:vAlign w:val="cente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Note - To demonstrate achievement of this performance outcome, a stormwater quality </w:t>
                  </w:r>
                  <w:r w:rsidRPr="005E3AE4">
                    <w:rPr>
                      <w:rFonts w:ascii="Arial" w:eastAsia="Times New Roman" w:hAnsi="Arial" w:cs="Arial"/>
                      <w:sz w:val="20"/>
                      <w:szCs w:val="20"/>
                      <w:lang w:eastAsia="en-AU"/>
                    </w:rPr>
                    <w:lastRenderedPageBreak/>
                    <w:t xml:space="preserve">management is prepared by a suitably qualified person in accordance with Planning scheme policy - Stormwater management. </w:t>
                  </w:r>
                </w:p>
              </w:tc>
            </w:tr>
          </w:tbl>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lastRenderedPageBreak/>
              <w:t>No example provided.</w:t>
            </w:r>
          </w:p>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b/>
                <w:bCs/>
                <w:color w:val="000000"/>
                <w:sz w:val="20"/>
                <w:szCs w:val="20"/>
                <w:lang w:eastAsia="en-AU"/>
              </w:rPr>
              <w:t>PO24</w:t>
            </w:r>
          </w:p>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The stormwater management system is designed to:</w:t>
            </w:r>
          </w:p>
          <w:p w:rsidR="001074BA" w:rsidRPr="005E3AE4" w:rsidRDefault="001074BA" w:rsidP="005E3AE4">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protect the environmental values in downstream waterways;</w:t>
            </w:r>
          </w:p>
          <w:p w:rsidR="001074BA" w:rsidRPr="005E3AE4" w:rsidRDefault="001074BA" w:rsidP="005E3AE4">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maintain ground water recharge areas;</w:t>
            </w:r>
          </w:p>
          <w:p w:rsidR="001074BA" w:rsidRPr="005E3AE4" w:rsidRDefault="001074BA" w:rsidP="005E3AE4">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preserve existing natural wetlands and associated buffers;</w:t>
            </w:r>
          </w:p>
          <w:p w:rsidR="001074BA" w:rsidRPr="005E3AE4" w:rsidRDefault="001074BA" w:rsidP="005E3AE4">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avoid disturbing soils or sediments;</w:t>
            </w:r>
          </w:p>
          <w:p w:rsidR="001074BA" w:rsidRPr="005E3AE4" w:rsidRDefault="001074BA" w:rsidP="005E3AE4">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avoid altering the natural hydrologic regime in acid sulphate soil and nutrient hazardous areas;</w:t>
            </w:r>
          </w:p>
          <w:p w:rsidR="001074BA" w:rsidRPr="005E3AE4" w:rsidRDefault="001074BA" w:rsidP="005E3AE4">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maintain and improve receiving water quality;</w:t>
            </w:r>
          </w:p>
          <w:p w:rsidR="001074BA" w:rsidRPr="005E3AE4" w:rsidRDefault="001074BA" w:rsidP="005E3AE4">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protect natural waterway configuration;</w:t>
            </w:r>
          </w:p>
          <w:p w:rsidR="001074BA" w:rsidRPr="005E3AE4" w:rsidRDefault="001074BA" w:rsidP="005E3AE4">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protect natural wetlands and vegetation;</w:t>
            </w:r>
          </w:p>
          <w:p w:rsidR="001074BA" w:rsidRPr="005E3AE4" w:rsidRDefault="001074BA" w:rsidP="005E3AE4">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protect downstream and adjacent properties;</w:t>
            </w:r>
          </w:p>
          <w:p w:rsidR="001074BA" w:rsidRPr="005E3AE4" w:rsidRDefault="001074BA" w:rsidP="005E3AE4">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protect and enhance riparian areas.</w:t>
            </w:r>
          </w:p>
          <w:tbl>
            <w:tblPr>
              <w:tblW w:w="490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2"/>
            </w:tblGrid>
            <w:tr w:rsidR="001074BA" w:rsidRPr="005E3AE4" w:rsidTr="001074BA">
              <w:trPr>
                <w:tblCellSpacing w:w="15" w:type="dxa"/>
              </w:trPr>
              <w:tc>
                <w:tcPr>
                  <w:tcW w:w="4842" w:type="dxa"/>
                  <w:vAlign w:val="cente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Note - To demonstrate achievement of this performance outcome, a stormwater quality management is prepared by a suitably qualified person demonstrating compliance with the Urban Stormwater Planning Guideline 2010 and considering any local area stormwater management planning prepared by Council. </w:t>
                  </w:r>
                </w:p>
              </w:tc>
            </w:tr>
          </w:tbl>
          <w:p w:rsidR="001074BA" w:rsidRPr="005E3AE4" w:rsidRDefault="001074BA" w:rsidP="005E3AE4">
            <w:pPr>
              <w:spacing w:before="100" w:beforeAutospacing="1" w:after="100" w:afterAutospacing="1" w:line="240" w:lineRule="auto"/>
              <w:rPr>
                <w:rFonts w:ascii="Arial" w:eastAsia="Times New Roman" w:hAnsi="Arial" w:cs="Arial"/>
                <w:color w:val="000000"/>
                <w:sz w:val="20"/>
                <w:szCs w:val="20"/>
                <w:lang w:eastAsia="en-AU"/>
              </w:rPr>
            </w:pP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E3AE4" w:rsidTr="0011683F">
        <w:trPr>
          <w:trHeight w:val="3345"/>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b/>
                <w:bCs/>
                <w:color w:val="000000"/>
                <w:sz w:val="20"/>
                <w:szCs w:val="20"/>
                <w:lang w:eastAsia="en-AU"/>
              </w:rPr>
              <w:lastRenderedPageBreak/>
              <w:t>PO25</w:t>
            </w:r>
          </w:p>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Design and construction of the stormwater management system:</w:t>
            </w:r>
          </w:p>
          <w:p w:rsidR="001074BA" w:rsidRPr="005E3AE4" w:rsidRDefault="001074BA" w:rsidP="005E3AE4">
            <w:pPr>
              <w:numPr>
                <w:ilvl w:val="0"/>
                <w:numId w:val="1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utilise methods and materials to minimise the whole of life-cycle costs of the stormwater management system;</w:t>
            </w:r>
          </w:p>
          <w:p w:rsidR="001074BA" w:rsidRPr="005E3AE4" w:rsidRDefault="001074BA" w:rsidP="005E3AE4">
            <w:pPr>
              <w:numPr>
                <w:ilvl w:val="0"/>
                <w:numId w:val="1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 xml:space="preserve">are coordinated with civil and </w:t>
            </w:r>
            <w:proofErr w:type="gramStart"/>
            <w:r w:rsidRPr="005E3AE4">
              <w:rPr>
                <w:rFonts w:ascii="Arial" w:eastAsia="Times New Roman" w:hAnsi="Arial" w:cs="Arial"/>
                <w:color w:val="000000"/>
                <w:sz w:val="20"/>
                <w:szCs w:val="20"/>
                <w:lang w:eastAsia="en-AU"/>
              </w:rPr>
              <w:t>other</w:t>
            </w:r>
            <w:proofErr w:type="gramEnd"/>
            <w:r w:rsidRPr="005E3AE4">
              <w:rPr>
                <w:rFonts w:ascii="Arial" w:eastAsia="Times New Roman" w:hAnsi="Arial" w:cs="Arial"/>
                <w:color w:val="000000"/>
                <w:sz w:val="20"/>
                <w:szCs w:val="20"/>
                <w:lang w:eastAsia="en-AU"/>
              </w:rPr>
              <w:t xml:space="preserve"> landscaping works;</w:t>
            </w:r>
          </w:p>
          <w:p w:rsidR="001074BA" w:rsidRPr="005E3AE4" w:rsidRDefault="001074BA" w:rsidP="005E3AE4">
            <w:pPr>
              <w:numPr>
                <w:ilvl w:val="0"/>
                <w:numId w:val="1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achieves Councils Total Water Cycle Management policy and the efficient use of water resources.</w:t>
            </w:r>
          </w:p>
          <w:tbl>
            <w:tblPr>
              <w:tblW w:w="490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2"/>
            </w:tblGrid>
            <w:tr w:rsidR="001074BA" w:rsidRPr="005E3AE4" w:rsidTr="001074BA">
              <w:trPr>
                <w:tblCellSpacing w:w="15" w:type="dxa"/>
              </w:trPr>
              <w:tc>
                <w:tcPr>
                  <w:tcW w:w="4842" w:type="dxa"/>
                  <w:vAlign w:val="cente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Note - To determine the standards for stormwater management system construction refer to Planning scheme policy - Integrated design. </w:t>
                  </w:r>
                </w:p>
              </w:tc>
            </w:tr>
          </w:tbl>
          <w:p w:rsidR="001074BA" w:rsidRPr="005E3AE4" w:rsidRDefault="001074BA" w:rsidP="005E3AE4">
            <w:pPr>
              <w:spacing w:before="100" w:beforeAutospacing="1" w:after="100" w:afterAutospacing="1" w:line="240" w:lineRule="auto"/>
              <w:rPr>
                <w:rFonts w:ascii="Arial" w:eastAsia="Times New Roman" w:hAnsi="Arial" w:cs="Arial"/>
                <w:color w:val="000000"/>
                <w:sz w:val="20"/>
                <w:szCs w:val="20"/>
                <w:lang w:eastAsia="en-AU"/>
              </w:rPr>
            </w:pP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b/>
                <w:bCs/>
                <w:color w:val="000000"/>
                <w:sz w:val="20"/>
                <w:szCs w:val="20"/>
                <w:lang w:eastAsia="en-AU"/>
              </w:rPr>
              <w:t>PO26</w:t>
            </w:r>
          </w:p>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 xml:space="preserve">Where associated with a minor green corridor (refer Figure 7.2.3.4 - Green network and open space), development will adopt bio-retention systems for stormwater treatment that recognises and promotes Councils Total Water Cycle Management policy and the efficient use of water resources. </w:t>
            </w:r>
          </w:p>
          <w:tbl>
            <w:tblPr>
              <w:tblW w:w="490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2"/>
            </w:tblGrid>
            <w:tr w:rsidR="001074BA" w:rsidRPr="005E3AE4" w:rsidTr="0011683F">
              <w:trPr>
                <w:tblCellSpacing w:w="15" w:type="dxa"/>
              </w:trPr>
              <w:tc>
                <w:tcPr>
                  <w:tcW w:w="4842" w:type="dxa"/>
                  <w:vAlign w:val="cente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Note - To determine the standards for stormwater management system construction refer to Planning scheme policy - Integrated design. </w:t>
                  </w:r>
                </w:p>
              </w:tc>
            </w:tr>
          </w:tbl>
          <w:p w:rsidR="001074BA" w:rsidRPr="005E3AE4" w:rsidRDefault="001074BA" w:rsidP="005E3AE4">
            <w:pPr>
              <w:spacing w:before="100" w:beforeAutospacing="1" w:after="100" w:afterAutospacing="1" w:line="240" w:lineRule="auto"/>
              <w:rPr>
                <w:rFonts w:ascii="Arial" w:eastAsia="Times New Roman" w:hAnsi="Arial" w:cs="Arial"/>
                <w:color w:val="000000"/>
                <w:sz w:val="20"/>
                <w:szCs w:val="20"/>
                <w:lang w:eastAsia="en-AU"/>
              </w:rPr>
            </w:pP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074BA" w:rsidRPr="005E3AE4" w:rsidTr="0011683F">
        <w:trPr>
          <w:tblCellSpacing w:w="15" w:type="dxa"/>
        </w:trPr>
        <w:tc>
          <w:tcPr>
            <w:tcW w:w="3331" w:type="pct"/>
            <w:gridSpan w:val="2"/>
            <w:shd w:val="clear" w:color="auto" w:fill="CCCCCC"/>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Park and open space</w:t>
            </w:r>
          </w:p>
        </w:tc>
        <w:tc>
          <w:tcPr>
            <w:tcW w:w="58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PO27</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Areas for recreation and open space purposes are provided in locations, and of a size and design standard to meet the recreational needs of the community in accordance with Figure 7.2.3.4 - Green network and open space. </w:t>
            </w: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E27</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Development is in accordance with a Neighbourhood development plan.</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b/>
                <w:bCs/>
                <w:color w:val="000000"/>
                <w:sz w:val="20"/>
                <w:szCs w:val="20"/>
                <w:lang w:eastAsia="en-AU"/>
              </w:rPr>
              <w:t>PO28</w:t>
            </w:r>
          </w:p>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lastRenderedPageBreak/>
              <w:t>The safety and useability of parks</w:t>
            </w:r>
            <w:r w:rsidRPr="005E3AE4">
              <w:rPr>
                <w:rFonts w:ascii="Arial" w:eastAsia="Times New Roman" w:hAnsi="Arial" w:cs="Arial"/>
                <w:color w:val="000000"/>
                <w:sz w:val="20"/>
                <w:szCs w:val="20"/>
                <w:vertAlign w:val="superscript"/>
                <w:lang w:eastAsia="en-AU"/>
              </w:rPr>
              <w:t>(</w:t>
            </w:r>
            <w:hyperlink r:id="rId18"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3AE4">
                <w:rPr>
                  <w:rFonts w:ascii="Arial" w:eastAsia="Times New Roman" w:hAnsi="Arial" w:cs="Arial"/>
                  <w:color w:val="0000FF"/>
                  <w:sz w:val="20"/>
                  <w:szCs w:val="20"/>
                  <w:vertAlign w:val="superscript"/>
                  <w:lang w:eastAsia="en-AU"/>
                </w:rPr>
                <w:t>57</w:t>
              </w:r>
            </w:hyperlink>
            <w:r w:rsidRPr="005E3AE4">
              <w:rPr>
                <w:rFonts w:ascii="Arial" w:eastAsia="Times New Roman" w:hAnsi="Arial" w:cs="Arial"/>
                <w:color w:val="000000"/>
                <w:sz w:val="20"/>
                <w:szCs w:val="20"/>
                <w:vertAlign w:val="superscript"/>
                <w:lang w:eastAsia="en-AU"/>
              </w:rPr>
              <w:t>)</w:t>
            </w:r>
            <w:r w:rsidRPr="005E3AE4">
              <w:rPr>
                <w:rFonts w:ascii="Arial" w:eastAsia="Times New Roman" w:hAnsi="Arial" w:cs="Arial"/>
                <w:color w:val="000000"/>
                <w:sz w:val="20"/>
                <w:szCs w:val="20"/>
                <w:lang w:eastAsia="en-AU"/>
              </w:rPr>
              <w:t xml:space="preserve"> is ensured through the careful design of the street network and lot locations which provide high levels of surveillance and access into the park</w:t>
            </w:r>
            <w:r w:rsidRPr="005E3AE4">
              <w:rPr>
                <w:rFonts w:ascii="Arial" w:eastAsia="Times New Roman" w:hAnsi="Arial" w:cs="Arial"/>
                <w:color w:val="000000"/>
                <w:sz w:val="20"/>
                <w:szCs w:val="20"/>
                <w:vertAlign w:val="superscript"/>
                <w:lang w:eastAsia="en-AU"/>
              </w:rPr>
              <w:t>(</w:t>
            </w:r>
            <w:hyperlink r:id="rId19"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3AE4">
                <w:rPr>
                  <w:rFonts w:ascii="Arial" w:eastAsia="Times New Roman" w:hAnsi="Arial" w:cs="Arial"/>
                  <w:color w:val="0000FF"/>
                  <w:sz w:val="20"/>
                  <w:szCs w:val="20"/>
                  <w:vertAlign w:val="superscript"/>
                  <w:lang w:eastAsia="en-AU"/>
                </w:rPr>
                <w:t>57</w:t>
              </w:r>
            </w:hyperlink>
            <w:r w:rsidRPr="005E3AE4">
              <w:rPr>
                <w:rFonts w:ascii="Arial" w:eastAsia="Times New Roman" w:hAnsi="Arial" w:cs="Arial"/>
                <w:color w:val="000000"/>
                <w:sz w:val="20"/>
                <w:szCs w:val="20"/>
                <w:vertAlign w:val="superscript"/>
                <w:lang w:eastAsia="en-AU"/>
              </w:rPr>
              <w:t>)</w:t>
            </w:r>
            <w:r w:rsidRPr="005E3AE4">
              <w:rPr>
                <w:rFonts w:ascii="Arial" w:eastAsia="Times New Roman" w:hAnsi="Arial" w:cs="Arial"/>
                <w:color w:val="000000"/>
                <w:sz w:val="20"/>
                <w:szCs w:val="20"/>
                <w:lang w:eastAsia="en-AU"/>
              </w:rPr>
              <w:t xml:space="preserve"> or open space area. The provision of parks will consider the following: </w:t>
            </w:r>
          </w:p>
          <w:p w:rsidR="001074BA" w:rsidRPr="005E3AE4" w:rsidRDefault="001074BA" w:rsidP="005E3AE4">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local and district parks</w:t>
            </w:r>
            <w:r w:rsidRPr="005E3AE4">
              <w:rPr>
                <w:rFonts w:ascii="Arial" w:eastAsia="Times New Roman" w:hAnsi="Arial" w:cs="Arial"/>
                <w:color w:val="000000"/>
                <w:sz w:val="20"/>
                <w:szCs w:val="20"/>
                <w:vertAlign w:val="superscript"/>
                <w:lang w:eastAsia="en-AU"/>
              </w:rPr>
              <w:t>(</w:t>
            </w:r>
            <w:hyperlink r:id="rId20"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3AE4">
                <w:rPr>
                  <w:rFonts w:ascii="Arial" w:eastAsia="Times New Roman" w:hAnsi="Arial" w:cs="Arial"/>
                  <w:color w:val="0000FF"/>
                  <w:sz w:val="20"/>
                  <w:szCs w:val="20"/>
                  <w:vertAlign w:val="superscript"/>
                  <w:lang w:eastAsia="en-AU"/>
                </w:rPr>
                <w:t>57</w:t>
              </w:r>
            </w:hyperlink>
            <w:r w:rsidRPr="005E3AE4">
              <w:rPr>
                <w:rFonts w:ascii="Arial" w:eastAsia="Times New Roman" w:hAnsi="Arial" w:cs="Arial"/>
                <w:color w:val="000000"/>
                <w:sz w:val="20"/>
                <w:szCs w:val="20"/>
                <w:vertAlign w:val="superscript"/>
                <w:lang w:eastAsia="en-AU"/>
              </w:rPr>
              <w:t>)</w:t>
            </w:r>
            <w:r w:rsidRPr="005E3AE4">
              <w:rPr>
                <w:rFonts w:ascii="Arial" w:eastAsia="Times New Roman" w:hAnsi="Arial" w:cs="Arial"/>
                <w:color w:val="000000"/>
                <w:sz w:val="20"/>
                <w:szCs w:val="20"/>
                <w:lang w:eastAsia="en-AU"/>
              </w:rPr>
              <w:t xml:space="preserve"> are bordered by streets and not lots wherever possible; </w:t>
            </w:r>
          </w:p>
          <w:p w:rsidR="001074BA" w:rsidRPr="005E3AE4" w:rsidRDefault="001074BA" w:rsidP="005E3AE4">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where lots do addresses local and district parks</w:t>
            </w:r>
            <w:r w:rsidRPr="005E3AE4">
              <w:rPr>
                <w:rFonts w:ascii="Arial" w:eastAsia="Times New Roman" w:hAnsi="Arial" w:cs="Arial"/>
                <w:color w:val="000000"/>
                <w:sz w:val="20"/>
                <w:szCs w:val="20"/>
                <w:vertAlign w:val="superscript"/>
                <w:lang w:eastAsia="en-AU"/>
              </w:rPr>
              <w:t>(</w:t>
            </w:r>
            <w:hyperlink r:id="rId21"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3AE4">
                <w:rPr>
                  <w:rFonts w:ascii="Arial" w:eastAsia="Times New Roman" w:hAnsi="Arial" w:cs="Arial"/>
                  <w:color w:val="0000FF"/>
                  <w:sz w:val="20"/>
                  <w:szCs w:val="20"/>
                  <w:vertAlign w:val="superscript"/>
                  <w:lang w:eastAsia="en-AU"/>
                </w:rPr>
                <w:t>57</w:t>
              </w:r>
            </w:hyperlink>
            <w:r w:rsidRPr="005E3AE4">
              <w:rPr>
                <w:rFonts w:ascii="Arial" w:eastAsia="Times New Roman" w:hAnsi="Arial" w:cs="Arial"/>
                <w:color w:val="000000"/>
                <w:sz w:val="20"/>
                <w:szCs w:val="20"/>
                <w:vertAlign w:val="superscript"/>
                <w:lang w:eastAsia="en-AU"/>
              </w:rPr>
              <w:t>)</w:t>
            </w:r>
            <w:r w:rsidRPr="005E3AE4">
              <w:rPr>
                <w:rFonts w:ascii="Arial" w:eastAsia="Times New Roman" w:hAnsi="Arial" w:cs="Arial"/>
                <w:color w:val="000000"/>
                <w:sz w:val="20"/>
                <w:szCs w:val="20"/>
                <w:lang w:eastAsia="en-AU"/>
              </w:rPr>
              <w:t>, fencing is provided along the park</w:t>
            </w:r>
            <w:r w:rsidRPr="005E3AE4">
              <w:rPr>
                <w:rFonts w:ascii="Arial" w:eastAsia="Times New Roman" w:hAnsi="Arial" w:cs="Arial"/>
                <w:color w:val="000000"/>
                <w:sz w:val="20"/>
                <w:szCs w:val="20"/>
                <w:vertAlign w:val="superscript"/>
                <w:lang w:eastAsia="en-AU"/>
              </w:rPr>
              <w:t>(</w:t>
            </w:r>
            <w:hyperlink r:id="rId22"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3AE4">
                <w:rPr>
                  <w:rFonts w:ascii="Arial" w:eastAsia="Times New Roman" w:hAnsi="Arial" w:cs="Arial"/>
                  <w:color w:val="0000FF"/>
                  <w:sz w:val="20"/>
                  <w:szCs w:val="20"/>
                  <w:vertAlign w:val="superscript"/>
                  <w:lang w:eastAsia="en-AU"/>
                </w:rPr>
                <w:t>57</w:t>
              </w:r>
            </w:hyperlink>
            <w:r w:rsidRPr="005E3AE4">
              <w:rPr>
                <w:rFonts w:ascii="Arial" w:eastAsia="Times New Roman" w:hAnsi="Arial" w:cs="Arial"/>
                <w:color w:val="000000"/>
                <w:sz w:val="20"/>
                <w:szCs w:val="20"/>
                <w:vertAlign w:val="superscript"/>
                <w:lang w:eastAsia="en-AU"/>
              </w:rPr>
              <w:t>)</w:t>
            </w:r>
            <w:r w:rsidRPr="005E3AE4">
              <w:rPr>
                <w:rFonts w:ascii="Arial" w:eastAsia="Times New Roman" w:hAnsi="Arial" w:cs="Arial"/>
                <w:color w:val="000000"/>
                <w:sz w:val="20"/>
                <w:szCs w:val="20"/>
                <w:lang w:eastAsia="en-AU"/>
              </w:rPr>
              <w:t xml:space="preserve"> boundary at a maximum height of 1m prior to the sealing of the plan of subdivision; </w:t>
            </w:r>
          </w:p>
          <w:p w:rsidR="001074BA" w:rsidRPr="005E3AE4" w:rsidRDefault="001074BA" w:rsidP="005E3AE4">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the design of fencing and retaining features allows for safe and direct pedestrian access between the park</w:t>
            </w:r>
            <w:r w:rsidRPr="005E3AE4">
              <w:rPr>
                <w:rFonts w:ascii="Arial" w:eastAsia="Times New Roman" w:hAnsi="Arial" w:cs="Arial"/>
                <w:color w:val="000000"/>
                <w:sz w:val="20"/>
                <w:szCs w:val="20"/>
                <w:vertAlign w:val="superscript"/>
                <w:lang w:eastAsia="en-AU"/>
              </w:rPr>
              <w:t>(</w:t>
            </w:r>
            <w:hyperlink r:id="rId23"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3AE4">
                <w:rPr>
                  <w:rFonts w:ascii="Arial" w:eastAsia="Times New Roman" w:hAnsi="Arial" w:cs="Arial"/>
                  <w:color w:val="0000FF"/>
                  <w:sz w:val="20"/>
                  <w:szCs w:val="20"/>
                  <w:vertAlign w:val="superscript"/>
                  <w:lang w:eastAsia="en-AU"/>
                </w:rPr>
                <w:t>57</w:t>
              </w:r>
            </w:hyperlink>
            <w:r w:rsidRPr="005E3AE4">
              <w:rPr>
                <w:rFonts w:ascii="Arial" w:eastAsia="Times New Roman" w:hAnsi="Arial" w:cs="Arial"/>
                <w:color w:val="000000"/>
                <w:sz w:val="20"/>
                <w:szCs w:val="20"/>
                <w:vertAlign w:val="superscript"/>
                <w:lang w:eastAsia="en-AU"/>
              </w:rPr>
              <w:t>)</w:t>
            </w:r>
            <w:r w:rsidRPr="005E3AE4">
              <w:rPr>
                <w:rFonts w:ascii="Arial" w:eastAsia="Times New Roman" w:hAnsi="Arial" w:cs="Arial"/>
                <w:color w:val="000000"/>
                <w:sz w:val="20"/>
                <w:szCs w:val="20"/>
                <w:lang w:eastAsia="en-AU"/>
              </w:rPr>
              <w:t xml:space="preserve"> and private allotment through the use of private gates and limited retaining features along park</w:t>
            </w:r>
            <w:r w:rsidRPr="005E3AE4">
              <w:rPr>
                <w:rFonts w:ascii="Arial" w:eastAsia="Times New Roman" w:hAnsi="Arial" w:cs="Arial"/>
                <w:color w:val="000000"/>
                <w:sz w:val="20"/>
                <w:szCs w:val="20"/>
                <w:vertAlign w:val="superscript"/>
                <w:lang w:eastAsia="en-AU"/>
              </w:rPr>
              <w:t>(</w:t>
            </w:r>
            <w:hyperlink r:id="rId24"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3AE4">
                <w:rPr>
                  <w:rFonts w:ascii="Arial" w:eastAsia="Times New Roman" w:hAnsi="Arial" w:cs="Arial"/>
                  <w:color w:val="0000FF"/>
                  <w:sz w:val="20"/>
                  <w:szCs w:val="20"/>
                  <w:vertAlign w:val="superscript"/>
                  <w:lang w:eastAsia="en-AU"/>
                </w:rPr>
                <w:t>57</w:t>
              </w:r>
            </w:hyperlink>
            <w:r w:rsidRPr="005E3AE4">
              <w:rPr>
                <w:rFonts w:ascii="Arial" w:eastAsia="Times New Roman" w:hAnsi="Arial" w:cs="Arial"/>
                <w:color w:val="000000"/>
                <w:sz w:val="20"/>
                <w:szCs w:val="20"/>
                <w:vertAlign w:val="superscript"/>
                <w:lang w:eastAsia="en-AU"/>
              </w:rPr>
              <w:t>)</w:t>
            </w:r>
            <w:r w:rsidRPr="005E3AE4">
              <w:rPr>
                <w:rFonts w:ascii="Arial" w:eastAsia="Times New Roman" w:hAnsi="Arial" w:cs="Arial"/>
                <w:color w:val="000000"/>
                <w:sz w:val="20"/>
                <w:szCs w:val="20"/>
                <w:lang w:eastAsia="en-AU"/>
              </w:rPr>
              <w:t xml:space="preserve"> boundaries. </w:t>
            </w: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b/>
                <w:bCs/>
                <w:color w:val="000000"/>
                <w:sz w:val="20"/>
                <w:szCs w:val="20"/>
                <w:lang w:eastAsia="en-AU"/>
              </w:rPr>
              <w:lastRenderedPageBreak/>
              <w:t>E28</w:t>
            </w:r>
          </w:p>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lastRenderedPageBreak/>
              <w:t>Development is in accordance with a Neighbourhood development plan.</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1074BA" w:rsidRPr="005E3AE4" w:rsidTr="0011683F">
        <w:trPr>
          <w:tblCellSpacing w:w="15" w:type="dxa"/>
        </w:trPr>
        <w:tc>
          <w:tcPr>
            <w:tcW w:w="3331" w:type="pct"/>
            <w:gridSpan w:val="2"/>
            <w:shd w:val="clear" w:color="auto" w:fill="CCCCCC"/>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b/>
                <w:bCs/>
                <w:color w:val="000000"/>
                <w:sz w:val="20"/>
                <w:szCs w:val="20"/>
                <w:lang w:eastAsia="en-AU"/>
              </w:rPr>
              <w:t>Clearing of native vegetation</w:t>
            </w:r>
          </w:p>
        </w:tc>
        <w:tc>
          <w:tcPr>
            <w:tcW w:w="58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4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11683F" w:rsidRPr="005E3AE4" w:rsidTr="00366E9F">
        <w:trPr>
          <w:trHeight w:val="2246"/>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b/>
                <w:bCs/>
                <w:color w:val="000000"/>
                <w:sz w:val="20"/>
                <w:szCs w:val="20"/>
                <w:lang w:eastAsia="en-AU"/>
              </w:rPr>
              <w:t>PO29</w:t>
            </w:r>
          </w:p>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Reconfiguring a lot facilitates the retention of native vegetation by:</w:t>
            </w:r>
          </w:p>
          <w:p w:rsidR="001074BA" w:rsidRPr="005E3AE4" w:rsidRDefault="001074BA" w:rsidP="005E3AE4">
            <w:pPr>
              <w:numPr>
                <w:ilvl w:val="0"/>
                <w:numId w:val="13"/>
              </w:numPr>
              <w:spacing w:before="100" w:beforeAutospacing="1" w:after="100" w:afterAutospacing="1" w:line="240" w:lineRule="auto"/>
              <w:ind w:left="4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 xml:space="preserve">incorporating native vegetation and habitat trees into the overall subdivision design, development layout, on-street amenity and landscaping where practicable; </w:t>
            </w:r>
          </w:p>
          <w:p w:rsidR="001074BA" w:rsidRPr="005E3AE4" w:rsidRDefault="001074BA" w:rsidP="005E3AE4">
            <w:pPr>
              <w:numPr>
                <w:ilvl w:val="0"/>
                <w:numId w:val="13"/>
              </w:numPr>
              <w:spacing w:before="100" w:beforeAutospacing="1" w:after="100" w:afterAutospacing="1" w:line="240" w:lineRule="auto"/>
              <w:ind w:left="4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 xml:space="preserve">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1074BA" w:rsidRPr="005E3AE4" w:rsidRDefault="001074BA" w:rsidP="005E3AE4">
            <w:pPr>
              <w:numPr>
                <w:ilvl w:val="0"/>
                <w:numId w:val="13"/>
              </w:numPr>
              <w:spacing w:before="100" w:beforeAutospacing="1" w:after="100" w:afterAutospacing="1" w:line="240" w:lineRule="auto"/>
              <w:ind w:left="4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providing safe, unimpeded, convenient and ongoing wildlife movement;</w:t>
            </w:r>
          </w:p>
          <w:p w:rsidR="001074BA" w:rsidRPr="005E3AE4" w:rsidRDefault="001074BA" w:rsidP="005E3AE4">
            <w:pPr>
              <w:numPr>
                <w:ilvl w:val="0"/>
                <w:numId w:val="13"/>
              </w:numPr>
              <w:spacing w:before="100" w:beforeAutospacing="1" w:after="100" w:afterAutospacing="1" w:line="240" w:lineRule="auto"/>
              <w:ind w:left="4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avoiding creating fragmented and isolated patches of native vegetation.</w:t>
            </w:r>
          </w:p>
          <w:p w:rsidR="001074BA" w:rsidRPr="005E3AE4" w:rsidRDefault="001074BA" w:rsidP="005E3AE4">
            <w:pPr>
              <w:numPr>
                <w:ilvl w:val="0"/>
                <w:numId w:val="13"/>
              </w:numPr>
              <w:spacing w:before="100" w:beforeAutospacing="1" w:after="100" w:afterAutospacing="1" w:line="240" w:lineRule="auto"/>
              <w:ind w:left="4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lastRenderedPageBreak/>
              <w:t>ensuring that biodiversity quality and integrity of habitats is not adversely impacted upon but are maintained and protected;</w:t>
            </w:r>
          </w:p>
          <w:p w:rsidR="001074BA" w:rsidRPr="005E3AE4" w:rsidRDefault="001074BA" w:rsidP="005E3AE4">
            <w:pPr>
              <w:numPr>
                <w:ilvl w:val="0"/>
                <w:numId w:val="13"/>
              </w:numPr>
              <w:spacing w:before="100" w:beforeAutospacing="1" w:after="100" w:afterAutospacing="1" w:line="240" w:lineRule="auto"/>
              <w:ind w:left="4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ensuring that soil erosion and land degradation does not occur;</w:t>
            </w:r>
          </w:p>
          <w:p w:rsidR="001074BA" w:rsidRPr="005E3AE4" w:rsidRDefault="001074BA" w:rsidP="005E3AE4">
            <w:pPr>
              <w:numPr>
                <w:ilvl w:val="0"/>
                <w:numId w:val="13"/>
              </w:numPr>
              <w:spacing w:before="100" w:beforeAutospacing="1" w:after="100" w:afterAutospacing="1" w:line="240" w:lineRule="auto"/>
              <w:ind w:left="4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ensuring that quality of surface water is not adversely impacted upon by providing effective vegetated buffers to water bodies. </w:t>
            </w: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lastRenderedPageBreak/>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b/>
                <w:bCs/>
                <w:color w:val="000000"/>
                <w:sz w:val="20"/>
                <w:szCs w:val="20"/>
                <w:lang w:eastAsia="en-AU"/>
              </w:rPr>
              <w:t>PO30</w:t>
            </w:r>
          </w:p>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 xml:space="preserve">Compensatory planting </w:t>
            </w:r>
            <w:proofErr w:type="gramStart"/>
            <w:r w:rsidRPr="005E3AE4">
              <w:rPr>
                <w:rFonts w:ascii="Arial" w:eastAsia="Times New Roman" w:hAnsi="Arial" w:cs="Arial"/>
                <w:color w:val="000000"/>
                <w:sz w:val="20"/>
                <w:szCs w:val="20"/>
                <w:lang w:eastAsia="en-AU"/>
              </w:rPr>
              <w:t>is located in</w:t>
            </w:r>
            <w:proofErr w:type="gramEnd"/>
            <w:r w:rsidRPr="005E3AE4">
              <w:rPr>
                <w:rFonts w:ascii="Arial" w:eastAsia="Times New Roman" w:hAnsi="Arial" w:cs="Arial"/>
                <w:color w:val="000000"/>
                <w:sz w:val="20"/>
                <w:szCs w:val="20"/>
                <w:lang w:eastAsia="en-AU"/>
              </w:rPr>
              <w:t xml:space="preserve"> the Caboolture West local plan - Green network precinct.</w:t>
            </w:r>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No example provided.</w:t>
            </w: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1074BA" w:rsidRPr="005E3AE4" w:rsidTr="0011683F">
        <w:trPr>
          <w:tblCellSpacing w:w="15" w:type="dxa"/>
        </w:trPr>
        <w:tc>
          <w:tcPr>
            <w:tcW w:w="3331" w:type="pct"/>
            <w:gridSpan w:val="2"/>
            <w:shd w:val="clear" w:color="auto" w:fill="CCCCCC"/>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b/>
                <w:bCs/>
                <w:color w:val="000000"/>
                <w:sz w:val="20"/>
                <w:szCs w:val="20"/>
                <w:lang w:eastAsia="en-AU"/>
              </w:rPr>
              <w:t>Noise</w:t>
            </w:r>
          </w:p>
        </w:tc>
        <w:tc>
          <w:tcPr>
            <w:tcW w:w="58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45" w:type="pct"/>
            <w:shd w:val="clear" w:color="auto" w:fill="CCCCCC"/>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11683F" w:rsidRPr="005E3AE4" w:rsidTr="0011683F">
        <w:trPr>
          <w:tblCellSpacing w:w="15" w:type="dxa"/>
        </w:trPr>
        <w:tc>
          <w:tcPr>
            <w:tcW w:w="1618"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b/>
                <w:bCs/>
                <w:color w:val="000000"/>
                <w:sz w:val="20"/>
                <w:szCs w:val="20"/>
                <w:lang w:eastAsia="en-AU"/>
              </w:rPr>
              <w:t>PO31</w:t>
            </w:r>
          </w:p>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Noise attenuation structure (e.g. walls, barriers or fences):</w:t>
            </w:r>
          </w:p>
          <w:p w:rsidR="001074BA" w:rsidRPr="005E3AE4" w:rsidRDefault="001074BA" w:rsidP="005E3AE4">
            <w:pPr>
              <w:numPr>
                <w:ilvl w:val="0"/>
                <w:numId w:val="14"/>
              </w:numPr>
              <w:spacing w:before="100" w:beforeAutospacing="1" w:after="100" w:afterAutospacing="1" w:line="240" w:lineRule="auto"/>
              <w:ind w:left="4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 xml:space="preserve">contribute to safe and usable public spaces, through maintaining high levels of surveillance of parks, streets and roads that serve active transport purposes (e.g. existing or future pedestrian paths or cycle lanes </w:t>
            </w:r>
            <w:proofErr w:type="spellStart"/>
            <w:r w:rsidRPr="005E3AE4">
              <w:rPr>
                <w:rFonts w:ascii="Arial" w:eastAsia="Times New Roman" w:hAnsi="Arial" w:cs="Arial"/>
                <w:color w:val="000000"/>
                <w:sz w:val="20"/>
                <w:szCs w:val="20"/>
                <w:lang w:eastAsia="en-AU"/>
              </w:rPr>
              <w:t>etc</w:t>
            </w:r>
            <w:proofErr w:type="spellEnd"/>
            <w:r w:rsidRPr="005E3AE4">
              <w:rPr>
                <w:rFonts w:ascii="Arial" w:eastAsia="Times New Roman" w:hAnsi="Arial" w:cs="Arial"/>
                <w:color w:val="000000"/>
                <w:sz w:val="20"/>
                <w:szCs w:val="20"/>
                <w:lang w:eastAsia="en-AU"/>
              </w:rPr>
              <w:t xml:space="preserve">); </w:t>
            </w:r>
          </w:p>
          <w:p w:rsidR="001074BA" w:rsidRPr="005E3AE4" w:rsidRDefault="001074BA" w:rsidP="005E3AE4">
            <w:pPr>
              <w:numPr>
                <w:ilvl w:val="0"/>
                <w:numId w:val="14"/>
              </w:numPr>
              <w:spacing w:before="100" w:beforeAutospacing="1" w:after="100" w:afterAutospacing="1" w:line="240" w:lineRule="auto"/>
              <w:ind w:left="4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maintain the amenity of the streetscape.</w:t>
            </w:r>
          </w:p>
          <w:tbl>
            <w:tblPr>
              <w:tblW w:w="47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1074BA" w:rsidRPr="005E3AE4" w:rsidTr="0011683F">
              <w:trPr>
                <w:tblCellSpacing w:w="15" w:type="dxa"/>
              </w:trPr>
              <w:tc>
                <w:tcPr>
                  <w:tcW w:w="4700" w:type="dxa"/>
                  <w:vAlign w:val="center"/>
                  <w:hideMark/>
                </w:tcPr>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366E9F" w:rsidRDefault="00366E9F"/>
          <w:tbl>
            <w:tblPr>
              <w:tblW w:w="47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1074BA" w:rsidRPr="005E3AE4" w:rsidTr="0011683F">
              <w:trPr>
                <w:tblCellSpacing w:w="15" w:type="dxa"/>
              </w:trPr>
              <w:tc>
                <w:tcPr>
                  <w:tcW w:w="4700" w:type="dxa"/>
                  <w:vAlign w:val="center"/>
                  <w:hideMark/>
                </w:tcPr>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r w:rsidRPr="005E3AE4">
                    <w:rPr>
                      <w:rFonts w:ascii="Arial" w:eastAsia="Times New Roman" w:hAnsi="Arial" w:cs="Arial"/>
                      <w:sz w:val="20"/>
                      <w:szCs w:val="20"/>
                      <w:lang w:eastAsia="en-AU"/>
                    </w:rPr>
                    <w:t>Note - Refer to Planning Scheme Policy – Integrated design for details and examples of noise attenuation structures.</w:t>
                  </w:r>
                </w:p>
              </w:tc>
            </w:tr>
          </w:tbl>
          <w:p w:rsidR="001074BA" w:rsidRPr="005E3AE4" w:rsidRDefault="001074BA" w:rsidP="005E3AE4">
            <w:pPr>
              <w:spacing w:before="100" w:beforeAutospacing="1" w:after="100" w:afterAutospacing="1" w:line="240" w:lineRule="auto"/>
              <w:rPr>
                <w:rFonts w:ascii="Arial" w:eastAsia="Times New Roman" w:hAnsi="Arial" w:cs="Arial"/>
                <w:color w:val="000000"/>
                <w:sz w:val="20"/>
                <w:szCs w:val="20"/>
                <w:lang w:eastAsia="en-AU"/>
              </w:rPr>
            </w:pPr>
            <w:bookmarkStart w:id="0" w:name="_GoBack"/>
            <w:bookmarkEnd w:id="0"/>
          </w:p>
        </w:tc>
        <w:tc>
          <w:tcPr>
            <w:tcW w:w="1703"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b/>
                <w:bCs/>
                <w:color w:val="000000"/>
                <w:sz w:val="20"/>
                <w:szCs w:val="20"/>
                <w:lang w:eastAsia="en-AU"/>
              </w:rPr>
              <w:t>E31</w:t>
            </w:r>
          </w:p>
          <w:p w:rsidR="001074BA" w:rsidRPr="005E3AE4" w:rsidRDefault="001074BA" w:rsidP="005E3AE4">
            <w:pPr>
              <w:spacing w:before="100" w:beforeAutospacing="1" w:after="100" w:afterAutospacing="1" w:line="240" w:lineRule="auto"/>
              <w:ind w:left="150" w:right="1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Noise attenuation structures (e.g. walls, barriers or fences):</w:t>
            </w:r>
          </w:p>
          <w:p w:rsidR="001074BA" w:rsidRPr="005E3AE4" w:rsidRDefault="001074BA" w:rsidP="005E3AE4">
            <w:pPr>
              <w:numPr>
                <w:ilvl w:val="0"/>
                <w:numId w:val="15"/>
              </w:numPr>
              <w:spacing w:before="100" w:beforeAutospacing="1" w:after="100" w:afterAutospacing="1" w:line="240" w:lineRule="auto"/>
              <w:ind w:left="4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are not visible from an adjoining road or public area unless;</w:t>
            </w:r>
          </w:p>
          <w:p w:rsidR="001074BA" w:rsidRPr="005E3AE4" w:rsidRDefault="001074BA" w:rsidP="001074BA">
            <w:pPr>
              <w:numPr>
                <w:ilvl w:val="0"/>
                <w:numId w:val="16"/>
              </w:numPr>
              <w:spacing w:before="100" w:beforeAutospacing="1" w:after="100" w:afterAutospacing="1" w:line="240" w:lineRule="auto"/>
              <w:ind w:left="594"/>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adjoining a motorway or rail line; or</w:t>
            </w:r>
          </w:p>
          <w:p w:rsidR="001074BA" w:rsidRPr="005E3AE4" w:rsidRDefault="001074BA" w:rsidP="001074BA">
            <w:pPr>
              <w:numPr>
                <w:ilvl w:val="0"/>
                <w:numId w:val="16"/>
              </w:numPr>
              <w:spacing w:before="100" w:beforeAutospacing="1" w:after="100" w:afterAutospacing="1" w:line="240" w:lineRule="auto"/>
              <w:ind w:left="594"/>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1074BA" w:rsidRPr="005E3AE4" w:rsidRDefault="001074BA" w:rsidP="005E3AE4">
            <w:pPr>
              <w:numPr>
                <w:ilvl w:val="0"/>
                <w:numId w:val="17"/>
              </w:numPr>
              <w:spacing w:before="100" w:beforeAutospacing="1" w:after="100" w:afterAutospacing="1" w:line="240" w:lineRule="auto"/>
              <w:ind w:left="4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do not remove existing or prevent future active transport routes or connections to the street network;</w:t>
            </w:r>
          </w:p>
          <w:p w:rsidR="001074BA" w:rsidRPr="005E3AE4" w:rsidRDefault="001074BA" w:rsidP="005E3AE4">
            <w:pPr>
              <w:numPr>
                <w:ilvl w:val="0"/>
                <w:numId w:val="17"/>
              </w:numPr>
              <w:spacing w:before="100" w:beforeAutospacing="1" w:after="100" w:afterAutospacing="1" w:line="240" w:lineRule="auto"/>
              <w:ind w:left="450"/>
              <w:rPr>
                <w:rFonts w:ascii="Arial" w:eastAsia="Times New Roman" w:hAnsi="Arial" w:cs="Arial"/>
                <w:color w:val="000000"/>
                <w:sz w:val="20"/>
                <w:szCs w:val="20"/>
                <w:lang w:eastAsia="en-AU"/>
              </w:rPr>
            </w:pPr>
            <w:r w:rsidRPr="005E3AE4">
              <w:rPr>
                <w:rFonts w:ascii="Arial" w:eastAsia="Times New Roman" w:hAnsi="Arial" w:cs="Arial"/>
                <w:color w:val="000000"/>
                <w:sz w:val="20"/>
                <w:szCs w:val="20"/>
                <w:lang w:eastAsia="en-AU"/>
              </w:rPr>
              <w:t>are located, constructed and landscaped in accordance with Planning scheme policy - Integrated design.</w:t>
            </w:r>
          </w:p>
          <w:tbl>
            <w:tblPr>
              <w:tblW w:w="509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1"/>
            </w:tblGrid>
            <w:tr w:rsidR="001074BA" w:rsidRPr="005E3AE4" w:rsidTr="0011683F">
              <w:trPr>
                <w:tblCellSpacing w:w="15" w:type="dxa"/>
              </w:trPr>
              <w:tc>
                <w:tcPr>
                  <w:tcW w:w="5031" w:type="dxa"/>
                  <w:vAlign w:val="center"/>
                  <w:hideMark/>
                </w:tcPr>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r w:rsidRPr="005E3AE4">
                    <w:rPr>
                      <w:rFonts w:ascii="Arial" w:eastAsia="Times New Roman" w:hAnsi="Arial" w:cs="Arial"/>
                      <w:sz w:val="20"/>
                      <w:szCs w:val="20"/>
                      <w:lang w:eastAsia="en-AU"/>
                    </w:rPr>
                    <w:t>Note - Refer to Planning Scheme Policy – Integrated design for details and examples of noise attenuation structures.</w:t>
                  </w:r>
                </w:p>
              </w:tc>
            </w:tr>
            <w:tr w:rsidR="001074BA" w:rsidRPr="005E3AE4" w:rsidTr="0011683F">
              <w:trPr>
                <w:tblCellSpacing w:w="15" w:type="dxa"/>
              </w:trPr>
              <w:tc>
                <w:tcPr>
                  <w:tcW w:w="5031" w:type="dxa"/>
                  <w:vAlign w:val="center"/>
                  <w:hideMark/>
                </w:tcPr>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r w:rsidRPr="005E3AE4">
                    <w:rPr>
                      <w:rFonts w:ascii="Arial" w:eastAsia="Times New Roman" w:hAnsi="Arial" w:cs="Arial"/>
                      <w:sz w:val="20"/>
                      <w:szCs w:val="20"/>
                      <w:lang w:eastAsia="en-AU"/>
                    </w:rPr>
                    <w:t>Note - Refer to Overlay map – Active transport for future active transport routes.</w:t>
                  </w:r>
                </w:p>
              </w:tc>
            </w:tr>
          </w:tbl>
          <w:p w:rsidR="001074BA" w:rsidRPr="005E3AE4" w:rsidRDefault="001074BA" w:rsidP="005E3AE4">
            <w:pPr>
              <w:spacing w:before="100" w:beforeAutospacing="1" w:after="100" w:afterAutospacing="1" w:line="240" w:lineRule="auto"/>
              <w:rPr>
                <w:rFonts w:ascii="Arial" w:eastAsia="Times New Roman" w:hAnsi="Arial" w:cs="Arial"/>
                <w:color w:val="000000"/>
                <w:sz w:val="20"/>
                <w:szCs w:val="20"/>
                <w:lang w:eastAsia="en-AU"/>
              </w:rPr>
            </w:pPr>
          </w:p>
        </w:tc>
        <w:tc>
          <w:tcPr>
            <w:tcW w:w="58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45"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bl>
    <w:p w:rsidR="00366E9F" w:rsidRDefault="00366E9F"/>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908"/>
        <w:gridCol w:w="5274"/>
        <w:gridCol w:w="1792"/>
        <w:gridCol w:w="3408"/>
      </w:tblGrid>
      <w:tr w:rsidR="0011683F" w:rsidRPr="005E3AE4" w:rsidTr="0011683F">
        <w:trPr>
          <w:trHeight w:val="1345"/>
          <w:tblCellSpacing w:w="15" w:type="dxa"/>
        </w:trPr>
        <w:tc>
          <w:tcPr>
            <w:tcW w:w="4980" w:type="pct"/>
            <w:gridSpan w:val="4"/>
            <w:shd w:val="clear" w:color="auto" w:fill="CCCCCC"/>
            <w:hideMark/>
          </w:tcPr>
          <w:p w:rsidR="0011683F" w:rsidRPr="005E3AE4" w:rsidRDefault="0011683F" w:rsidP="005E3AE4">
            <w:pPr>
              <w:spacing w:before="100" w:beforeAutospacing="1" w:after="100" w:afterAutospacing="1" w:line="240" w:lineRule="auto"/>
              <w:ind w:left="150" w:right="150"/>
              <w:jc w:val="center"/>
              <w:rPr>
                <w:rFonts w:ascii="Arial" w:eastAsia="Times New Roman" w:hAnsi="Arial" w:cs="Arial"/>
                <w:sz w:val="20"/>
                <w:szCs w:val="20"/>
                <w:lang w:eastAsia="en-AU"/>
              </w:rPr>
            </w:pPr>
            <w:r w:rsidRPr="005E3AE4">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11683F" w:rsidRPr="005E3AE4" w:rsidTr="001074BA">
              <w:trPr>
                <w:tblCellSpacing w:w="15" w:type="dxa"/>
              </w:trPr>
              <w:tc>
                <w:tcPr>
                  <w:tcW w:w="15106" w:type="dxa"/>
                  <w:shd w:val="clear" w:color="auto" w:fill="CCCCCC"/>
                  <w:vAlign w:val="center"/>
                  <w:hideMark/>
                </w:tcPr>
                <w:p w:rsidR="0011683F" w:rsidRPr="005E3AE4" w:rsidRDefault="0011683F"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11683F" w:rsidRPr="005E3AE4" w:rsidRDefault="0011683F"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4980" w:type="pct"/>
            <w:gridSpan w:val="4"/>
            <w:shd w:val="clear" w:color="auto" w:fill="CCCCCC"/>
            <w:hideMark/>
          </w:tcPr>
          <w:p w:rsidR="0011683F" w:rsidRPr="005E3AE4" w:rsidRDefault="0011683F"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6"/>
            </w:tblGrid>
            <w:tr w:rsidR="0011683F" w:rsidRPr="005E3AE4" w:rsidTr="001074BA">
              <w:trPr>
                <w:tblCellSpacing w:w="15" w:type="dxa"/>
              </w:trPr>
              <w:tc>
                <w:tcPr>
                  <w:tcW w:w="15106" w:type="dxa"/>
                  <w:shd w:val="clear" w:color="auto" w:fill="CCCCCC"/>
                  <w:vAlign w:val="center"/>
                  <w:hideMark/>
                </w:tcPr>
                <w:p w:rsidR="0011683F" w:rsidRPr="005E3AE4" w:rsidRDefault="0011683F"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11683F" w:rsidRPr="005E3AE4" w:rsidRDefault="0011683F"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366E9F">
        <w:trPr>
          <w:tblCellSpacing w:w="15" w:type="dxa"/>
        </w:trPr>
        <w:tc>
          <w:tcPr>
            <w:tcW w:w="1590"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PO32</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Lots are designed to:</w:t>
            </w:r>
          </w:p>
          <w:p w:rsidR="001074BA" w:rsidRPr="005E3AE4" w:rsidRDefault="001074BA" w:rsidP="005E3AE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minimise the risk from bushfire hazard to each lot and provide the safest possible siting for buildings and structures;</w:t>
            </w:r>
          </w:p>
          <w:p w:rsidR="001074BA" w:rsidRPr="005E3AE4" w:rsidRDefault="001074BA" w:rsidP="005E3AE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limit the possible spread paths of bushfire within the reconfiguring;</w:t>
            </w:r>
          </w:p>
          <w:p w:rsidR="001074BA" w:rsidRPr="005E3AE4" w:rsidRDefault="001074BA" w:rsidP="005E3AE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1074BA" w:rsidRPr="005E3AE4" w:rsidRDefault="001074BA" w:rsidP="005E3AE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maintain the required level of functionality for emergency services and uses during and immediately after a natural hazard event. </w:t>
            </w:r>
          </w:p>
        </w:tc>
        <w:tc>
          <w:tcPr>
            <w:tcW w:w="1705"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E32</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Reconfiguring a lot ensures that all new lots are of an appropriate size, shape and layout to allow for the siting of future buildings being located: </w:t>
            </w:r>
          </w:p>
          <w:p w:rsidR="001074BA" w:rsidRPr="005E3AE4" w:rsidRDefault="001074BA" w:rsidP="005E3AE4">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within an appropriate development footprint;</w:t>
            </w:r>
          </w:p>
          <w:p w:rsidR="001074BA" w:rsidRPr="005E3AE4" w:rsidRDefault="001074BA" w:rsidP="005E3AE4">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within the lowest hazard locations on a lot;</w:t>
            </w:r>
          </w:p>
          <w:p w:rsidR="001074BA" w:rsidRPr="005E3AE4" w:rsidRDefault="001074BA" w:rsidP="005E3AE4">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to achieve minimum separation from any source of bushfire hazard of 20m or the distance required to achieve a Bushfire Attack Level (BAL) of more than 29 (as identified under AS3959-2009), whichever is the greater; </w:t>
            </w:r>
          </w:p>
          <w:p w:rsidR="001074BA" w:rsidRPr="005E3AE4" w:rsidRDefault="001074BA" w:rsidP="005E3AE4">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to achieve a minimum separation from any retained vegetation strips or small areas of vegetation of 10m or the distance required to achieve a Bushfire Attack Level (BAL) of more than 29 (as identified under AS3959-2009), whichever is the greater; </w:t>
            </w:r>
          </w:p>
          <w:p w:rsidR="001074BA" w:rsidRPr="005E3AE4" w:rsidRDefault="001074BA" w:rsidP="005E3AE4">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away from ridgelines and hilltops;</w:t>
            </w:r>
          </w:p>
          <w:p w:rsidR="001074BA" w:rsidRPr="005E3AE4" w:rsidRDefault="001074BA" w:rsidP="005E3AE4">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on land with a slope of less than 15%;</w:t>
            </w:r>
          </w:p>
          <w:p w:rsidR="001074BA" w:rsidRPr="005E3AE4" w:rsidRDefault="001074BA" w:rsidP="005E3AE4">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away from north to west facing slopes.</w:t>
            </w: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366E9F">
        <w:trPr>
          <w:tblCellSpacing w:w="15" w:type="dxa"/>
        </w:trPr>
        <w:tc>
          <w:tcPr>
            <w:tcW w:w="1590"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PO33</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Lots provide adequate water supply and infrastructure to support fire-fighting.</w:t>
            </w:r>
          </w:p>
        </w:tc>
        <w:tc>
          <w:tcPr>
            <w:tcW w:w="1705"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E33</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For water supply purposes, reconfiguring a lot ensures that:</w:t>
            </w:r>
          </w:p>
          <w:p w:rsidR="001074BA" w:rsidRPr="005E3AE4" w:rsidRDefault="001074BA" w:rsidP="005E3AE4">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lots have access to a reticulated water supply provided by a distributer-retailer for the area; or</w:t>
            </w:r>
          </w:p>
          <w:p w:rsidR="001074BA" w:rsidRPr="005E3AE4" w:rsidRDefault="001074BA" w:rsidP="005E3AE4">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lastRenderedPageBreak/>
              <w:t xml:space="preserve">where no reticulated water supply is available, on-site </w:t>
            </w:r>
            <w:proofErr w:type="spellStart"/>
            <w:r w:rsidRPr="005E3AE4">
              <w:rPr>
                <w:rFonts w:ascii="Arial" w:eastAsia="Times New Roman" w:hAnsi="Arial" w:cs="Arial"/>
                <w:sz w:val="20"/>
                <w:szCs w:val="20"/>
                <w:lang w:eastAsia="en-AU"/>
              </w:rPr>
              <w:t>fire fighting</w:t>
            </w:r>
            <w:proofErr w:type="spellEnd"/>
            <w:r w:rsidRPr="005E3AE4">
              <w:rPr>
                <w:rFonts w:ascii="Arial" w:eastAsia="Times New Roman" w:hAnsi="Arial" w:cs="Arial"/>
                <w:sz w:val="20"/>
                <w:szCs w:val="20"/>
                <w:lang w:eastAsia="en-AU"/>
              </w:rPr>
              <w:t xml:space="preserve"> water storage containing not less than 10,000 litres and located within a development footprint. </w:t>
            </w: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366E9F">
        <w:trPr>
          <w:tblCellSpacing w:w="15" w:type="dxa"/>
        </w:trPr>
        <w:tc>
          <w:tcPr>
            <w:tcW w:w="1590"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PO34</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Lots are designed </w:t>
            </w:r>
            <w:proofErr w:type="gramStart"/>
            <w:r w:rsidRPr="005E3AE4">
              <w:rPr>
                <w:rFonts w:ascii="Arial" w:eastAsia="Times New Roman" w:hAnsi="Arial" w:cs="Arial"/>
                <w:sz w:val="20"/>
                <w:szCs w:val="20"/>
                <w:lang w:eastAsia="en-AU"/>
              </w:rPr>
              <w:t>to :</w:t>
            </w:r>
            <w:proofErr w:type="gramEnd"/>
          </w:p>
          <w:p w:rsidR="001074BA" w:rsidRPr="005E3AE4" w:rsidRDefault="001074BA" w:rsidP="005E3AE4">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promote safe site access by avoiding potential entrapment situations;</w:t>
            </w:r>
          </w:p>
          <w:p w:rsidR="001074BA" w:rsidRPr="005E3AE4" w:rsidRDefault="001074BA" w:rsidP="005E3AE4">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promote accessibility and manoeuvring for </w:t>
            </w:r>
            <w:proofErr w:type="spellStart"/>
            <w:r w:rsidRPr="005E3AE4">
              <w:rPr>
                <w:rFonts w:ascii="Arial" w:eastAsia="Times New Roman" w:hAnsi="Arial" w:cs="Arial"/>
                <w:sz w:val="20"/>
                <w:szCs w:val="20"/>
                <w:lang w:eastAsia="en-AU"/>
              </w:rPr>
              <w:t>fire fighting</w:t>
            </w:r>
            <w:proofErr w:type="spellEnd"/>
            <w:r w:rsidRPr="005E3AE4">
              <w:rPr>
                <w:rFonts w:ascii="Arial" w:eastAsia="Times New Roman" w:hAnsi="Arial" w:cs="Arial"/>
                <w:sz w:val="20"/>
                <w:szCs w:val="20"/>
                <w:lang w:eastAsia="en-AU"/>
              </w:rPr>
              <w:t xml:space="preserve"> during bushfire.</w:t>
            </w:r>
          </w:p>
        </w:tc>
        <w:tc>
          <w:tcPr>
            <w:tcW w:w="1705"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E34</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Reconfiguring a lot ensures a new lot is provided with:</w:t>
            </w:r>
          </w:p>
          <w:p w:rsidR="001074BA" w:rsidRPr="005E3AE4" w:rsidRDefault="001074BA" w:rsidP="005E3AE4">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direct road access and egress to public roads;</w:t>
            </w:r>
          </w:p>
          <w:p w:rsidR="001074BA" w:rsidRPr="005E3AE4" w:rsidRDefault="001074BA" w:rsidP="005E3AE4">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an alternative access where the private driveway is longer than 100m to reach a public road;</w:t>
            </w:r>
          </w:p>
          <w:p w:rsidR="001074BA" w:rsidRPr="005E3AE4" w:rsidRDefault="001074BA" w:rsidP="005E3AE4">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driveway access to a public road that has a gradient no greater than 12.5%;</w:t>
            </w:r>
          </w:p>
          <w:p w:rsidR="001074BA" w:rsidRPr="005E3AE4" w:rsidRDefault="001074BA" w:rsidP="005E3AE4">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minimum width of 3.5m.</w:t>
            </w: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366E9F">
        <w:trPr>
          <w:tblCellSpacing w:w="15" w:type="dxa"/>
        </w:trPr>
        <w:tc>
          <w:tcPr>
            <w:tcW w:w="1590"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PO35</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Lots ensure the road layout and design supports:</w:t>
            </w:r>
          </w:p>
          <w:p w:rsidR="001074BA" w:rsidRPr="005E3AE4" w:rsidRDefault="001074BA" w:rsidP="005E3AE4">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safe and efficient emergency services access to sites; and manoeuvring within the subdivision;</w:t>
            </w:r>
          </w:p>
          <w:p w:rsidR="001074BA" w:rsidRPr="005E3AE4" w:rsidRDefault="001074BA" w:rsidP="005E3AE4">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availability and maintenance of access routes </w:t>
            </w:r>
            <w:proofErr w:type="gramStart"/>
            <w:r w:rsidRPr="005E3AE4">
              <w:rPr>
                <w:rFonts w:ascii="Arial" w:eastAsia="Times New Roman" w:hAnsi="Arial" w:cs="Arial"/>
                <w:sz w:val="20"/>
                <w:szCs w:val="20"/>
                <w:lang w:eastAsia="en-AU"/>
              </w:rPr>
              <w:t>for the purpose of</w:t>
            </w:r>
            <w:proofErr w:type="gramEnd"/>
            <w:r w:rsidRPr="005E3AE4">
              <w:rPr>
                <w:rFonts w:ascii="Arial" w:eastAsia="Times New Roman" w:hAnsi="Arial" w:cs="Arial"/>
                <w:sz w:val="20"/>
                <w:szCs w:val="20"/>
                <w:lang w:eastAsia="en-AU"/>
              </w:rPr>
              <w:t xml:space="preserve"> safe evacuation.</w:t>
            </w:r>
          </w:p>
        </w:tc>
        <w:tc>
          <w:tcPr>
            <w:tcW w:w="1705"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E35</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Reconfiguring a lot provides a road layout which:</w:t>
            </w:r>
          </w:p>
          <w:p w:rsidR="001074BA" w:rsidRPr="005E3AE4" w:rsidRDefault="001074BA" w:rsidP="005E3AE4">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includes a perimeter road that separating the new lots from hazardous vegetation on adjacent lots incorporating by:</w:t>
            </w:r>
          </w:p>
          <w:p w:rsidR="001074BA" w:rsidRPr="005E3AE4" w:rsidRDefault="001074BA" w:rsidP="005E3AE4">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a cleared width of 20m;</w:t>
            </w:r>
          </w:p>
          <w:p w:rsidR="001074BA" w:rsidRPr="005E3AE4" w:rsidRDefault="001074BA" w:rsidP="005E3AE4">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road gradients not exceeding 12.5%;</w:t>
            </w:r>
          </w:p>
          <w:p w:rsidR="001074BA" w:rsidRPr="005E3AE4" w:rsidRDefault="001074BA" w:rsidP="005E3AE4">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pavement and surface treatment capable of being used by emergency vehicles;</w:t>
            </w:r>
          </w:p>
          <w:p w:rsidR="001074BA" w:rsidRPr="005E3AE4" w:rsidRDefault="001074BA" w:rsidP="005E3AE4">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Turning areas for </w:t>
            </w:r>
            <w:proofErr w:type="spellStart"/>
            <w:r w:rsidRPr="005E3AE4">
              <w:rPr>
                <w:rFonts w:ascii="Arial" w:eastAsia="Times New Roman" w:hAnsi="Arial" w:cs="Arial"/>
                <w:sz w:val="20"/>
                <w:szCs w:val="20"/>
                <w:lang w:eastAsia="en-AU"/>
              </w:rPr>
              <w:t>fire fighting</w:t>
            </w:r>
            <w:proofErr w:type="spellEnd"/>
            <w:r w:rsidRPr="005E3AE4">
              <w:rPr>
                <w:rFonts w:ascii="Arial" w:eastAsia="Times New Roman" w:hAnsi="Arial" w:cs="Arial"/>
                <w:sz w:val="20"/>
                <w:szCs w:val="20"/>
                <w:lang w:eastAsia="en-AU"/>
              </w:rPr>
              <w:t xml:space="preserve"> appliances in accordance with Qld Fire and Emergency Services' Fire Hydrant and Vehicle Access Guidelines. </w:t>
            </w:r>
          </w:p>
          <w:p w:rsidR="001074BA" w:rsidRPr="005E3AE4" w:rsidRDefault="001074BA" w:rsidP="005E3AE4">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1074BA" w:rsidRPr="005E3AE4" w:rsidRDefault="001074BA" w:rsidP="005E3AE4">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a minimum cleared width of 6m and minimum formed width of 4m;</w:t>
            </w:r>
          </w:p>
          <w:p w:rsidR="001074BA" w:rsidRPr="005E3AE4" w:rsidRDefault="001074BA" w:rsidP="005E3AE4">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gradient not exceeding 12.5%;</w:t>
            </w:r>
          </w:p>
          <w:p w:rsidR="001074BA" w:rsidRPr="005E3AE4" w:rsidRDefault="001074BA" w:rsidP="005E3AE4">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cross slope not exceeding 10%;</w:t>
            </w:r>
          </w:p>
          <w:p w:rsidR="001074BA" w:rsidRPr="005E3AE4" w:rsidRDefault="001074BA" w:rsidP="005E3AE4">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lastRenderedPageBreak/>
              <w:t>a formed width and erosion control devices to the standards specified in Planning scheme policy - Integrated design;</w:t>
            </w:r>
          </w:p>
          <w:p w:rsidR="001074BA" w:rsidRPr="005E3AE4" w:rsidRDefault="001074BA" w:rsidP="005E3AE4">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a turning circle or turnaround area at the end of the trail to allow fire fighting vehicles to manoeuvre;</w:t>
            </w:r>
          </w:p>
          <w:p w:rsidR="001074BA" w:rsidRPr="005E3AE4" w:rsidRDefault="001074BA" w:rsidP="005E3AE4">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passing bays and turning/reversing bays every 200m;</w:t>
            </w:r>
          </w:p>
          <w:p w:rsidR="001074BA" w:rsidRPr="005E3AE4" w:rsidRDefault="001074BA" w:rsidP="005E3AE4">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 an access easement that is granted in favour of the Council and the Queensland Fire and Rescue Service or located on public land. </w:t>
            </w:r>
          </w:p>
          <w:p w:rsidR="001074BA" w:rsidRPr="005E3AE4" w:rsidRDefault="001074BA" w:rsidP="005E3AE4">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1074BA" w:rsidRPr="005E3AE4" w:rsidRDefault="001074BA" w:rsidP="005E3AE4">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excludes dead-end roads.</w:t>
            </w: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11683F">
        <w:trPr>
          <w:tblCellSpacing w:w="15" w:type="dxa"/>
        </w:trPr>
        <w:tc>
          <w:tcPr>
            <w:tcW w:w="4980" w:type="pct"/>
            <w:gridSpan w:val="4"/>
            <w:shd w:val="clear" w:color="auto" w:fill="CCCCCC"/>
            <w:hideMark/>
          </w:tcPr>
          <w:p w:rsidR="0011683F" w:rsidRPr="005E3AE4" w:rsidRDefault="0011683F"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High voltage electricity line buffer</w:t>
            </w:r>
            <w:r w:rsidRPr="005E3AE4">
              <w:rPr>
                <w:rFonts w:ascii="Arial" w:eastAsia="Times New Roman" w:hAnsi="Arial" w:cs="Arial"/>
                <w:sz w:val="20"/>
                <w:szCs w:val="20"/>
                <w:lang w:eastAsia="en-AU"/>
              </w:rPr>
              <w:t xml:space="preserve"> </w:t>
            </w:r>
            <w:r w:rsidRPr="005E3AE4">
              <w:rPr>
                <w:rFonts w:ascii="Arial" w:eastAsia="Times New Roman" w:hAnsi="Arial" w:cs="Arial"/>
                <w:b/>
                <w:bCs/>
                <w:sz w:val="20"/>
                <w:szCs w:val="20"/>
                <w:lang w:eastAsia="en-AU"/>
              </w:rPr>
              <w:t>(refer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11683F" w:rsidRPr="005E3AE4" w:rsidTr="001074BA">
              <w:trPr>
                <w:tblCellSpacing w:w="15" w:type="dxa"/>
              </w:trPr>
              <w:tc>
                <w:tcPr>
                  <w:tcW w:w="11810" w:type="dxa"/>
                  <w:vAlign w:val="center"/>
                  <w:hideMark/>
                </w:tcPr>
                <w:p w:rsidR="0011683F" w:rsidRPr="005E3AE4" w:rsidRDefault="0011683F"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11683F" w:rsidRPr="005E3AE4" w:rsidRDefault="0011683F"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366E9F">
        <w:trPr>
          <w:trHeight w:val="390"/>
          <w:tblCellSpacing w:w="15" w:type="dxa"/>
        </w:trPr>
        <w:tc>
          <w:tcPr>
            <w:tcW w:w="1590"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PO36</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Lots provide a development footprint outside of the buffer.</w:t>
            </w:r>
          </w:p>
        </w:tc>
        <w:tc>
          <w:tcPr>
            <w:tcW w:w="1705"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example provided.</w:t>
            </w: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E3AE4" w:rsidTr="00366E9F">
        <w:trPr>
          <w:tblCellSpacing w:w="15" w:type="dxa"/>
        </w:trPr>
        <w:tc>
          <w:tcPr>
            <w:tcW w:w="1590"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PO37</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The creation of lots does not compromise or adversely impact upon the efficiency and integrity of supply.</w:t>
            </w:r>
          </w:p>
        </w:tc>
        <w:tc>
          <w:tcPr>
            <w:tcW w:w="1705"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E37</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new lots are created in the buffer area.</w:t>
            </w: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366E9F">
        <w:trPr>
          <w:tblCellSpacing w:w="15" w:type="dxa"/>
        </w:trPr>
        <w:tc>
          <w:tcPr>
            <w:tcW w:w="1590"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PO38</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The creation of new lots does not compromise or adversely impact upon access to the supply line for any required maintenance or upgrading work. </w:t>
            </w:r>
          </w:p>
        </w:tc>
        <w:tc>
          <w:tcPr>
            <w:tcW w:w="1705"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E38</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new lots are created in the buffer area.</w:t>
            </w: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366E9F">
        <w:trPr>
          <w:trHeight w:val="686"/>
          <w:tblCellSpacing w:w="15" w:type="dxa"/>
        </w:trPr>
        <w:tc>
          <w:tcPr>
            <w:tcW w:w="1590"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PO39</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Boundary realignments:</w:t>
            </w:r>
          </w:p>
          <w:p w:rsidR="001074BA" w:rsidRPr="005E3AE4" w:rsidRDefault="001074BA" w:rsidP="005E3AE4">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do not result in the creation of additional building development within the buffer;</w:t>
            </w:r>
          </w:p>
          <w:p w:rsidR="001074BA" w:rsidRPr="005E3AE4" w:rsidRDefault="001074BA" w:rsidP="005E3AE4">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lastRenderedPageBreak/>
              <w:t>result in the reduction of building development opportunities within the buffer.</w:t>
            </w:r>
          </w:p>
        </w:tc>
        <w:tc>
          <w:tcPr>
            <w:tcW w:w="1705"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lastRenderedPageBreak/>
              <w:t>No example provided.</w:t>
            </w: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E3AE4" w:rsidTr="0011683F">
        <w:trPr>
          <w:tblCellSpacing w:w="15" w:type="dxa"/>
        </w:trPr>
        <w:tc>
          <w:tcPr>
            <w:tcW w:w="4980" w:type="pct"/>
            <w:gridSpan w:val="4"/>
            <w:shd w:val="clear" w:color="auto" w:fill="CCCCCC"/>
            <w:vAlign w:val="center"/>
            <w:hideMark/>
          </w:tcPr>
          <w:p w:rsidR="0011683F" w:rsidRPr="005E3AE4" w:rsidRDefault="0011683F"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11683F" w:rsidRPr="005E3AE4" w:rsidTr="001074BA">
              <w:trPr>
                <w:tblCellSpacing w:w="15" w:type="dxa"/>
              </w:trPr>
              <w:tc>
                <w:tcPr>
                  <w:tcW w:w="15106" w:type="dxa"/>
                  <w:vAlign w:val="center"/>
                  <w:hideMark/>
                </w:tcPr>
                <w:p w:rsidR="0011683F" w:rsidRPr="005E3AE4" w:rsidRDefault="0011683F"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11683F" w:rsidRPr="005E3AE4" w:rsidRDefault="0011683F"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366E9F">
        <w:trPr>
          <w:tblCellSpacing w:w="15" w:type="dxa"/>
        </w:trPr>
        <w:tc>
          <w:tcPr>
            <w:tcW w:w="1590" w:type="pct"/>
            <w:vAlign w:val="cente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PO40</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Development:</w:t>
            </w:r>
          </w:p>
          <w:p w:rsidR="001074BA" w:rsidRPr="005E3AE4" w:rsidRDefault="001074BA" w:rsidP="005E3AE4">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minimises the risk to persons from overland flow;</w:t>
            </w:r>
          </w:p>
          <w:p w:rsidR="001074BA" w:rsidRPr="005E3AE4" w:rsidRDefault="001074BA" w:rsidP="005E3AE4">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does not increase the potential for damage from overland flow either on the premises or on a surrounding property, public land, road or infrastructure. </w:t>
            </w:r>
          </w:p>
        </w:tc>
        <w:tc>
          <w:tcPr>
            <w:tcW w:w="1705"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example provided.</w:t>
            </w: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E3AE4" w:rsidTr="00366E9F">
        <w:trPr>
          <w:tblCellSpacing w:w="15" w:type="dxa"/>
        </w:trPr>
        <w:tc>
          <w:tcPr>
            <w:tcW w:w="1590"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PO41</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Development:</w:t>
            </w:r>
          </w:p>
          <w:p w:rsidR="001074BA" w:rsidRPr="005E3AE4" w:rsidRDefault="001074BA" w:rsidP="005E3AE4">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1074BA" w:rsidRPr="005E3AE4" w:rsidRDefault="001074BA" w:rsidP="005E3AE4">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3"/>
            </w:tblGrid>
            <w:tr w:rsidR="001074BA" w:rsidRPr="005E3AE4" w:rsidTr="001074BA">
              <w:trPr>
                <w:tblCellSpacing w:w="15" w:type="dxa"/>
              </w:trPr>
              <w:tc>
                <w:tcPr>
                  <w:tcW w:w="10375" w:type="dxa"/>
                  <w:vAlign w:val="cente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Note - Reporting to be prepared in accordance with Planning scheme policy – Flood hazard, Co</w:t>
                  </w:r>
                  <w:r w:rsidR="00366E9F">
                    <w:rPr>
                      <w:rFonts w:ascii="Arial" w:eastAsia="Times New Roman" w:hAnsi="Arial" w:cs="Arial"/>
                      <w:sz w:val="20"/>
                      <w:szCs w:val="20"/>
                      <w:lang w:eastAsia="en-AU"/>
                    </w:rPr>
                    <w:t>astal hazard and Overland flow.</w:t>
                  </w:r>
                </w:p>
              </w:tc>
            </w:tr>
          </w:tbl>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05"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E41</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Development ensures that any buildings are not located in an Overland flow path area.</w:t>
            </w:r>
          </w:p>
          <w:tbl>
            <w:tblPr>
              <w:tblW w:w="508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5"/>
            </w:tblGrid>
            <w:tr w:rsidR="001074BA" w:rsidRPr="005E3AE4" w:rsidTr="0011683F">
              <w:trPr>
                <w:tblCellSpacing w:w="15" w:type="dxa"/>
              </w:trPr>
              <w:tc>
                <w:tcPr>
                  <w:tcW w:w="5025" w:type="dxa"/>
                  <w:vAlign w:val="center"/>
                  <w:hideMark/>
                </w:tcPr>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366E9F">
        <w:trPr>
          <w:tblCellSpacing w:w="15" w:type="dxa"/>
        </w:trPr>
        <w:tc>
          <w:tcPr>
            <w:tcW w:w="1590"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PO42</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Development does not:</w:t>
            </w:r>
          </w:p>
          <w:p w:rsidR="001074BA" w:rsidRPr="005E3AE4" w:rsidRDefault="001074BA" w:rsidP="005E3AE4">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directly, indirectly or cumulatively cause any increase in overland flow velocity or level;</w:t>
            </w:r>
          </w:p>
          <w:p w:rsidR="001074BA" w:rsidRPr="005E3AE4" w:rsidRDefault="001074BA" w:rsidP="005E3AE4">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lastRenderedPageBreak/>
              <w:t xml:space="preserve">increase the potential for flood damage from overland flow either on the premises or on a surrounding property, public land, road or infrastructure. </w:t>
            </w:r>
          </w:p>
          <w:tbl>
            <w:tblPr>
              <w:tblW w:w="47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1074BA" w:rsidRPr="005E3AE4" w:rsidTr="0011683F">
              <w:trPr>
                <w:tblCellSpacing w:w="15" w:type="dxa"/>
              </w:trPr>
              <w:tc>
                <w:tcPr>
                  <w:tcW w:w="4700" w:type="dxa"/>
                  <w:vAlign w:val="center"/>
                  <w:hideMark/>
                </w:tcPr>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366E9F" w:rsidRDefault="00366E9F"/>
          <w:tbl>
            <w:tblPr>
              <w:tblW w:w="47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1074BA" w:rsidRPr="005E3AE4" w:rsidTr="0011683F">
              <w:trPr>
                <w:tblCellSpacing w:w="15" w:type="dxa"/>
              </w:trPr>
              <w:tc>
                <w:tcPr>
                  <w:tcW w:w="4700" w:type="dxa"/>
                  <w:vAlign w:val="center"/>
                  <w:hideMark/>
                </w:tcPr>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1074BA" w:rsidRPr="005E3AE4" w:rsidRDefault="001074BA" w:rsidP="005E3AE4">
            <w:pPr>
              <w:spacing w:before="100" w:beforeAutospacing="1" w:after="100" w:afterAutospacing="1" w:line="240" w:lineRule="auto"/>
              <w:rPr>
                <w:rFonts w:ascii="Arial" w:eastAsia="Times New Roman" w:hAnsi="Arial" w:cs="Arial"/>
                <w:vanish/>
                <w:sz w:val="20"/>
                <w:szCs w:val="20"/>
                <w:lang w:eastAsia="en-AU"/>
              </w:rPr>
            </w:pPr>
          </w:p>
          <w:p w:rsidR="0011683F" w:rsidRDefault="0011683F"/>
          <w:tbl>
            <w:tblPr>
              <w:tblW w:w="4897"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33"/>
            </w:tblGrid>
            <w:tr w:rsidR="001074BA" w:rsidRPr="005E3AE4" w:rsidTr="0011683F">
              <w:trPr>
                <w:tblCellSpacing w:w="15" w:type="dxa"/>
              </w:trPr>
              <w:tc>
                <w:tcPr>
                  <w:tcW w:w="4937" w:type="pct"/>
                  <w:vAlign w:val="center"/>
                  <w:hideMark/>
                </w:tcPr>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r w:rsidRPr="005E3AE4">
                    <w:rPr>
                      <w:rFonts w:ascii="Arial" w:eastAsia="Times New Roman" w:hAnsi="Arial" w:cs="Arial"/>
                      <w:sz w:val="20"/>
                      <w:szCs w:val="20"/>
                      <w:lang w:eastAsia="en-AU"/>
                    </w:rPr>
                    <w:t>Note - Reporting to be prepared in accordance with Planning scheme policy – Flood hazard, Coastal hazard and Overland flow</w:t>
                  </w:r>
                </w:p>
              </w:tc>
            </w:tr>
          </w:tbl>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05"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lastRenderedPageBreak/>
              <w:t>No example provided.</w:t>
            </w: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E3AE4" w:rsidTr="00366E9F">
        <w:trPr>
          <w:tblCellSpacing w:w="15" w:type="dxa"/>
        </w:trPr>
        <w:tc>
          <w:tcPr>
            <w:tcW w:w="1590"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PO43</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705"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E43</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366E9F">
        <w:trPr>
          <w:tblCellSpacing w:w="15" w:type="dxa"/>
        </w:trPr>
        <w:tc>
          <w:tcPr>
            <w:tcW w:w="1590" w:type="pct"/>
            <w:vMerge w:val="restar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PO44</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5E3AE4">
              <w:rPr>
                <w:rFonts w:ascii="Arial" w:eastAsia="Times New Roman" w:hAnsi="Arial" w:cs="Arial"/>
                <w:sz w:val="20"/>
                <w:szCs w:val="20"/>
                <w:lang w:eastAsia="en-AU"/>
              </w:rPr>
              <w:t>are able to</w:t>
            </w:r>
            <w:proofErr w:type="gramEnd"/>
            <w:r w:rsidRPr="005E3AE4">
              <w:rPr>
                <w:rFonts w:ascii="Arial" w:eastAsia="Times New Roman" w:hAnsi="Arial" w:cs="Arial"/>
                <w:sz w:val="20"/>
                <w:szCs w:val="20"/>
                <w:lang w:eastAsia="en-AU"/>
              </w:rPr>
              <w:t xml:space="preserve"> be easily maintained. </w:t>
            </w:r>
          </w:p>
          <w:tbl>
            <w:tblPr>
              <w:tblW w:w="475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2"/>
            </w:tblGrid>
            <w:tr w:rsidR="001074BA" w:rsidRPr="005E3AE4" w:rsidTr="0011683F">
              <w:trPr>
                <w:tblCellSpacing w:w="15" w:type="dxa"/>
              </w:trPr>
              <w:tc>
                <w:tcPr>
                  <w:tcW w:w="4935" w:type="pct"/>
                  <w:vAlign w:val="center"/>
                  <w:hideMark/>
                </w:tcPr>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w:t>
                  </w:r>
                  <w:r w:rsidRPr="005E3AE4">
                    <w:rPr>
                      <w:rFonts w:ascii="Arial" w:eastAsia="Times New Roman" w:hAnsi="Arial" w:cs="Arial"/>
                      <w:sz w:val="20"/>
                      <w:szCs w:val="20"/>
                      <w:lang w:eastAsia="en-AU"/>
                    </w:rPr>
                    <w:lastRenderedPageBreak/>
                    <w:t xml:space="preserve">impacts on an upstream, downstream or surrounding premises. </w:t>
                  </w:r>
                </w:p>
              </w:tc>
            </w:tr>
            <w:tr w:rsidR="001074BA" w:rsidRPr="005E3AE4" w:rsidTr="0011683F">
              <w:trPr>
                <w:tblCellSpacing w:w="15" w:type="dxa"/>
              </w:trPr>
              <w:tc>
                <w:tcPr>
                  <w:tcW w:w="4935" w:type="pct"/>
                  <w:vAlign w:val="center"/>
                  <w:hideMark/>
                </w:tcPr>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r w:rsidRPr="005E3AE4">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05"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lastRenderedPageBreak/>
              <w:t>E44.1</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1074BA" w:rsidRPr="005E3AE4" w:rsidRDefault="001074BA" w:rsidP="005E3AE4">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Urban area – Level III;</w:t>
            </w:r>
          </w:p>
          <w:p w:rsidR="001074BA" w:rsidRPr="005E3AE4" w:rsidRDefault="001074BA" w:rsidP="005E3AE4">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Rural area – N/A;</w:t>
            </w:r>
          </w:p>
          <w:p w:rsidR="001074BA" w:rsidRPr="005E3AE4" w:rsidRDefault="001074BA" w:rsidP="005E3AE4">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Industrial area – Level V;</w:t>
            </w:r>
          </w:p>
          <w:p w:rsidR="001074BA" w:rsidRPr="005E3AE4" w:rsidRDefault="001074BA" w:rsidP="005E3AE4">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E3AE4">
              <w:rPr>
                <w:rFonts w:ascii="Arial" w:eastAsia="Times New Roman" w:hAnsi="Arial" w:cs="Arial"/>
                <w:sz w:val="20"/>
                <w:szCs w:val="20"/>
                <w:lang w:eastAsia="en-AU"/>
              </w:rPr>
              <w:t>Commercial area – Level V.</w:t>
            </w: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366E9F">
        <w:trPr>
          <w:tblCellSpacing w:w="15" w:type="dxa"/>
        </w:trPr>
        <w:tc>
          <w:tcPr>
            <w:tcW w:w="1590" w:type="pct"/>
            <w:vMerge/>
            <w:vAlign w:val="center"/>
            <w:hideMark/>
          </w:tcPr>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05" w:type="pct"/>
            <w:vAlign w:val="cente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E44.2</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lastRenderedPageBreak/>
              <w:t xml:space="preserve">Development ensures that all Council and allotment drainage infrastructure is designed to accommodate any event up to and including the 1% AEP for the fully developed upstream catchment. </w:t>
            </w: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366E9F">
        <w:trPr>
          <w:tblCellSpacing w:w="15" w:type="dxa"/>
        </w:trPr>
        <w:tc>
          <w:tcPr>
            <w:tcW w:w="1590"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PO45</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Development protects the conveyance of overland flow such that easements for drainage purposes are provided over:</w:t>
            </w:r>
          </w:p>
          <w:p w:rsidR="001074BA" w:rsidRPr="005E3AE4" w:rsidRDefault="001074BA" w:rsidP="005E3AE4">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a stormwater pipe if the nominal pipe diameter exceeds 300mm;</w:t>
            </w:r>
          </w:p>
          <w:p w:rsidR="001074BA" w:rsidRPr="005E3AE4" w:rsidRDefault="001074BA" w:rsidP="005E3AE4">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an overland flow path where it crosses more than one property; and</w:t>
            </w:r>
          </w:p>
          <w:p w:rsidR="001074BA" w:rsidRPr="005E3AE4" w:rsidRDefault="001074BA" w:rsidP="005E3AE4">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inter-allotment drainage infrastructure.</w:t>
            </w:r>
          </w:p>
          <w:tbl>
            <w:tblPr>
              <w:tblW w:w="47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1074BA" w:rsidRPr="005E3AE4" w:rsidTr="0011683F">
              <w:trPr>
                <w:tblCellSpacing w:w="15" w:type="dxa"/>
              </w:trPr>
              <w:tc>
                <w:tcPr>
                  <w:tcW w:w="4700" w:type="dxa"/>
                  <w:vAlign w:val="center"/>
                  <w:hideMark/>
                </w:tcPr>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r w:rsidRPr="005E3AE4">
                    <w:rPr>
                      <w:rFonts w:ascii="Arial" w:eastAsia="Times New Roman" w:hAnsi="Arial" w:cs="Arial"/>
                      <w:sz w:val="20"/>
                      <w:szCs w:val="20"/>
                      <w:lang w:eastAsia="en-AU"/>
                    </w:rPr>
                    <w:t>Note - Refer to Planning scheme policy - Integrated design for details and examples.</w:t>
                  </w:r>
                </w:p>
              </w:tc>
            </w:tr>
            <w:tr w:rsidR="001074BA" w:rsidRPr="005E3AE4" w:rsidTr="0011683F">
              <w:trPr>
                <w:tblCellSpacing w:w="15" w:type="dxa"/>
              </w:trPr>
              <w:tc>
                <w:tcPr>
                  <w:tcW w:w="4700" w:type="dxa"/>
                  <w:vAlign w:val="center"/>
                  <w:hideMark/>
                </w:tcPr>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r w:rsidRPr="005E3AE4">
                    <w:rPr>
                      <w:rFonts w:ascii="Arial" w:eastAsia="Times New Roman" w:hAnsi="Arial" w:cs="Arial"/>
                      <w:sz w:val="20"/>
                      <w:szCs w:val="20"/>
                      <w:lang w:eastAsia="en-AU"/>
                    </w:rPr>
                    <w:t>Note - Stormwater drainage easement dimensions are provided in accordance with Section 3.8.5 of QUDM.</w:t>
                  </w:r>
                </w:p>
              </w:tc>
            </w:tr>
          </w:tbl>
          <w:p w:rsidR="001074BA" w:rsidRPr="005E3AE4"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05"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No example provided</w:t>
            </w: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1074BA" w:rsidRPr="005E3AE4" w:rsidTr="00366E9F">
        <w:trPr>
          <w:tblCellSpacing w:w="15" w:type="dxa"/>
        </w:trPr>
        <w:tc>
          <w:tcPr>
            <w:tcW w:w="3304" w:type="pct"/>
            <w:gridSpan w:val="2"/>
            <w:vAlign w:val="center"/>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Additional criteria for development for a Park</w:t>
            </w:r>
            <w:r w:rsidRPr="005E3AE4">
              <w:rPr>
                <w:rFonts w:ascii="Arial" w:eastAsia="Times New Roman" w:hAnsi="Arial" w:cs="Arial"/>
                <w:b/>
                <w:bCs/>
                <w:sz w:val="20"/>
                <w:szCs w:val="20"/>
                <w:vertAlign w:val="superscript"/>
                <w:lang w:eastAsia="en-AU"/>
              </w:rPr>
              <w:t>(</w:t>
            </w:r>
            <w:hyperlink r:id="rId25"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3AE4">
                <w:rPr>
                  <w:rFonts w:ascii="Arial" w:eastAsia="Times New Roman" w:hAnsi="Arial" w:cs="Arial"/>
                  <w:color w:val="0000FF"/>
                  <w:sz w:val="20"/>
                  <w:szCs w:val="20"/>
                  <w:vertAlign w:val="superscript"/>
                  <w:lang w:eastAsia="en-AU"/>
                </w:rPr>
                <w:t>57</w:t>
              </w:r>
            </w:hyperlink>
            <w:r w:rsidRPr="005E3AE4">
              <w:rPr>
                <w:rFonts w:ascii="Arial" w:eastAsia="Times New Roman" w:hAnsi="Arial" w:cs="Arial"/>
                <w:b/>
                <w:bCs/>
                <w:sz w:val="20"/>
                <w:szCs w:val="20"/>
                <w:vertAlign w:val="superscript"/>
                <w:lang w:eastAsia="en-AU"/>
              </w:rPr>
              <w:t>)</w:t>
            </w: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E3AE4" w:rsidTr="00366E9F">
        <w:trPr>
          <w:tblCellSpacing w:w="15" w:type="dxa"/>
        </w:trPr>
        <w:tc>
          <w:tcPr>
            <w:tcW w:w="1590"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PO46</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Development for a Park</w:t>
            </w:r>
            <w:r w:rsidRPr="005E3AE4">
              <w:rPr>
                <w:rFonts w:ascii="Arial" w:eastAsia="Times New Roman" w:hAnsi="Arial" w:cs="Arial"/>
                <w:sz w:val="20"/>
                <w:szCs w:val="20"/>
                <w:vertAlign w:val="superscript"/>
                <w:lang w:eastAsia="en-AU"/>
              </w:rPr>
              <w:t>(</w:t>
            </w:r>
            <w:hyperlink r:id="rId26"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3AE4">
                <w:rPr>
                  <w:rFonts w:ascii="Arial" w:eastAsia="Times New Roman" w:hAnsi="Arial" w:cs="Arial"/>
                  <w:color w:val="0000FF"/>
                  <w:sz w:val="20"/>
                  <w:szCs w:val="20"/>
                  <w:vertAlign w:val="superscript"/>
                  <w:lang w:eastAsia="en-AU"/>
                </w:rPr>
                <w:t>57</w:t>
              </w:r>
            </w:hyperlink>
            <w:r w:rsidRPr="005E3AE4">
              <w:rPr>
                <w:rFonts w:ascii="Arial" w:eastAsia="Times New Roman" w:hAnsi="Arial" w:cs="Arial"/>
                <w:sz w:val="20"/>
                <w:szCs w:val="20"/>
                <w:vertAlign w:val="superscript"/>
                <w:lang w:eastAsia="en-AU"/>
              </w:rPr>
              <w:t>)</w:t>
            </w:r>
            <w:r w:rsidRPr="005E3AE4">
              <w:rPr>
                <w:rFonts w:ascii="Arial" w:eastAsia="Times New Roman" w:hAnsi="Arial" w:cs="Arial"/>
                <w:sz w:val="20"/>
                <w:szCs w:val="20"/>
                <w:lang w:eastAsia="en-AU"/>
              </w:rPr>
              <w:t xml:space="preserve"> ensures that the design and layout responds to the nature of the overland flow affecting the premises such that: </w:t>
            </w:r>
          </w:p>
          <w:p w:rsidR="001074BA" w:rsidRPr="005E3AE4" w:rsidRDefault="001074BA" w:rsidP="005E3AE4">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public benefit and enjoyment is maximised;</w:t>
            </w:r>
          </w:p>
          <w:p w:rsidR="001074BA" w:rsidRPr="005E3AE4" w:rsidRDefault="001074BA" w:rsidP="005E3AE4">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impacts on the asset life and integrity of park structures is minimised;</w:t>
            </w:r>
          </w:p>
          <w:p w:rsidR="001074BA" w:rsidRPr="005E3AE4" w:rsidRDefault="001074BA" w:rsidP="005E3AE4">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5E3AE4">
              <w:rPr>
                <w:rFonts w:ascii="Arial" w:eastAsia="Times New Roman" w:hAnsi="Arial" w:cs="Arial"/>
                <w:sz w:val="20"/>
                <w:szCs w:val="20"/>
                <w:lang w:eastAsia="en-AU"/>
              </w:rPr>
              <w:t>maintenance and replacement costs are minimised.</w:t>
            </w:r>
          </w:p>
        </w:tc>
        <w:tc>
          <w:tcPr>
            <w:tcW w:w="1705" w:type="pct"/>
            <w:hideMark/>
          </w:tcPr>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b/>
                <w:bCs/>
                <w:sz w:val="20"/>
                <w:szCs w:val="20"/>
                <w:lang w:eastAsia="en-AU"/>
              </w:rPr>
              <w:t>E46</w:t>
            </w:r>
          </w:p>
          <w:p w:rsidR="001074BA" w:rsidRPr="005E3AE4"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E3AE4">
              <w:rPr>
                <w:rFonts w:ascii="Arial" w:eastAsia="Times New Roman" w:hAnsi="Arial" w:cs="Arial"/>
                <w:sz w:val="20"/>
                <w:szCs w:val="20"/>
                <w:lang w:eastAsia="en-AU"/>
              </w:rPr>
              <w:t>Development for a Park</w:t>
            </w:r>
            <w:r w:rsidRPr="005E3AE4">
              <w:rPr>
                <w:rFonts w:ascii="Arial" w:eastAsia="Times New Roman" w:hAnsi="Arial" w:cs="Arial"/>
                <w:sz w:val="20"/>
                <w:szCs w:val="20"/>
                <w:vertAlign w:val="superscript"/>
                <w:lang w:eastAsia="en-AU"/>
              </w:rPr>
              <w:t>(</w:t>
            </w:r>
            <w:hyperlink r:id="rId2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5E3AE4">
                <w:rPr>
                  <w:rFonts w:ascii="Arial" w:eastAsia="Times New Roman" w:hAnsi="Arial" w:cs="Arial"/>
                  <w:color w:val="0000FF"/>
                  <w:sz w:val="20"/>
                  <w:szCs w:val="20"/>
                  <w:vertAlign w:val="superscript"/>
                  <w:lang w:eastAsia="en-AU"/>
                </w:rPr>
                <w:t>57</w:t>
              </w:r>
            </w:hyperlink>
            <w:r w:rsidRPr="005E3AE4">
              <w:rPr>
                <w:rFonts w:ascii="Arial" w:eastAsia="Times New Roman" w:hAnsi="Arial" w:cs="Arial"/>
                <w:sz w:val="20"/>
                <w:szCs w:val="20"/>
                <w:vertAlign w:val="superscript"/>
                <w:lang w:eastAsia="en-AU"/>
              </w:rPr>
              <w:t>)</w:t>
            </w:r>
            <w:r w:rsidRPr="005E3AE4">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76"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Pr>
          <w:p w:rsidR="001074BA" w:rsidRPr="005E3AE4"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5E3AE4" w:rsidRDefault="00641E2E" w:rsidP="005E3AE4">
      <w:pPr>
        <w:spacing w:before="100" w:beforeAutospacing="1" w:after="100" w:afterAutospacing="1" w:line="240" w:lineRule="auto"/>
        <w:rPr>
          <w:rFonts w:ascii="Arial" w:hAnsi="Arial" w:cs="Arial"/>
          <w:sz w:val="20"/>
          <w:szCs w:val="20"/>
        </w:rPr>
      </w:pPr>
    </w:p>
    <w:sectPr w:rsidR="00641E2E" w:rsidRPr="005E3AE4" w:rsidSect="005E3AE4">
      <w:foot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630" w:rsidRDefault="00713630" w:rsidP="005E3AE4">
      <w:pPr>
        <w:spacing w:after="0" w:line="240" w:lineRule="auto"/>
      </w:pPr>
      <w:r>
        <w:separator/>
      </w:r>
    </w:p>
  </w:endnote>
  <w:endnote w:type="continuationSeparator" w:id="0">
    <w:p w:rsidR="00713630" w:rsidRDefault="00713630" w:rsidP="005E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5E3AE4" w:rsidRPr="005E3AE4" w:rsidRDefault="005E3AE4" w:rsidP="00CD27B3">
        <w:pPr>
          <w:pStyle w:val="Footer"/>
          <w:rPr>
            <w:rFonts w:ascii="Arial" w:hAnsi="Arial" w:cs="Arial"/>
            <w:i/>
            <w:sz w:val="20"/>
            <w:szCs w:val="20"/>
          </w:rPr>
        </w:pPr>
        <w:r w:rsidRPr="00F65D35">
          <w:rPr>
            <w:rFonts w:ascii="Arial" w:hAnsi="Arial" w:cs="Arial"/>
            <w:i/>
            <w:sz w:val="20"/>
            <w:szCs w:val="20"/>
          </w:rPr>
          <w:t xml:space="preserve">MBRC Planning Scheme - </w:t>
        </w:r>
        <w:r>
          <w:rPr>
            <w:rFonts w:ascii="Arial" w:hAnsi="Arial" w:cs="Arial"/>
            <w:i/>
            <w:sz w:val="20"/>
            <w:szCs w:val="20"/>
          </w:rPr>
          <w:t>Caboolture West local plan</w:t>
        </w:r>
        <w:r w:rsidRPr="00F65D35">
          <w:rPr>
            <w:rFonts w:ascii="Arial" w:hAnsi="Arial" w:cs="Arial"/>
            <w:i/>
            <w:sz w:val="20"/>
            <w:szCs w:val="20"/>
          </w:rPr>
          <w:t xml:space="preserve"> -</w:t>
        </w:r>
        <w:r>
          <w:rPr>
            <w:rFonts w:ascii="Arial" w:hAnsi="Arial" w:cs="Arial"/>
            <w:i/>
            <w:sz w:val="20"/>
            <w:szCs w:val="20"/>
          </w:rPr>
          <w:t xml:space="preserve"> Reconfiguring a lot code - Rural living precinct</w:t>
        </w:r>
        <w:r w:rsidRPr="00F65D35">
          <w:rPr>
            <w:rFonts w:ascii="Arial" w:hAnsi="Arial" w:cs="Arial"/>
            <w:i/>
            <w:sz w:val="20"/>
            <w:szCs w:val="20"/>
          </w:rPr>
          <w:t xml:space="preserve"> - </w:t>
        </w:r>
        <w:r>
          <w:rPr>
            <w:rFonts w:ascii="Arial" w:hAnsi="Arial" w:cs="Arial"/>
            <w:i/>
            <w:sz w:val="20"/>
            <w:szCs w:val="20"/>
          </w:rPr>
          <w:t>Assessable</w:t>
        </w:r>
        <w:r w:rsidRPr="00F65D35">
          <w:rPr>
            <w:rFonts w:ascii="Arial" w:hAnsi="Arial" w:cs="Arial"/>
            <w:i/>
            <w:sz w:val="20"/>
            <w:szCs w:val="20"/>
          </w:rPr>
          <w:t xml:space="preserve"> - </w:t>
        </w:r>
        <w:r>
          <w:rPr>
            <w:rFonts w:ascii="Arial" w:hAnsi="Arial" w:cs="Arial"/>
            <w:i/>
            <w:sz w:val="20"/>
            <w:szCs w:val="20"/>
          </w:rPr>
          <w:t>3 July 2017</w:t>
        </w:r>
        <w:r>
          <w:rPr>
            <w:rFonts w:ascii="Arial" w:hAnsi="Arial" w:cs="Arial"/>
            <w:i/>
            <w:sz w:val="20"/>
            <w:szCs w:val="20"/>
          </w:rPr>
          <w:tab/>
        </w:r>
        <w:r w:rsidRPr="00F65D35">
          <w:rPr>
            <w:rFonts w:ascii="Arial" w:hAnsi="Arial" w:cs="Arial"/>
            <w:i/>
            <w:sz w:val="20"/>
            <w:szCs w:val="20"/>
          </w:rPr>
          <w:tab/>
        </w:r>
        <w:r w:rsidR="00CD27B3">
          <w:rPr>
            <w:rFonts w:ascii="Arial" w:hAnsi="Arial" w:cs="Arial"/>
            <w:i/>
            <w:sz w:val="20"/>
            <w:szCs w:val="20"/>
          </w:rPr>
          <w:tab/>
        </w:r>
        <w:r w:rsidR="00CD27B3">
          <w:rPr>
            <w:rFonts w:ascii="Arial" w:hAnsi="Arial" w:cs="Arial"/>
            <w:i/>
            <w:sz w:val="20"/>
            <w:szCs w:val="20"/>
          </w:rPr>
          <w:tab/>
        </w:r>
        <w:r w:rsidR="00CD27B3">
          <w:rPr>
            <w:rFonts w:ascii="Arial" w:hAnsi="Arial" w:cs="Arial"/>
            <w:i/>
            <w:sz w:val="20"/>
            <w:szCs w:val="20"/>
          </w:rPr>
          <w:tab/>
        </w:r>
        <w:r w:rsidR="00CD27B3">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sidR="00366E9F">
          <w:rPr>
            <w:rFonts w:ascii="Arial" w:hAnsi="Arial" w:cs="Arial"/>
            <w:noProof/>
            <w:sz w:val="20"/>
            <w:szCs w:val="20"/>
          </w:rPr>
          <w:t>17</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630" w:rsidRDefault="00713630" w:rsidP="005E3AE4">
      <w:pPr>
        <w:spacing w:after="0" w:line="240" w:lineRule="auto"/>
      </w:pPr>
      <w:r>
        <w:separator/>
      </w:r>
    </w:p>
  </w:footnote>
  <w:footnote w:type="continuationSeparator" w:id="0">
    <w:p w:rsidR="00713630" w:rsidRDefault="00713630" w:rsidP="005E3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2EB"/>
    <w:multiLevelType w:val="multilevel"/>
    <w:tmpl w:val="C71C26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8259B5"/>
    <w:multiLevelType w:val="multilevel"/>
    <w:tmpl w:val="5A587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EC37E0"/>
    <w:multiLevelType w:val="multilevel"/>
    <w:tmpl w:val="AFBC5A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AE7512"/>
    <w:multiLevelType w:val="multilevel"/>
    <w:tmpl w:val="23BE87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C544EE"/>
    <w:multiLevelType w:val="multilevel"/>
    <w:tmpl w:val="59AA2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1ADF188A"/>
    <w:multiLevelType w:val="multilevel"/>
    <w:tmpl w:val="4010F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583A73"/>
    <w:multiLevelType w:val="multilevel"/>
    <w:tmpl w:val="190E97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785B38"/>
    <w:multiLevelType w:val="multilevel"/>
    <w:tmpl w:val="8B0A9F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94105A"/>
    <w:multiLevelType w:val="multilevel"/>
    <w:tmpl w:val="F266C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E4022E"/>
    <w:multiLevelType w:val="multilevel"/>
    <w:tmpl w:val="76B6C0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9742E0"/>
    <w:multiLevelType w:val="multilevel"/>
    <w:tmpl w:val="C1406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3E95CA6"/>
    <w:multiLevelType w:val="multilevel"/>
    <w:tmpl w:val="1CDA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C4B76"/>
    <w:multiLevelType w:val="multilevel"/>
    <w:tmpl w:val="6DD63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E2C152A"/>
    <w:multiLevelType w:val="multilevel"/>
    <w:tmpl w:val="5C28D9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EF247C8"/>
    <w:multiLevelType w:val="multilevel"/>
    <w:tmpl w:val="00424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8C92568"/>
    <w:multiLevelType w:val="multilevel"/>
    <w:tmpl w:val="7F4ABF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9947D05"/>
    <w:multiLevelType w:val="multilevel"/>
    <w:tmpl w:val="D5EC4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E9E5AA9"/>
    <w:multiLevelType w:val="multilevel"/>
    <w:tmpl w:val="ADE840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F374886"/>
    <w:multiLevelType w:val="multilevel"/>
    <w:tmpl w:val="FE9A1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3163005"/>
    <w:multiLevelType w:val="multilevel"/>
    <w:tmpl w:val="F3AEFD0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B9E7D54"/>
    <w:multiLevelType w:val="multilevel"/>
    <w:tmpl w:val="BD9241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BDC5FB5"/>
    <w:multiLevelType w:val="multilevel"/>
    <w:tmpl w:val="E64A2E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C916D81"/>
    <w:multiLevelType w:val="multilevel"/>
    <w:tmpl w:val="541047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EC44E97"/>
    <w:multiLevelType w:val="multilevel"/>
    <w:tmpl w:val="58F2C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A975E0"/>
    <w:multiLevelType w:val="multilevel"/>
    <w:tmpl w:val="EA623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92F7B80"/>
    <w:multiLevelType w:val="multilevel"/>
    <w:tmpl w:val="6076E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D412267"/>
    <w:multiLevelType w:val="multilevel"/>
    <w:tmpl w:val="017C42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EBD28F3"/>
    <w:multiLevelType w:val="multilevel"/>
    <w:tmpl w:val="523E8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3D04A52"/>
    <w:multiLevelType w:val="multilevel"/>
    <w:tmpl w:val="C1F6B6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605014A"/>
    <w:multiLevelType w:val="multilevel"/>
    <w:tmpl w:val="636A5A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66C71B9"/>
    <w:multiLevelType w:val="multilevel"/>
    <w:tmpl w:val="0DB4F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B5410C8"/>
    <w:multiLevelType w:val="multilevel"/>
    <w:tmpl w:val="EA0C5A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0"/>
  </w:num>
  <w:num w:numId="2">
    <w:abstractNumId w:val="16"/>
  </w:num>
  <w:num w:numId="3">
    <w:abstractNumId w:val="28"/>
  </w:num>
  <w:num w:numId="4">
    <w:abstractNumId w:val="11"/>
  </w:num>
  <w:num w:numId="5">
    <w:abstractNumId w:val="19"/>
  </w:num>
  <w:num w:numId="6">
    <w:abstractNumId w:val="1"/>
  </w:num>
  <w:num w:numId="7">
    <w:abstractNumId w:val="18"/>
  </w:num>
  <w:num w:numId="8">
    <w:abstractNumId w:val="27"/>
  </w:num>
  <w:num w:numId="9">
    <w:abstractNumId w:val="14"/>
  </w:num>
  <w:num w:numId="10">
    <w:abstractNumId w:val="31"/>
  </w:num>
  <w:num w:numId="11">
    <w:abstractNumId w:val="2"/>
  </w:num>
  <w:num w:numId="12">
    <w:abstractNumId w:val="13"/>
  </w:num>
  <w:num w:numId="13">
    <w:abstractNumId w:val="10"/>
  </w:num>
  <w:num w:numId="14">
    <w:abstractNumId w:val="6"/>
  </w:num>
  <w:num w:numId="15">
    <w:abstractNumId w:val="17"/>
  </w:num>
  <w:num w:numId="16">
    <w:abstractNumId w:val="21"/>
  </w:num>
  <w:num w:numId="17">
    <w:abstractNumId w:val="3"/>
  </w:num>
  <w:num w:numId="18">
    <w:abstractNumId w:val="23"/>
  </w:num>
  <w:num w:numId="19">
    <w:abstractNumId w:val="9"/>
  </w:num>
  <w:num w:numId="20">
    <w:abstractNumId w:val="0"/>
  </w:num>
  <w:num w:numId="21">
    <w:abstractNumId w:val="22"/>
  </w:num>
  <w:num w:numId="22">
    <w:abstractNumId w:val="24"/>
  </w:num>
  <w:num w:numId="23">
    <w:abstractNumId w:val="25"/>
  </w:num>
  <w:num w:numId="24">
    <w:abstractNumId w:val="20"/>
  </w:num>
  <w:num w:numId="25">
    <w:abstractNumId w:val="20"/>
    <w:lvlOverride w:ilvl="1">
      <w:startOverride w:val="1"/>
    </w:lvlOverride>
  </w:num>
  <w:num w:numId="26">
    <w:abstractNumId w:val="7"/>
  </w:num>
  <w:num w:numId="27">
    <w:abstractNumId w:val="26"/>
  </w:num>
  <w:num w:numId="28">
    <w:abstractNumId w:val="4"/>
  </w:num>
  <w:num w:numId="29">
    <w:abstractNumId w:val="29"/>
  </w:num>
  <w:num w:numId="30">
    <w:abstractNumId w:val="8"/>
  </w:num>
  <w:num w:numId="31">
    <w:abstractNumId w:val="15"/>
  </w:num>
  <w:num w:numId="32">
    <w:abstractNumId w:val="32"/>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E4"/>
    <w:rsid w:val="001074BA"/>
    <w:rsid w:val="0011683F"/>
    <w:rsid w:val="00366E9F"/>
    <w:rsid w:val="004E0E41"/>
    <w:rsid w:val="005E3AE4"/>
    <w:rsid w:val="00641E2E"/>
    <w:rsid w:val="00713630"/>
    <w:rsid w:val="00CD2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330A"/>
  <w15:chartTrackingRefBased/>
  <w15:docId w15:val="{545E3225-F2FF-47A0-88F6-E880DEE8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3AE4"/>
    <w:rPr>
      <w:i/>
      <w:iCs/>
    </w:rPr>
  </w:style>
  <w:style w:type="character" w:styleId="Strong">
    <w:name w:val="Strong"/>
    <w:basedOn w:val="DefaultParagraphFont"/>
    <w:uiPriority w:val="22"/>
    <w:qFormat/>
    <w:rsid w:val="005E3AE4"/>
    <w:rPr>
      <w:b/>
      <w:bCs/>
    </w:rPr>
  </w:style>
  <w:style w:type="paragraph" w:styleId="Header">
    <w:name w:val="header"/>
    <w:basedOn w:val="Normal"/>
    <w:link w:val="HeaderChar"/>
    <w:uiPriority w:val="99"/>
    <w:unhideWhenUsed/>
    <w:rsid w:val="005E3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AE4"/>
  </w:style>
  <w:style w:type="paragraph" w:styleId="Footer">
    <w:name w:val="footer"/>
    <w:basedOn w:val="Normal"/>
    <w:link w:val="FooterChar"/>
    <w:uiPriority w:val="99"/>
    <w:unhideWhenUsed/>
    <w:rsid w:val="005E3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AE4"/>
  </w:style>
  <w:style w:type="paragraph" w:styleId="ListParagraph">
    <w:name w:val="List Paragraph"/>
    <w:basedOn w:val="Normal"/>
    <w:uiPriority w:val="34"/>
    <w:qFormat/>
    <w:rsid w:val="001074BA"/>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299721">
      <w:bodyDiv w:val="1"/>
      <w:marLeft w:val="0"/>
      <w:marRight w:val="0"/>
      <w:marTop w:val="0"/>
      <w:marBottom w:val="0"/>
      <w:divBdr>
        <w:top w:val="none" w:sz="0" w:space="0" w:color="auto"/>
        <w:left w:val="none" w:sz="0" w:space="0" w:color="auto"/>
        <w:bottom w:val="none" w:sz="0" w:space="0" w:color="auto"/>
        <w:right w:val="none" w:sz="0" w:space="0" w:color="auto"/>
      </w:divBdr>
      <w:divsChild>
        <w:div w:id="1467242083">
          <w:marLeft w:val="0"/>
          <w:marRight w:val="0"/>
          <w:marTop w:val="0"/>
          <w:marBottom w:val="0"/>
          <w:divBdr>
            <w:top w:val="none" w:sz="0" w:space="0" w:color="auto"/>
            <w:left w:val="none" w:sz="0" w:space="0" w:color="auto"/>
            <w:bottom w:val="none" w:sz="0" w:space="0" w:color="auto"/>
            <w:right w:val="none" w:sz="0" w:space="0" w:color="auto"/>
          </w:divBdr>
          <w:divsChild>
            <w:div w:id="1126315961">
              <w:marLeft w:val="0"/>
              <w:marRight w:val="0"/>
              <w:marTop w:val="150"/>
              <w:marBottom w:val="0"/>
              <w:divBdr>
                <w:top w:val="none" w:sz="0" w:space="0" w:color="auto"/>
                <w:left w:val="none" w:sz="0" w:space="0" w:color="auto"/>
                <w:bottom w:val="none" w:sz="0" w:space="0" w:color="auto"/>
                <w:right w:val="none" w:sz="0" w:space="0" w:color="auto"/>
              </w:divBdr>
              <w:divsChild>
                <w:div w:id="323777345">
                  <w:marLeft w:val="3300"/>
                  <w:marRight w:val="0"/>
                  <w:marTop w:val="0"/>
                  <w:marBottom w:val="0"/>
                  <w:divBdr>
                    <w:top w:val="none" w:sz="0" w:space="0" w:color="auto"/>
                    <w:left w:val="none" w:sz="0" w:space="0" w:color="auto"/>
                    <w:bottom w:val="none" w:sz="0" w:space="0" w:color="auto"/>
                    <w:right w:val="none" w:sz="0" w:space="0" w:color="auto"/>
                  </w:divBdr>
                  <w:divsChild>
                    <w:div w:id="529225361">
                      <w:marLeft w:val="0"/>
                      <w:marRight w:val="0"/>
                      <w:marTop w:val="0"/>
                      <w:marBottom w:val="0"/>
                      <w:divBdr>
                        <w:top w:val="single" w:sz="6" w:space="7" w:color="A8A8A8"/>
                        <w:left w:val="single" w:sz="2" w:space="14" w:color="A8A8A8"/>
                        <w:bottom w:val="single" w:sz="6" w:space="7" w:color="A8A8A8"/>
                        <w:right w:val="single" w:sz="2" w:space="14" w:color="A8A8A8"/>
                      </w:divBdr>
                      <w:divsChild>
                        <w:div w:id="1805922151">
                          <w:marLeft w:val="0"/>
                          <w:marRight w:val="0"/>
                          <w:marTop w:val="0"/>
                          <w:marBottom w:val="0"/>
                          <w:divBdr>
                            <w:top w:val="none" w:sz="0" w:space="0" w:color="auto"/>
                            <w:left w:val="none" w:sz="0" w:space="0" w:color="auto"/>
                            <w:bottom w:val="none" w:sz="0" w:space="0" w:color="auto"/>
                            <w:right w:val="none" w:sz="0" w:space="0" w:color="auto"/>
                          </w:divBdr>
                          <w:divsChild>
                            <w:div w:id="1463768663">
                              <w:marLeft w:val="0"/>
                              <w:marRight w:val="0"/>
                              <w:marTop w:val="0"/>
                              <w:marBottom w:val="0"/>
                              <w:divBdr>
                                <w:top w:val="none" w:sz="0" w:space="0" w:color="auto"/>
                                <w:left w:val="none" w:sz="0" w:space="0" w:color="auto"/>
                                <w:bottom w:val="none" w:sz="0" w:space="0" w:color="auto"/>
                                <w:right w:val="none" w:sz="0" w:space="0" w:color="auto"/>
                              </w:divBdr>
                              <w:divsChild>
                                <w:div w:id="1936480538">
                                  <w:marLeft w:val="0"/>
                                  <w:marRight w:val="0"/>
                                  <w:marTop w:val="0"/>
                                  <w:marBottom w:val="0"/>
                                  <w:divBdr>
                                    <w:top w:val="none" w:sz="0" w:space="0" w:color="auto"/>
                                    <w:left w:val="none" w:sz="0" w:space="0" w:color="auto"/>
                                    <w:bottom w:val="none" w:sz="0" w:space="0" w:color="auto"/>
                                    <w:right w:val="none" w:sz="0" w:space="0" w:color="auto"/>
                                  </w:divBdr>
                                  <w:divsChild>
                                    <w:div w:id="1639531634">
                                      <w:marLeft w:val="0"/>
                                      <w:marRight w:val="0"/>
                                      <w:marTop w:val="0"/>
                                      <w:marBottom w:val="0"/>
                                      <w:divBdr>
                                        <w:top w:val="none" w:sz="0" w:space="0" w:color="auto"/>
                                        <w:left w:val="none" w:sz="0" w:space="0" w:color="auto"/>
                                        <w:bottom w:val="none" w:sz="0" w:space="0" w:color="auto"/>
                                        <w:right w:val="none" w:sz="0" w:space="0" w:color="auto"/>
                                      </w:divBdr>
                                      <w:divsChild>
                                        <w:div w:id="1055087955">
                                          <w:marLeft w:val="0"/>
                                          <w:marRight w:val="0"/>
                                          <w:marTop w:val="0"/>
                                          <w:marBottom w:val="0"/>
                                          <w:divBdr>
                                            <w:top w:val="none" w:sz="0" w:space="0" w:color="auto"/>
                                            <w:left w:val="none" w:sz="0" w:space="0" w:color="auto"/>
                                            <w:bottom w:val="none" w:sz="0" w:space="0" w:color="auto"/>
                                            <w:right w:val="none" w:sz="0" w:space="0" w:color="auto"/>
                                          </w:divBdr>
                                          <w:divsChild>
                                            <w:div w:id="1626695268">
                                              <w:marLeft w:val="0"/>
                                              <w:marRight w:val="0"/>
                                              <w:marTop w:val="0"/>
                                              <w:marBottom w:val="0"/>
                                              <w:divBdr>
                                                <w:top w:val="none" w:sz="0" w:space="0" w:color="auto"/>
                                                <w:left w:val="none" w:sz="0" w:space="0" w:color="auto"/>
                                                <w:bottom w:val="none" w:sz="0" w:space="0" w:color="auto"/>
                                                <w:right w:val="none" w:sz="0" w:space="0" w:color="auto"/>
                                              </w:divBdr>
                                              <w:divsChild>
                                                <w:div w:id="1001812200">
                                                  <w:marLeft w:val="0"/>
                                                  <w:marRight w:val="0"/>
                                                  <w:marTop w:val="0"/>
                                                  <w:marBottom w:val="0"/>
                                                  <w:divBdr>
                                                    <w:top w:val="none" w:sz="0" w:space="0" w:color="auto"/>
                                                    <w:left w:val="none" w:sz="0" w:space="0" w:color="auto"/>
                                                    <w:bottom w:val="none" w:sz="0" w:space="0" w:color="auto"/>
                                                    <w:right w:val="none" w:sz="0" w:space="0" w:color="auto"/>
                                                  </w:divBdr>
                                                  <w:divsChild>
                                                    <w:div w:id="523325704">
                                                      <w:marLeft w:val="0"/>
                                                      <w:marRight w:val="0"/>
                                                      <w:marTop w:val="0"/>
                                                      <w:marBottom w:val="0"/>
                                                      <w:divBdr>
                                                        <w:top w:val="none" w:sz="0" w:space="0" w:color="auto"/>
                                                        <w:left w:val="none" w:sz="0" w:space="0" w:color="auto"/>
                                                        <w:bottom w:val="none" w:sz="0" w:space="0" w:color="auto"/>
                                                        <w:right w:val="none" w:sz="0" w:space="0" w:color="auto"/>
                                                      </w:divBdr>
                                                    </w:div>
                                                  </w:divsChild>
                                                </w:div>
                                                <w:div w:id="473449419">
                                                  <w:marLeft w:val="0"/>
                                                  <w:marRight w:val="0"/>
                                                  <w:marTop w:val="0"/>
                                                  <w:marBottom w:val="0"/>
                                                  <w:divBdr>
                                                    <w:top w:val="none" w:sz="0" w:space="0" w:color="auto"/>
                                                    <w:left w:val="none" w:sz="0" w:space="0" w:color="auto"/>
                                                    <w:bottom w:val="none" w:sz="0" w:space="0" w:color="auto"/>
                                                    <w:right w:val="none" w:sz="0" w:space="0" w:color="auto"/>
                                                  </w:divBdr>
                                                  <w:divsChild>
                                                    <w:div w:id="1620260792">
                                                      <w:marLeft w:val="0"/>
                                                      <w:marRight w:val="0"/>
                                                      <w:marTop w:val="0"/>
                                                      <w:marBottom w:val="0"/>
                                                      <w:divBdr>
                                                        <w:top w:val="none" w:sz="0" w:space="0" w:color="auto"/>
                                                        <w:left w:val="none" w:sz="0" w:space="0" w:color="auto"/>
                                                        <w:bottom w:val="none" w:sz="0" w:space="0" w:color="auto"/>
                                                        <w:right w:val="none" w:sz="0" w:space="0" w:color="auto"/>
                                                      </w:divBdr>
                                                    </w:div>
                                                  </w:divsChild>
                                                </w:div>
                                                <w:div w:id="1195195715">
                                                  <w:marLeft w:val="0"/>
                                                  <w:marRight w:val="0"/>
                                                  <w:marTop w:val="0"/>
                                                  <w:marBottom w:val="0"/>
                                                  <w:divBdr>
                                                    <w:top w:val="none" w:sz="0" w:space="0" w:color="auto"/>
                                                    <w:left w:val="none" w:sz="0" w:space="0" w:color="auto"/>
                                                    <w:bottom w:val="none" w:sz="0" w:space="0" w:color="auto"/>
                                                    <w:right w:val="none" w:sz="0" w:space="0" w:color="auto"/>
                                                  </w:divBdr>
                                                  <w:divsChild>
                                                    <w:div w:id="1559592220">
                                                      <w:marLeft w:val="0"/>
                                                      <w:marRight w:val="0"/>
                                                      <w:marTop w:val="0"/>
                                                      <w:marBottom w:val="0"/>
                                                      <w:divBdr>
                                                        <w:top w:val="none" w:sz="0" w:space="0" w:color="auto"/>
                                                        <w:left w:val="none" w:sz="0" w:space="0" w:color="auto"/>
                                                        <w:bottom w:val="none" w:sz="0" w:space="0" w:color="auto"/>
                                                        <w:right w:val="none" w:sz="0" w:space="0" w:color="auto"/>
                                                      </w:divBdr>
                                                    </w:div>
                                                  </w:divsChild>
                                                </w:div>
                                                <w:div w:id="1028335571">
                                                  <w:marLeft w:val="0"/>
                                                  <w:marRight w:val="0"/>
                                                  <w:marTop w:val="0"/>
                                                  <w:marBottom w:val="0"/>
                                                  <w:divBdr>
                                                    <w:top w:val="none" w:sz="0" w:space="0" w:color="auto"/>
                                                    <w:left w:val="none" w:sz="0" w:space="0" w:color="auto"/>
                                                    <w:bottom w:val="none" w:sz="0" w:space="0" w:color="auto"/>
                                                    <w:right w:val="none" w:sz="0" w:space="0" w:color="auto"/>
                                                  </w:divBdr>
                                                  <w:divsChild>
                                                    <w:div w:id="439108160">
                                                      <w:marLeft w:val="0"/>
                                                      <w:marRight w:val="0"/>
                                                      <w:marTop w:val="0"/>
                                                      <w:marBottom w:val="0"/>
                                                      <w:divBdr>
                                                        <w:top w:val="none" w:sz="0" w:space="0" w:color="auto"/>
                                                        <w:left w:val="none" w:sz="0" w:space="0" w:color="auto"/>
                                                        <w:bottom w:val="none" w:sz="0" w:space="0" w:color="auto"/>
                                                        <w:right w:val="none" w:sz="0" w:space="0" w:color="auto"/>
                                                      </w:divBdr>
                                                    </w:div>
                                                  </w:divsChild>
                                                </w:div>
                                                <w:div w:id="554858336">
                                                  <w:marLeft w:val="0"/>
                                                  <w:marRight w:val="0"/>
                                                  <w:marTop w:val="0"/>
                                                  <w:marBottom w:val="0"/>
                                                  <w:divBdr>
                                                    <w:top w:val="none" w:sz="0" w:space="0" w:color="auto"/>
                                                    <w:left w:val="none" w:sz="0" w:space="0" w:color="auto"/>
                                                    <w:bottom w:val="none" w:sz="0" w:space="0" w:color="auto"/>
                                                    <w:right w:val="none" w:sz="0" w:space="0" w:color="auto"/>
                                                  </w:divBdr>
                                                  <w:divsChild>
                                                    <w:div w:id="1947737161">
                                                      <w:marLeft w:val="0"/>
                                                      <w:marRight w:val="0"/>
                                                      <w:marTop w:val="0"/>
                                                      <w:marBottom w:val="0"/>
                                                      <w:divBdr>
                                                        <w:top w:val="none" w:sz="0" w:space="0" w:color="auto"/>
                                                        <w:left w:val="none" w:sz="0" w:space="0" w:color="auto"/>
                                                        <w:bottom w:val="none" w:sz="0" w:space="0" w:color="auto"/>
                                                        <w:right w:val="none" w:sz="0" w:space="0" w:color="auto"/>
                                                      </w:divBdr>
                                                    </w:div>
                                                  </w:divsChild>
                                                </w:div>
                                                <w:div w:id="1083643645">
                                                  <w:marLeft w:val="0"/>
                                                  <w:marRight w:val="0"/>
                                                  <w:marTop w:val="0"/>
                                                  <w:marBottom w:val="0"/>
                                                  <w:divBdr>
                                                    <w:top w:val="none" w:sz="0" w:space="0" w:color="auto"/>
                                                    <w:left w:val="none" w:sz="0" w:space="0" w:color="auto"/>
                                                    <w:bottom w:val="none" w:sz="0" w:space="0" w:color="auto"/>
                                                    <w:right w:val="none" w:sz="0" w:space="0" w:color="auto"/>
                                                  </w:divBdr>
                                                  <w:divsChild>
                                                    <w:div w:id="80761773">
                                                      <w:marLeft w:val="0"/>
                                                      <w:marRight w:val="0"/>
                                                      <w:marTop w:val="0"/>
                                                      <w:marBottom w:val="0"/>
                                                      <w:divBdr>
                                                        <w:top w:val="none" w:sz="0" w:space="0" w:color="auto"/>
                                                        <w:left w:val="none" w:sz="0" w:space="0" w:color="auto"/>
                                                        <w:bottom w:val="none" w:sz="0" w:space="0" w:color="auto"/>
                                                        <w:right w:val="none" w:sz="0" w:space="0" w:color="auto"/>
                                                      </w:divBdr>
                                                    </w:div>
                                                  </w:divsChild>
                                                </w:div>
                                                <w:div w:id="1457062361">
                                                  <w:marLeft w:val="0"/>
                                                  <w:marRight w:val="0"/>
                                                  <w:marTop w:val="0"/>
                                                  <w:marBottom w:val="0"/>
                                                  <w:divBdr>
                                                    <w:top w:val="none" w:sz="0" w:space="0" w:color="auto"/>
                                                    <w:left w:val="none" w:sz="0" w:space="0" w:color="auto"/>
                                                    <w:bottom w:val="none" w:sz="0" w:space="0" w:color="auto"/>
                                                    <w:right w:val="none" w:sz="0" w:space="0" w:color="auto"/>
                                                  </w:divBdr>
                                                  <w:divsChild>
                                                    <w:div w:id="1709640610">
                                                      <w:marLeft w:val="0"/>
                                                      <w:marRight w:val="0"/>
                                                      <w:marTop w:val="0"/>
                                                      <w:marBottom w:val="0"/>
                                                      <w:divBdr>
                                                        <w:top w:val="none" w:sz="0" w:space="0" w:color="auto"/>
                                                        <w:left w:val="none" w:sz="0" w:space="0" w:color="auto"/>
                                                        <w:bottom w:val="none" w:sz="0" w:space="0" w:color="auto"/>
                                                        <w:right w:val="none" w:sz="0" w:space="0" w:color="auto"/>
                                                      </w:divBdr>
                                                    </w:div>
                                                  </w:divsChild>
                                                </w:div>
                                                <w:div w:id="1437015436">
                                                  <w:marLeft w:val="0"/>
                                                  <w:marRight w:val="0"/>
                                                  <w:marTop w:val="0"/>
                                                  <w:marBottom w:val="0"/>
                                                  <w:divBdr>
                                                    <w:top w:val="none" w:sz="0" w:space="0" w:color="auto"/>
                                                    <w:left w:val="none" w:sz="0" w:space="0" w:color="auto"/>
                                                    <w:bottom w:val="none" w:sz="0" w:space="0" w:color="auto"/>
                                                    <w:right w:val="none" w:sz="0" w:space="0" w:color="auto"/>
                                                  </w:divBdr>
                                                  <w:divsChild>
                                                    <w:div w:id="373770811">
                                                      <w:marLeft w:val="0"/>
                                                      <w:marRight w:val="0"/>
                                                      <w:marTop w:val="0"/>
                                                      <w:marBottom w:val="0"/>
                                                      <w:divBdr>
                                                        <w:top w:val="none" w:sz="0" w:space="0" w:color="auto"/>
                                                        <w:left w:val="none" w:sz="0" w:space="0" w:color="auto"/>
                                                        <w:bottom w:val="none" w:sz="0" w:space="0" w:color="auto"/>
                                                        <w:right w:val="none" w:sz="0" w:space="0" w:color="auto"/>
                                                      </w:divBdr>
                                                    </w:div>
                                                  </w:divsChild>
                                                </w:div>
                                                <w:div w:id="637806914">
                                                  <w:marLeft w:val="0"/>
                                                  <w:marRight w:val="0"/>
                                                  <w:marTop w:val="0"/>
                                                  <w:marBottom w:val="0"/>
                                                  <w:divBdr>
                                                    <w:top w:val="none" w:sz="0" w:space="0" w:color="auto"/>
                                                    <w:left w:val="none" w:sz="0" w:space="0" w:color="auto"/>
                                                    <w:bottom w:val="none" w:sz="0" w:space="0" w:color="auto"/>
                                                    <w:right w:val="none" w:sz="0" w:space="0" w:color="auto"/>
                                                  </w:divBdr>
                                                  <w:divsChild>
                                                    <w:div w:id="1057510073">
                                                      <w:marLeft w:val="0"/>
                                                      <w:marRight w:val="0"/>
                                                      <w:marTop w:val="0"/>
                                                      <w:marBottom w:val="0"/>
                                                      <w:divBdr>
                                                        <w:top w:val="none" w:sz="0" w:space="0" w:color="auto"/>
                                                        <w:left w:val="none" w:sz="0" w:space="0" w:color="auto"/>
                                                        <w:bottom w:val="none" w:sz="0" w:space="0" w:color="auto"/>
                                                        <w:right w:val="none" w:sz="0" w:space="0" w:color="auto"/>
                                                      </w:divBdr>
                                                    </w:div>
                                                  </w:divsChild>
                                                </w:div>
                                                <w:div w:id="570507236">
                                                  <w:marLeft w:val="0"/>
                                                  <w:marRight w:val="0"/>
                                                  <w:marTop w:val="0"/>
                                                  <w:marBottom w:val="0"/>
                                                  <w:divBdr>
                                                    <w:top w:val="none" w:sz="0" w:space="0" w:color="auto"/>
                                                    <w:left w:val="none" w:sz="0" w:space="0" w:color="auto"/>
                                                    <w:bottom w:val="none" w:sz="0" w:space="0" w:color="auto"/>
                                                    <w:right w:val="none" w:sz="0" w:space="0" w:color="auto"/>
                                                  </w:divBdr>
                                                  <w:divsChild>
                                                    <w:div w:id="1168716110">
                                                      <w:marLeft w:val="0"/>
                                                      <w:marRight w:val="0"/>
                                                      <w:marTop w:val="0"/>
                                                      <w:marBottom w:val="0"/>
                                                      <w:divBdr>
                                                        <w:top w:val="none" w:sz="0" w:space="0" w:color="auto"/>
                                                        <w:left w:val="none" w:sz="0" w:space="0" w:color="auto"/>
                                                        <w:bottom w:val="none" w:sz="0" w:space="0" w:color="auto"/>
                                                        <w:right w:val="none" w:sz="0" w:space="0" w:color="auto"/>
                                                      </w:divBdr>
                                                    </w:div>
                                                  </w:divsChild>
                                                </w:div>
                                                <w:div w:id="306397152">
                                                  <w:marLeft w:val="0"/>
                                                  <w:marRight w:val="0"/>
                                                  <w:marTop w:val="0"/>
                                                  <w:marBottom w:val="0"/>
                                                  <w:divBdr>
                                                    <w:top w:val="none" w:sz="0" w:space="0" w:color="auto"/>
                                                    <w:left w:val="none" w:sz="0" w:space="0" w:color="auto"/>
                                                    <w:bottom w:val="none" w:sz="0" w:space="0" w:color="auto"/>
                                                    <w:right w:val="none" w:sz="0" w:space="0" w:color="auto"/>
                                                  </w:divBdr>
                                                  <w:divsChild>
                                                    <w:div w:id="209998340">
                                                      <w:marLeft w:val="0"/>
                                                      <w:marRight w:val="0"/>
                                                      <w:marTop w:val="0"/>
                                                      <w:marBottom w:val="0"/>
                                                      <w:divBdr>
                                                        <w:top w:val="none" w:sz="0" w:space="0" w:color="auto"/>
                                                        <w:left w:val="none" w:sz="0" w:space="0" w:color="auto"/>
                                                        <w:bottom w:val="none" w:sz="0" w:space="0" w:color="auto"/>
                                                        <w:right w:val="none" w:sz="0" w:space="0" w:color="auto"/>
                                                      </w:divBdr>
                                                    </w:div>
                                                  </w:divsChild>
                                                </w:div>
                                                <w:div w:id="851265566">
                                                  <w:marLeft w:val="0"/>
                                                  <w:marRight w:val="0"/>
                                                  <w:marTop w:val="0"/>
                                                  <w:marBottom w:val="0"/>
                                                  <w:divBdr>
                                                    <w:top w:val="none" w:sz="0" w:space="0" w:color="auto"/>
                                                    <w:left w:val="none" w:sz="0" w:space="0" w:color="auto"/>
                                                    <w:bottom w:val="none" w:sz="0" w:space="0" w:color="auto"/>
                                                    <w:right w:val="none" w:sz="0" w:space="0" w:color="auto"/>
                                                  </w:divBdr>
                                                  <w:divsChild>
                                                    <w:div w:id="1038316260">
                                                      <w:marLeft w:val="0"/>
                                                      <w:marRight w:val="0"/>
                                                      <w:marTop w:val="0"/>
                                                      <w:marBottom w:val="0"/>
                                                      <w:divBdr>
                                                        <w:top w:val="none" w:sz="0" w:space="0" w:color="auto"/>
                                                        <w:left w:val="none" w:sz="0" w:space="0" w:color="auto"/>
                                                        <w:bottom w:val="none" w:sz="0" w:space="0" w:color="auto"/>
                                                        <w:right w:val="none" w:sz="0" w:space="0" w:color="auto"/>
                                                      </w:divBdr>
                                                    </w:div>
                                                  </w:divsChild>
                                                </w:div>
                                                <w:div w:id="150022703">
                                                  <w:marLeft w:val="0"/>
                                                  <w:marRight w:val="0"/>
                                                  <w:marTop w:val="0"/>
                                                  <w:marBottom w:val="0"/>
                                                  <w:divBdr>
                                                    <w:top w:val="none" w:sz="0" w:space="0" w:color="auto"/>
                                                    <w:left w:val="none" w:sz="0" w:space="0" w:color="auto"/>
                                                    <w:bottom w:val="none" w:sz="0" w:space="0" w:color="auto"/>
                                                    <w:right w:val="none" w:sz="0" w:space="0" w:color="auto"/>
                                                  </w:divBdr>
                                                  <w:divsChild>
                                                    <w:div w:id="330569753">
                                                      <w:marLeft w:val="0"/>
                                                      <w:marRight w:val="0"/>
                                                      <w:marTop w:val="0"/>
                                                      <w:marBottom w:val="0"/>
                                                      <w:divBdr>
                                                        <w:top w:val="none" w:sz="0" w:space="0" w:color="auto"/>
                                                        <w:left w:val="none" w:sz="0" w:space="0" w:color="auto"/>
                                                        <w:bottom w:val="none" w:sz="0" w:space="0" w:color="auto"/>
                                                        <w:right w:val="none" w:sz="0" w:space="0" w:color="auto"/>
                                                      </w:divBdr>
                                                    </w:div>
                                                  </w:divsChild>
                                                </w:div>
                                                <w:div w:id="1682050566">
                                                  <w:marLeft w:val="0"/>
                                                  <w:marRight w:val="0"/>
                                                  <w:marTop w:val="0"/>
                                                  <w:marBottom w:val="0"/>
                                                  <w:divBdr>
                                                    <w:top w:val="none" w:sz="0" w:space="0" w:color="auto"/>
                                                    <w:left w:val="none" w:sz="0" w:space="0" w:color="auto"/>
                                                    <w:bottom w:val="none" w:sz="0" w:space="0" w:color="auto"/>
                                                    <w:right w:val="none" w:sz="0" w:space="0" w:color="auto"/>
                                                  </w:divBdr>
                                                  <w:divsChild>
                                                    <w:div w:id="2072462457">
                                                      <w:marLeft w:val="0"/>
                                                      <w:marRight w:val="0"/>
                                                      <w:marTop w:val="0"/>
                                                      <w:marBottom w:val="0"/>
                                                      <w:divBdr>
                                                        <w:top w:val="none" w:sz="0" w:space="0" w:color="auto"/>
                                                        <w:left w:val="none" w:sz="0" w:space="0" w:color="auto"/>
                                                        <w:bottom w:val="none" w:sz="0" w:space="0" w:color="auto"/>
                                                        <w:right w:val="none" w:sz="0" w:space="0" w:color="auto"/>
                                                      </w:divBdr>
                                                    </w:div>
                                                  </w:divsChild>
                                                </w:div>
                                                <w:div w:id="1844515577">
                                                  <w:marLeft w:val="0"/>
                                                  <w:marRight w:val="0"/>
                                                  <w:marTop w:val="0"/>
                                                  <w:marBottom w:val="0"/>
                                                  <w:divBdr>
                                                    <w:top w:val="none" w:sz="0" w:space="0" w:color="auto"/>
                                                    <w:left w:val="none" w:sz="0" w:space="0" w:color="auto"/>
                                                    <w:bottom w:val="none" w:sz="0" w:space="0" w:color="auto"/>
                                                    <w:right w:val="none" w:sz="0" w:space="0" w:color="auto"/>
                                                  </w:divBdr>
                                                  <w:divsChild>
                                                    <w:div w:id="2128111873">
                                                      <w:marLeft w:val="0"/>
                                                      <w:marRight w:val="0"/>
                                                      <w:marTop w:val="0"/>
                                                      <w:marBottom w:val="0"/>
                                                      <w:divBdr>
                                                        <w:top w:val="none" w:sz="0" w:space="0" w:color="auto"/>
                                                        <w:left w:val="none" w:sz="0" w:space="0" w:color="auto"/>
                                                        <w:bottom w:val="none" w:sz="0" w:space="0" w:color="auto"/>
                                                        <w:right w:val="none" w:sz="0" w:space="0" w:color="auto"/>
                                                      </w:divBdr>
                                                    </w:div>
                                                  </w:divsChild>
                                                </w:div>
                                                <w:div w:id="2002348897">
                                                  <w:marLeft w:val="0"/>
                                                  <w:marRight w:val="0"/>
                                                  <w:marTop w:val="0"/>
                                                  <w:marBottom w:val="0"/>
                                                  <w:divBdr>
                                                    <w:top w:val="none" w:sz="0" w:space="0" w:color="auto"/>
                                                    <w:left w:val="none" w:sz="0" w:space="0" w:color="auto"/>
                                                    <w:bottom w:val="none" w:sz="0" w:space="0" w:color="auto"/>
                                                    <w:right w:val="none" w:sz="0" w:space="0" w:color="auto"/>
                                                  </w:divBdr>
                                                  <w:divsChild>
                                                    <w:div w:id="173767068">
                                                      <w:marLeft w:val="0"/>
                                                      <w:marRight w:val="0"/>
                                                      <w:marTop w:val="0"/>
                                                      <w:marBottom w:val="0"/>
                                                      <w:divBdr>
                                                        <w:top w:val="none" w:sz="0" w:space="0" w:color="auto"/>
                                                        <w:left w:val="none" w:sz="0" w:space="0" w:color="auto"/>
                                                        <w:bottom w:val="none" w:sz="0" w:space="0" w:color="auto"/>
                                                        <w:right w:val="none" w:sz="0" w:space="0" w:color="auto"/>
                                                      </w:divBdr>
                                                    </w:div>
                                                  </w:divsChild>
                                                </w:div>
                                                <w:div w:id="1875997026">
                                                  <w:marLeft w:val="0"/>
                                                  <w:marRight w:val="0"/>
                                                  <w:marTop w:val="0"/>
                                                  <w:marBottom w:val="0"/>
                                                  <w:divBdr>
                                                    <w:top w:val="none" w:sz="0" w:space="0" w:color="auto"/>
                                                    <w:left w:val="none" w:sz="0" w:space="0" w:color="auto"/>
                                                    <w:bottom w:val="none" w:sz="0" w:space="0" w:color="auto"/>
                                                    <w:right w:val="none" w:sz="0" w:space="0" w:color="auto"/>
                                                  </w:divBdr>
                                                  <w:divsChild>
                                                    <w:div w:id="1047025326">
                                                      <w:marLeft w:val="0"/>
                                                      <w:marRight w:val="0"/>
                                                      <w:marTop w:val="0"/>
                                                      <w:marBottom w:val="0"/>
                                                      <w:divBdr>
                                                        <w:top w:val="none" w:sz="0" w:space="0" w:color="auto"/>
                                                        <w:left w:val="none" w:sz="0" w:space="0" w:color="auto"/>
                                                        <w:bottom w:val="none" w:sz="0" w:space="0" w:color="auto"/>
                                                        <w:right w:val="none" w:sz="0" w:space="0" w:color="auto"/>
                                                      </w:divBdr>
                                                    </w:div>
                                                  </w:divsChild>
                                                </w:div>
                                                <w:div w:id="225603573">
                                                  <w:marLeft w:val="0"/>
                                                  <w:marRight w:val="0"/>
                                                  <w:marTop w:val="0"/>
                                                  <w:marBottom w:val="0"/>
                                                  <w:divBdr>
                                                    <w:top w:val="none" w:sz="0" w:space="0" w:color="auto"/>
                                                    <w:left w:val="none" w:sz="0" w:space="0" w:color="auto"/>
                                                    <w:bottom w:val="none" w:sz="0" w:space="0" w:color="auto"/>
                                                    <w:right w:val="none" w:sz="0" w:space="0" w:color="auto"/>
                                                  </w:divBdr>
                                                  <w:divsChild>
                                                    <w:div w:id="140580973">
                                                      <w:marLeft w:val="0"/>
                                                      <w:marRight w:val="0"/>
                                                      <w:marTop w:val="0"/>
                                                      <w:marBottom w:val="0"/>
                                                      <w:divBdr>
                                                        <w:top w:val="none" w:sz="0" w:space="0" w:color="auto"/>
                                                        <w:left w:val="none" w:sz="0" w:space="0" w:color="auto"/>
                                                        <w:bottom w:val="none" w:sz="0" w:space="0" w:color="auto"/>
                                                        <w:right w:val="none" w:sz="0" w:space="0" w:color="auto"/>
                                                      </w:divBdr>
                                                    </w:div>
                                                  </w:divsChild>
                                                </w:div>
                                                <w:div w:id="2117599891">
                                                  <w:marLeft w:val="0"/>
                                                  <w:marRight w:val="0"/>
                                                  <w:marTop w:val="0"/>
                                                  <w:marBottom w:val="0"/>
                                                  <w:divBdr>
                                                    <w:top w:val="none" w:sz="0" w:space="0" w:color="auto"/>
                                                    <w:left w:val="none" w:sz="0" w:space="0" w:color="auto"/>
                                                    <w:bottom w:val="none" w:sz="0" w:space="0" w:color="auto"/>
                                                    <w:right w:val="none" w:sz="0" w:space="0" w:color="auto"/>
                                                  </w:divBdr>
                                                  <w:divsChild>
                                                    <w:div w:id="865215517">
                                                      <w:marLeft w:val="0"/>
                                                      <w:marRight w:val="0"/>
                                                      <w:marTop w:val="0"/>
                                                      <w:marBottom w:val="0"/>
                                                      <w:divBdr>
                                                        <w:top w:val="none" w:sz="0" w:space="0" w:color="auto"/>
                                                        <w:left w:val="none" w:sz="0" w:space="0" w:color="auto"/>
                                                        <w:bottom w:val="none" w:sz="0" w:space="0" w:color="auto"/>
                                                        <w:right w:val="none" w:sz="0" w:space="0" w:color="auto"/>
                                                      </w:divBdr>
                                                    </w:div>
                                                  </w:divsChild>
                                                </w:div>
                                                <w:div w:id="1470593412">
                                                  <w:marLeft w:val="0"/>
                                                  <w:marRight w:val="0"/>
                                                  <w:marTop w:val="0"/>
                                                  <w:marBottom w:val="0"/>
                                                  <w:divBdr>
                                                    <w:top w:val="none" w:sz="0" w:space="0" w:color="auto"/>
                                                    <w:left w:val="none" w:sz="0" w:space="0" w:color="auto"/>
                                                    <w:bottom w:val="none" w:sz="0" w:space="0" w:color="auto"/>
                                                    <w:right w:val="none" w:sz="0" w:space="0" w:color="auto"/>
                                                  </w:divBdr>
                                                  <w:divsChild>
                                                    <w:div w:id="1253927829">
                                                      <w:marLeft w:val="0"/>
                                                      <w:marRight w:val="0"/>
                                                      <w:marTop w:val="0"/>
                                                      <w:marBottom w:val="0"/>
                                                      <w:divBdr>
                                                        <w:top w:val="none" w:sz="0" w:space="0" w:color="auto"/>
                                                        <w:left w:val="none" w:sz="0" w:space="0" w:color="auto"/>
                                                        <w:bottom w:val="none" w:sz="0" w:space="0" w:color="auto"/>
                                                        <w:right w:val="none" w:sz="0" w:space="0" w:color="auto"/>
                                                      </w:divBdr>
                                                    </w:div>
                                                  </w:divsChild>
                                                </w:div>
                                                <w:div w:id="1397436269">
                                                  <w:marLeft w:val="0"/>
                                                  <w:marRight w:val="0"/>
                                                  <w:marTop w:val="0"/>
                                                  <w:marBottom w:val="0"/>
                                                  <w:divBdr>
                                                    <w:top w:val="none" w:sz="0" w:space="0" w:color="auto"/>
                                                    <w:left w:val="none" w:sz="0" w:space="0" w:color="auto"/>
                                                    <w:bottom w:val="none" w:sz="0" w:space="0" w:color="auto"/>
                                                    <w:right w:val="none" w:sz="0" w:space="0" w:color="auto"/>
                                                  </w:divBdr>
                                                  <w:divsChild>
                                                    <w:div w:id="16729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431256">
                  <w:marLeft w:val="3300"/>
                  <w:marRight w:val="0"/>
                  <w:marTop w:val="0"/>
                  <w:marBottom w:val="0"/>
                  <w:divBdr>
                    <w:top w:val="single" w:sz="2" w:space="0" w:color="A8A8A8"/>
                    <w:left w:val="single" w:sz="6" w:space="0" w:color="A8A8A8"/>
                    <w:bottom w:val="single" w:sz="2" w:space="0" w:color="A8A8A8"/>
                    <w:right w:val="single" w:sz="6" w:space="0" w:color="A8A8A8"/>
                  </w:divBdr>
                  <w:divsChild>
                    <w:div w:id="1992245138">
                      <w:marLeft w:val="-15"/>
                      <w:marRight w:val="-15"/>
                      <w:marTop w:val="0"/>
                      <w:marBottom w:val="0"/>
                      <w:divBdr>
                        <w:top w:val="none" w:sz="0" w:space="0" w:color="auto"/>
                        <w:left w:val="none" w:sz="0" w:space="0" w:color="auto"/>
                        <w:bottom w:val="none" w:sz="0" w:space="0" w:color="auto"/>
                        <w:right w:val="none" w:sz="0" w:space="0" w:color="auto"/>
                      </w:divBdr>
                      <w:divsChild>
                        <w:div w:id="18125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footer" Target="footer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5196</Words>
  <Characters>29618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5</cp:revision>
  <dcterms:created xsi:type="dcterms:W3CDTF">2017-08-22T03:19:00Z</dcterms:created>
  <dcterms:modified xsi:type="dcterms:W3CDTF">2017-08-22T03:43:00Z</dcterms:modified>
</cp:coreProperties>
</file>